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Reportes organizados y búsqueda de productos</w:t>
      </w:r>
    </w:p>
    <w:p>
      <w:r>
        <w:t>PharmaBoost 2.28 • 3 de octubre de 2026</w:t>
      </w:r>
    </w:p>
    <w:p>
      <w:r>
        <w:t>Reportes ahora abre un centro con cinco apartados: Resumen general, Pedidos por tienda y producto, Inventario general, Kardex de movimientos y Compras por proveedor. Cada apartado presenta los filtros que corresponden a su información.</w:t>
      </w:r>
    </w:p>
    <w:p>
      <w:pPr>
        <w:pStyle w:val="Heading2"/>
      </w:pPr>
      <w:r>
        <w:t>Consultar un reporte</w:t>
      </w:r>
    </w:p>
    <w:p>
      <w:r>
        <w:t>1. Abre Reportes y pulsa la tarjeta del apartado deseado. Inventario muestra producto, categoría y existencias. Pedidos añade tienda, usuario, promoción, estado y fechas. Kardex y Compras ofrecen producto, categoría, usuario, proveedor y fechas.</w:t>
      </w:r>
    </w:p>
    <w:p>
      <w:r>
        <w:t>2. En el buscador del selector Producto escribe parte del nombre o código. La lista muestra las coincidencias, ignorando mayúsculas y tildes. Después selecciona el producto en la lista. Todos mantiene el reporte sin restricción por producto.</w:t>
      </w:r>
    </w:p>
    <w:p>
      <w:r>
        <w:t>3. Completa los filtros, búsqueda general y orden; pulsa Aplicar filtros. Excel, CSV, PDF e Imprimir utilizan los filtros aplicados. Limpiar restablece el apartado actual. Todos los reportes vuelve al centro; al abrir otro apartado se inicia sin filtros anteriores.</w:t>
      </w:r>
    </w:p>
    <w:p>
      <w:pPr>
        <w:pStyle w:val="Heading2"/>
      </w:pPr>
      <w:r>
        <w:t>Buscar al registrar movimientos</w:t>
      </w:r>
    </w:p>
    <w:p>
      <w:r>
        <w:t>En Inventario, abre Registrar movimiento. El nuevo campo Buscar producto permite reducir la lista por nombre o código. Selecciona un resultado antes de guardar. Si el producto seleccionado deja de coincidir, se limpia la selección para evitar registrar el movimiento en un producto oculto. La cantidad y validaciones del movimiento se conservan.</w:t>
      </w:r>
    </w:p>
    <w:p>
      <w:pPr>
        <w:pStyle w:val="Heading2"/>
      </w:pPr>
      <w:r>
        <w:t>Impresión y exportaciones</w:t>
      </w:r>
    </w:p>
    <w:p>
      <w:r>
        <w:t>Los filtros de PDF, Excel, CSV e impresión ahora muestran nombres de productos, tiendas y proveedores, en lugar de un objeto JSON. La impresión usa encabezado, indicadores y una tabla con columnas, bordes y encabezados repetibles. Los importes de impresión se presentan en formato monetario.</w:t>
      </w:r>
    </w:p>
    <w:p>
      <w:pPr>
        <w:pStyle w:val="Heading2"/>
      </w:pPr>
      <w:r>
        <w:t>Pruebas y límites</w:t>
      </w:r>
    </w:p>
    <w:p>
      <w:r>
        <w:t>Pasaron las 21 pruebas unitarias existentes y la comprobación de sintaxis del cliente. En navegador se verificaron las cinco tarjetas, los filtros específicos de Inventario y la búsqueda Curitas, que redujo el selector a una coincidencia. No se modificaron datos comerciales.</w:t>
      </w:r>
    </w:p>
    <w:p>
      <w:r>
        <w:t>La impresión se reorganizó en el código, pero no se verificó una impresión física. Los reportes de muchas columnas pueden requerir orientación horizontal en el diálogo de impresión. La búsqueda del selector solo reduce sus opciones: debes seleccionar el producto y aplicar los filtros. Se mantienen las limitaciones de reportes de la versión 2.26 y los permisos de la versión 2.27.</w:t>
      </w:r>
    </w:p>
    <w:p>
      <w:r>
        <w:br w:type="page"/>
      </w:r>
    </w:p>
    <w:p>
      <w:pPr>
        <w:pStyle w:val="Heading1"/>
      </w:pPr>
      <w:r>
        <w:t>Inicio y cuentas de acceso</w:t>
      </w:r>
    </w:p>
    <w:p>
      <w:r>
        <w:t>Recarga con Ctrl+F5 para cargar los cambios. No hay migración de MySQL ni modificación de datos. Si el servidor no está iniciado, mantén MySQL80 activo y ejecuta iniciar.bat o npm.cmd start desde Pharmaboost1; abre http://localhost:3080.</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ya cambiaste una contraseña, utiliza la actual. Administración y Ventas pueden consultar reportes. Las credenciales iniciales no se muestran en la interfaz.</w:t>
      </w:r>
    </w:p>
    <w:p>
      <w:pPr>
        <w:pStyle w:val="Heading2"/>
      </w:pPr>
      <w:r>
        <w:t>MySQL Workbench</w:t>
      </w:r>
    </w:p>
    <w:p>
      <w:r>
        <w:t>La base utilizada continúa siendo pharmaboost_js. Esta actualización modifica la presentación y búsqueda del cliente; no requiere ejecutar SQL ni recrear tablas. Puedes consultar los productos con SELECT id, external_code, name, price FROM pharmaboost_js.products; Las consultas operativas se conservan en database/consultas_workbench.sql. Este documento no contiene credenciales MySQL.</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Versión 2.28 • 3 de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