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Actualización de PharmaBoost</w:t>
      </w:r>
    </w:p>
    <w:p>
      <w:r>
        <w:t>Versión 2.3 • Descripciones del catálogo</w:t>
      </w:r>
    </w:p>
    <w:p>
      <w:r>
        <w:t>Se retiró la frase Producto ficticio para demostración académica de ocho productos guardados en MySQL. Las descripciones iniciales ahora utilizan el nombre de cada producto, sin añadir características no verificadas. Se conservaron precios, fotos, nombres, cuentas y pedidos.</w:t>
      </w:r>
    </w:p>
    <w:p>
      <w:pPr>
        <w:pStyle w:val="Heading1"/>
      </w:pPr>
      <w:r>
        <w:t>Cambios realizados</w:t>
      </w:r>
    </w:p>
    <w:p>
      <w:pPr>
        <w:pStyle w:val="ListBullet"/>
      </w:pPr>
      <w:r>
        <w:t>Se actualizaron únicamente las descripciones que coincidían exactamente con la frase inicial. Las descripciones personalizadas no se modificaron.</w:t>
      </w:r>
    </w:p>
    <w:p>
      <w:pPr>
        <w:pStyle w:val="ListBullet"/>
      </w:pPr>
      <w:r>
        <w:t>Se ajustó la instalación inicial para que las nuevas bases tampoco incluyan esa frase en los productos.</w:t>
      </w:r>
    </w:p>
    <w:p>
      <w:pPr>
        <w:pStyle w:val="ListBullet"/>
      </w:pPr>
      <w:r>
        <w:t>Se incluyó scripts/update-descriptions.js para aplicar la misma corrección en otras instalaciones, sin duplicar cambios al ejecutarlo nuevamente.</w:t>
      </w:r>
    </w:p>
    <w:p>
      <w:pPr>
        <w:pStyle w:val="ListBullet"/>
      </w:pPr>
      <w:r>
        <w:t>Se corrigió el estado de error del catálogo público: los filtros no reemplazan un fallo de carga por un mensaje de cero productos. Un servidor desactualizado muestra una indicación para reiniciarlo.</w:t>
      </w:r>
    </w:p>
    <w:p>
      <w:pPr>
        <w:pStyle w:val="Heading1"/>
      </w:pPr>
      <w:r>
        <w:t>Usuarios y contraseñas por rol</w:t>
      </w:r>
    </w:p>
    <w:p>
      <w:r>
        <w:t>Se conservan las credenciales documentadas en la versión 2.1. Esta actualización no cambia contraseñas. Estas cuentas pertenecen a PharmaBoost; no son accesos a MySQL Workbench. Los visitantes del catálogo público no necesitan ninguna de ellas.</w:t>
      </w:r>
    </w:p>
    <w:tbl>
      <w:tblPr>
        <w:tblStyle w:val="TableGrid"/>
        <w:tblW w:type="auto" w:w="0"/>
        <w:tblLayout w:type="fixed"/>
        <w:tblLook w:firstColumn="1" w:firstRow="1" w:lastColumn="0" w:lastRow="0" w:noHBand="0" w:noVBand="1" w:val="04A0"/>
      </w:tblPr>
      <w:tblGrid>
        <w:gridCol w:w="2448"/>
        <w:gridCol w:w="4392"/>
        <w:gridCol w:w="2664"/>
      </w:tblGrid>
      <w:tr>
        <w:tc>
          <w:tcPr>
            <w:tcW w:type="dxa" w:w="2448"/>
            <w:shd w:fill="EAEFED"/>
          </w:tcPr>
          <w:p>
            <w:pPr>
              <w:spacing w:before="100" w:after="100"/>
            </w:pPr>
            <w:r>
              <w:rPr>
                <w:b/>
                <w:sz w:val="18"/>
              </w:rPr>
              <w:t>Rol</w:t>
            </w:r>
          </w:p>
        </w:tc>
        <w:tc>
          <w:tcPr>
            <w:tcW w:type="dxa" w:w="4392"/>
            <w:shd w:fill="EAEFED"/>
          </w:tcPr>
          <w:p>
            <w:pPr>
              <w:spacing w:before="100" w:after="100"/>
            </w:pPr>
            <w:r>
              <w:rPr>
                <w:b/>
                <w:sz w:val="18"/>
              </w:rPr>
              <w:t>Usuario</w:t>
            </w:r>
          </w:p>
        </w:tc>
        <w:tc>
          <w:tcPr>
            <w:tcW w:type="dxa" w:w="2664"/>
            <w:shd w:fill="EAEFED"/>
          </w:tcPr>
          <w:p>
            <w:pPr>
              <w:spacing w:before="100" w:after="100"/>
            </w:pPr>
            <w:r>
              <w:rPr>
                <w:b/>
                <w:sz w:val="18"/>
              </w:rPr>
              <w:t>Contraseña</w:t>
            </w:r>
          </w:p>
        </w:tc>
      </w:tr>
      <w:tr>
        <w:tc>
          <w:tcPr>
            <w:tcW w:type="dxa" w:w="2448"/>
          </w:tcPr>
          <w:p>
            <w:pPr>
              <w:spacing w:before="100" w:after="100"/>
            </w:pPr>
            <w:r>
              <w:rPr>
                <w:sz w:val="18"/>
              </w:rPr>
              <w:t>Administrador</w:t>
            </w:r>
          </w:p>
        </w:tc>
        <w:tc>
          <w:tcPr>
            <w:tcW w:type="dxa" w:w="4392"/>
          </w:tcPr>
          <w:p>
            <w:pPr>
              <w:spacing w:before="100" w:after="100"/>
            </w:pPr>
            <w:r>
              <w:rPr>
                <w:sz w:val="18"/>
              </w:rPr>
              <w:t>admin@pharmaboost.local</w:t>
            </w:r>
          </w:p>
        </w:tc>
        <w:tc>
          <w:tcPr>
            <w:tcW w:type="dxa" w:w="2664"/>
          </w:tcPr>
          <w:p>
            <w:pPr>
              <w:spacing w:before="100" w:after="100"/>
            </w:pPr>
            <w:r>
              <w:rPr>
                <w:sz w:val="18"/>
              </w:rPr>
              <w:t>Pharma2026!</w:t>
            </w:r>
          </w:p>
        </w:tc>
      </w:tr>
      <w:tr>
        <w:tc>
          <w:tcPr>
            <w:tcW w:type="dxa" w:w="2448"/>
          </w:tcPr>
          <w:p>
            <w:pPr>
              <w:spacing w:before="100" w:after="100"/>
            </w:pPr>
            <w:r>
              <w:rPr>
                <w:sz w:val="18"/>
              </w:rPr>
              <w:t>Ventas y Marketing</w:t>
            </w:r>
          </w:p>
        </w:tc>
        <w:tc>
          <w:tcPr>
            <w:tcW w:type="dxa" w:w="4392"/>
          </w:tcPr>
          <w:p>
            <w:pPr>
              <w:spacing w:before="100" w:after="100"/>
            </w:pPr>
            <w:r>
              <w:rPr>
                <w:sz w:val="18"/>
              </w:rPr>
              <w:t>ventas@pharmaboost.local</w:t>
            </w:r>
          </w:p>
        </w:tc>
        <w:tc>
          <w:tcPr>
            <w:tcW w:type="dxa" w:w="2664"/>
          </w:tcPr>
          <w:p>
            <w:pPr>
              <w:spacing w:before="100" w:after="100"/>
            </w:pPr>
            <w:r>
              <w:rPr>
                <w:sz w:val="18"/>
              </w:rPr>
              <w:t>Pharma2026!</w:t>
            </w:r>
          </w:p>
        </w:tc>
      </w:tr>
      <w:tr>
        <w:tc>
          <w:tcPr>
            <w:tcW w:type="dxa" w:w="2448"/>
          </w:tcPr>
          <w:p>
            <w:pPr>
              <w:spacing w:before="100" w:after="100"/>
            </w:pPr>
            <w:r>
              <w:rPr>
                <w:sz w:val="18"/>
              </w:rPr>
              <w:t>Agente Nova</w:t>
            </w:r>
          </w:p>
        </w:tc>
        <w:tc>
          <w:tcPr>
            <w:tcW w:type="dxa" w:w="4392"/>
          </w:tcPr>
          <w:p>
            <w:pPr>
              <w:spacing w:before="100" w:after="100"/>
            </w:pPr>
            <w:r>
              <w:rPr>
                <w:sz w:val="18"/>
              </w:rPr>
              <w:t>agente@pharmaboost.local</w:t>
            </w:r>
          </w:p>
        </w:tc>
        <w:tc>
          <w:tcPr>
            <w:tcW w:type="dxa" w:w="2664"/>
          </w:tcPr>
          <w:p>
            <w:pPr>
              <w:spacing w:before="100" w:after="100"/>
            </w:pPr>
            <w:r>
              <w:rPr>
                <w:sz w:val="18"/>
              </w:rPr>
              <w:t>Pharma2026!</w:t>
            </w:r>
          </w:p>
        </w:tc>
      </w:tr>
      <w:tr>
        <w:tc>
          <w:tcPr>
            <w:tcW w:type="dxa" w:w="2448"/>
          </w:tcPr>
          <w:p>
            <w:pPr>
              <w:spacing w:before="100" w:after="100"/>
            </w:pPr>
            <w:r>
              <w:rPr>
                <w:sz w:val="18"/>
              </w:rPr>
              <w:t>Agente Vitalis</w:t>
            </w:r>
          </w:p>
        </w:tc>
        <w:tc>
          <w:tcPr>
            <w:tcW w:type="dxa" w:w="4392"/>
          </w:tcPr>
          <w:p>
            <w:pPr>
              <w:spacing w:before="100" w:after="100"/>
            </w:pPr>
            <w:r>
              <w:rPr>
                <w:sz w:val="18"/>
              </w:rPr>
              <w:t>agente2@pharmaboost.local</w:t>
            </w:r>
          </w:p>
        </w:tc>
        <w:tc>
          <w:tcPr>
            <w:tcW w:type="dxa" w:w="2664"/>
          </w:tcPr>
          <w:p>
            <w:pPr>
              <w:spacing w:before="100" w:after="100"/>
            </w:pPr>
            <w:r>
              <w:rPr>
                <w:sz w:val="18"/>
              </w:rPr>
              <w:t>Pharma2026!</w:t>
            </w:r>
          </w:p>
        </w:tc>
      </w:tr>
      <w:tr>
        <w:tc>
          <w:tcPr>
            <w:tcW w:type="dxa" w:w="2448"/>
          </w:tcPr>
          <w:p>
            <w:pPr>
              <w:spacing w:before="100" w:after="100"/>
            </w:pPr>
            <w:r>
              <w:rPr>
                <w:sz w:val="18"/>
              </w:rPr>
              <w:t>Operaciones TIC</w:t>
            </w:r>
          </w:p>
        </w:tc>
        <w:tc>
          <w:tcPr>
            <w:tcW w:type="dxa" w:w="4392"/>
          </w:tcPr>
          <w:p>
            <w:pPr>
              <w:spacing w:before="100" w:after="100"/>
            </w:pPr>
            <w:r>
              <w:rPr>
                <w:sz w:val="18"/>
              </w:rPr>
              <w:t>tic@pharmaboost.local</w:t>
            </w:r>
          </w:p>
        </w:tc>
        <w:tc>
          <w:tcPr>
            <w:tcW w:type="dxa" w:w="2664"/>
          </w:tcPr>
          <w:p>
            <w:pPr>
              <w:spacing w:before="100" w:after="100"/>
            </w:pPr>
            <w:r>
              <w:rPr>
                <w:sz w:val="18"/>
              </w:rPr>
              <w:t>Pharma2026!</w:t>
            </w:r>
          </w:p>
        </w:tc>
      </w:tr>
    </w:tbl>
    <w:p>
      <w:pPr>
        <w:pStyle w:val="Heading1"/>
      </w:pPr>
      <w:r>
        <w:t>Comprobación y aplicación de cambios</w:t>
      </w:r>
    </w:p>
    <w:p>
      <w:r>
        <w:t>Se verificó que MySQL ya no contiene la descripción anterior y que el catálogo público devuelve ocho productos sin iniciar sesión. En Edge se comprobaron acceso, detalles, búsqueda, filtros, orden por precio, móvil y reintento después de un error de carga.</w:t>
      </w:r>
    </w:p>
    <w:p>
      <w:r>
        <w:t>Los cambios de las descripciones ya están aplicados en la base local. Actualiza el navegador con Ctrl+F5. El servidor local responde correctamente al catálogo público. En otra instalación ejecuta node --env-file=.env scripts/update-descriptions.js y vuelve a cargar la página.</w:t>
      </w:r>
    </w:p>
    <w:p>
      <w:r>
        <w:t>El catálogo público mantiene protegidas las funciones administrativas. La corrección de descripciones no modifica el estado de las integraciones externas de Abaco y DP.</w:t>
      </w:r>
    </w:p>
    <w:sectPr w:rsidR="00FC693F" w:rsidRPr="0006063C" w:rsidSect="00034616">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Actualización de PharmaBoost versión 2.3</dc:title>
  <dc:subject>Corrección de descripciones y carga del catálogo</dc:subject>
  <dc:creator>PharmaBoost</dc:creator>
  <cp:keywords/>
  <dc:description>generated by python-docx</dc:description>
  <cp:lastModifiedBy/>
  <cp:revision>1</cp:revision>
  <dcterms:created xsi:type="dcterms:W3CDTF">2013-12-23T23:15:00Z</dcterms:created>
  <dcterms:modified xsi:type="dcterms:W3CDTF">2013-12-23T23:15:00Z</dcterms:modified>
  <cp:category/>
</cp:coreProperties>
</file>