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Actualización de PharmaBoost</w:t>
      </w:r>
    </w:p>
    <w:p>
      <w:r>
        <w:t>Versión 2.5 • Actividad registrada en el resumen</w:t>
      </w:r>
    </w:p>
    <w:p>
      <w:r>
        <w:t>Se agregaron registros de ejemplo a solicitud del usuario para que el resumen muestre actividad almacenada en MySQL. La carga incluye seis pedidos por un total de 1.723.400 pesos colombianos y una visita sin pedido. Los registros no corresponden a ventas reales y se identifican en sus observaciones.</w:t>
      </w:r>
    </w:p>
    <w:p>
      <w:pPr>
        <w:pStyle w:val="Heading1"/>
      </w:pPr>
      <w:r>
        <w:t>Cambios realizados</w:t>
      </w:r>
    </w:p>
    <w:p>
      <w:pPr>
        <w:pStyle w:val="ListBullet"/>
      </w:pPr>
      <w:r>
        <w:t>Se guardaron cuatro pedidos del agente de Laboratorios Nova en tres tiendas, con productos y precios del catálogo asignado.</w:t>
      </w:r>
    </w:p>
    <w:p>
      <w:pPr>
        <w:pStyle w:val="ListBullet"/>
      </w:pPr>
      <w:r>
        <w:t>Se guardaron dos pedidos del agente de Vitalis Pharma en sus dos tiendas asignadas.</w:t>
      </w:r>
    </w:p>
    <w:p>
      <w:pPr>
        <w:pStyle w:val="ListBullet"/>
      </w:pPr>
      <w:r>
        <w:t>Se agregó una visita sin pedido en una cuarta tienda de la promoción principal. El avance es de cuatro de seis tiendas, equivalente al 67 por ciento redondeado.</w:t>
      </w:r>
    </w:p>
    <w:p>
      <w:pPr>
        <w:pStyle w:val="ListBullet"/>
      </w:pPr>
      <w:r>
        <w:t>Los indicadores se calculan a partir de los registros persistidos. La cola de sincronización permanece en cero porque no hay operaciones pendientes en el dispositivo.</w:t>
      </w:r>
    </w:p>
    <w:p>
      <w:pPr>
        <w:pStyle w:val="Heading1"/>
      </w:pPr>
      <w:r>
        <w:t>Usuarios y contraseñas por rol</w:t>
      </w:r>
    </w:p>
    <w:p>
      <w:r>
        <w:t>Se conservan las credenciales documentadas en la versión 2.1. Esta actualización no cambia contraseñas. Estas cuentas pertenecen a PharmaBoost; no son accesos a MySQL Workbench. Los visitantes del catálogo público no necesitan ninguna de ellas.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4392"/>
        <w:gridCol w:w="2664"/>
      </w:tblGrid>
      <w:tr>
        <w:tc>
          <w:tcPr>
            <w:tcW w:type="dxa" w:w="2448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Rol</w:t>
            </w:r>
          </w:p>
        </w:tc>
        <w:tc>
          <w:tcPr>
            <w:tcW w:type="dxa" w:w="4392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Usuario</w:t>
            </w:r>
          </w:p>
        </w:tc>
        <w:tc>
          <w:tcPr>
            <w:tcW w:type="dxa" w:w="2664"/>
            <w:shd w:fill="EAEFED"/>
          </w:tcPr>
          <w:p>
            <w:pPr>
              <w:spacing w:before="100" w:after="100"/>
            </w:pPr>
            <w:r>
              <w:rPr>
                <w:b/>
                <w:sz w:val="18"/>
              </w:rPr>
              <w:t>Contraseña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admin@pharmaboost.local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Ventas y Marketing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ventas@pharmaboost.local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Agente Nova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agente@pharmaboost.local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Agente Vitalis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agente2@pharmaboost.local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  <w:tr>
        <w:tc>
          <w:tcPr>
            <w:tcW w:type="dxa" w:w="2448"/>
          </w:tcPr>
          <w:p>
            <w:pPr>
              <w:spacing w:before="100" w:after="100"/>
            </w:pPr>
            <w:r>
              <w:rPr>
                <w:sz w:val="18"/>
              </w:rPr>
              <w:t>Operaciones TIC</w:t>
            </w:r>
          </w:p>
        </w:tc>
        <w:tc>
          <w:tcPr>
            <w:tcW w:type="dxa" w:w="4392"/>
          </w:tcPr>
          <w:p>
            <w:pPr>
              <w:spacing w:before="100" w:after="100"/>
            </w:pPr>
            <w:r>
              <w:rPr>
                <w:sz w:val="18"/>
              </w:rPr>
              <w:t>tic@pharmaboost.local</w:t>
            </w:r>
          </w:p>
        </w:tc>
        <w:tc>
          <w:tcPr>
            <w:tcW w:type="dxa" w:w="2664"/>
          </w:tcPr>
          <w:p>
            <w:pPr>
              <w:spacing w:before="100" w:after="100"/>
            </w:pPr>
            <w:r>
              <w:rPr>
                <w:sz w:val="18"/>
              </w:rPr>
              <w:t>Pharma2026!</w:t>
            </w:r>
          </w:p>
        </w:tc>
      </w:tr>
    </w:tbl>
    <w:p>
      <w:pPr>
        <w:pStyle w:val="Heading1"/>
      </w:pPr>
      <w:r>
        <w:t>Comprobación y aplicación de cambios</w:t>
      </w:r>
    </w:p>
    <w:p>
      <w:r>
        <w:t>Se verificaron el resumen en el navegador, el detalle de los pedidos y el total almacenado en MySQL. Se ejecutó dos veces el cargador: la segunda ejecución agregó cero pedidos y cero visitas, confirmando que no duplica los registros.</w:t>
      </w:r>
    </w:p>
    <w:p>
      <w:r>
        <w:t>Los registros ya están cargados en la base local. Para verlos, actualiza con Ctrl+F5 o pulsa Sincronizar ahora. En otra instalación ejecuta node --env-file=.env scripts/load-activity.js con las promociones iniciales activas y sus agentes asignados.</w:t>
      </w:r>
    </w:p>
    <w:p>
      <w:r>
        <w:t>Se conservaron los productos, fotografías, cuentas, contraseñas y registros existentes. El cargador utiliza las validaciones de pedidos y visitas del servidor, y registra las operaciones en auditoría. No se modificaron los datos de acceso ni se enviaron pedidos a sistemas externos.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Actualización de PharmaBoost versión 2.5</dc:title>
  <dc:subject>Pedidos y visitas precargados</dc:subject>
  <dc:creator>PharmaBoost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