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Reportes comerciales de PharmaBoost</w:t>
      </w:r>
    </w:p>
    <w:p>
      <w:r>
        <w:t>Actualización 2.7 • 17 de septiembre de 2026</w:t>
      </w:r>
    </w:p>
    <w:p>
      <w:r>
        <w:t>Esta actualización incorpora la descarga directa del reporte en PDF y un panel para aplicar un período, inspirado en la referencia proporcionada. Conserva el diseño de PharmaBoost, los temas claro y oscuro y los datos existentes. Este documento explica los cambios, cómo utilizarlos y sus límites.</w:t>
      </w:r>
    </w:p>
    <w:p>
      <w:pPr>
        <w:pStyle w:val="Heading2"/>
      </w:pPr>
      <w:r>
        <w:t>Funciones incorporadas</w:t>
      </w:r>
    </w:p>
    <w:p>
      <w:r>
        <w:t>El botón Descargar PDF crea un archivo con los filtros aplicados, los indicadores, los productos más pedidos y los resultados por agente. La descarga no requiere abrir el diálogo de impresión. Se conserva Exportar CSV para trabajar con la información en una hoja de cálculo.</w:t>
      </w:r>
    </w:p>
    <w:p>
      <w:r>
        <w:t>Los filtros ahora se confirman con Aplicar período. Cambiar una fecha, una promoción o un agente no modifica los resultados hasta pulsar ese botón. Limpiar filtros vuelve a incluir todas las fechas, promociones y agentes.</w:t>
      </w:r>
    </w:p>
    <w:p>
      <w:pPr>
        <w:pStyle w:val="Heading2"/>
      </w:pPr>
      <w:r>
        <w:t>Consultar y descargar paso a paso</w:t>
      </w:r>
    </w:p>
    <w:p>
      <w:r>
        <w:t>1. Ingresa como Administrador o Ventas y Marketing y abre Reportes comerciales en el menú lateral.</w:t>
      </w:r>
    </w:p>
    <w:p>
      <w:r>
        <w:t>2. Selecciona Fecha de captura desde y Hasta. Puedes dejar una fecha vacía para no limitar ese extremo. Si lo necesitas, selecciona también Promoción y Agente.</w:t>
      </w:r>
    </w:p>
    <w:p>
      <w:r>
        <w:t>3. Pulsa Aplicar período. Revisa la línea Aplicado, situada debajo del panel: identifica los filtros que realmente utilizan las tarjetas y las exportaciones.</w:t>
      </w:r>
    </w:p>
    <w:p>
      <w:r>
        <w:t>4. Consulta los seis indicadores y las tablas. Si no hay registros, las tarjetas muestran cero y las tablas indican que no hay datos.</w:t>
      </w:r>
    </w:p>
    <w:p>
      <w:r>
        <w:t>5. Pulsa Descargar PDF. El navegador descarga PharmaBoost-reporte-[inicio]-[fin].pdf. Puede solicitar dónde guardarlo según su configuración. Abre el archivo desde Descargas.</w:t>
      </w:r>
    </w:p>
    <w:p>
      <w:r>
        <w:t>6. Para obtener una hoja de cálculo, pulsa Exportar CSV. El PDF y el CSV utilizan los mismos filtros aplicados. Si Excel muestra una sola columna, importa el CSV como UTF-8 con separador punto y coma.</w:t>
      </w:r>
    </w:p>
    <w:p>
      <w:r>
        <w:t>7. Para volver al conjunto completo, pulsa Limpiar filtros.</w:t>
      </w:r>
    </w:p>
    <w:p>
      <w:pPr>
        <w:pStyle w:val="Heading2"/>
      </w:pPr>
      <w:r>
        <w:t>Fechas y permisos</w:t>
      </w:r>
    </w:p>
    <w:p>
      <w:r>
        <w:t>Desde no puede ser posterior a Hasta. Si ocurre, se muestra un error y se conservan los resultados del período anterior. Los filtros utilizan la fecha de captura registrada del pedido, no la fecha de entrega ni una fecha de pago. Los reportes están disponibles para Administración y Ventas; los agentes continúan consultando sus pedidos desde Mis pedidos.</w:t>
      </w:r>
    </w:p>
    <w:p>
      <w:r>
        <w:br w:type="page"/>
      </w:r>
    </w:p>
    <w:p>
      <w:pPr>
        <w:pStyle w:val="Heading1"/>
      </w:pPr>
      <w:r>
        <w:t>Interpretar los resultados del reporte</w:t>
      </w:r>
    </w:p>
    <w:tbl>
      <w:tblPr>
        <w:tblStyle w:val="TableGrid"/>
        <w:tblW w:type="auto" w:w="0"/>
        <w:tblLook w:firstColumn="1" w:firstRow="1" w:lastColumn="0" w:lastRow="0" w:noHBand="0" w:noVBand="1" w:val="04A0"/>
      </w:tblPr>
      <w:tblGrid>
        <w:gridCol w:w="4802"/>
        <w:gridCol w:w="4802"/>
      </w:tblGrid>
      <w:tr>
        <w:trPr>
          <w:cantSplit/>
        </w:trPr>
        <w:tc>
          <w:tcPr>
            <w:tcW w:type="dxa" w:w="4802"/>
          </w:tcPr>
          <w:p>
            <w:r>
              <w:rPr>
                <w:sz w:val="18"/>
              </w:rPr>
              <w:t>Indicador</w:t>
            </w:r>
          </w:p>
        </w:tc>
        <w:tc>
          <w:tcPr>
            <w:tcW w:type="dxa" w:w="4802"/>
          </w:tcPr>
          <w:p>
            <w:r>
              <w:rPr>
                <w:sz w:val="18"/>
              </w:rPr>
              <w:t>Significado</w:t>
            </w:r>
          </w:p>
        </w:tc>
      </w:tr>
      <w:tr>
        <w:trPr>
          <w:cantSplit/>
        </w:trPr>
        <w:tc>
          <w:tcPr>
            <w:tcW w:type="dxa" w:w="4802"/>
          </w:tcPr>
          <w:p>
            <w:r>
              <w:rPr>
                <w:sz w:val="18"/>
              </w:rPr>
              <w:t>Pedidos del período</w:t>
            </w:r>
          </w:p>
        </w:tc>
        <w:tc>
          <w:tcPr>
            <w:tcW w:type="dxa" w:w="4802"/>
          </w:tcPr>
          <w:p>
            <w:r>
              <w:rPr>
                <w:sz w:val="18"/>
              </w:rPr>
              <w:t>Todos los pedidos recibidos por el servidor que coinciden con los filtros, incluyendo cancelados y revisión.</w:t>
            </w:r>
          </w:p>
        </w:tc>
      </w:tr>
      <w:tr>
        <w:trPr>
          <w:cantSplit/>
        </w:trPr>
        <w:tc>
          <w:tcPr>
            <w:tcW w:type="dxa" w:w="4802"/>
          </w:tcPr>
          <w:p>
            <w:r>
              <w:rPr>
                <w:sz w:val="18"/>
              </w:rPr>
              <w:t>Pedidos entregados</w:t>
            </w:r>
          </w:p>
        </w:tc>
        <w:tc>
          <w:tcPr>
            <w:tcW w:type="dxa" w:w="4802"/>
          </w:tcPr>
          <w:p>
            <w:r>
              <w:rPr>
                <w:sz w:val="18"/>
              </w:rPr>
              <w:t>Pedidos con seguimiento Entregado, excluyendo revisión.</w:t>
            </w:r>
          </w:p>
        </w:tc>
      </w:tr>
      <w:tr>
        <w:trPr>
          <w:cantSplit/>
        </w:trPr>
        <w:tc>
          <w:tcPr>
            <w:tcW w:type="dxa" w:w="4802"/>
          </w:tcPr>
          <w:p>
            <w:r>
              <w:rPr>
                <w:sz w:val="18"/>
              </w:rPr>
              <w:t>Pedidos contabilizados</w:t>
            </w:r>
          </w:p>
        </w:tc>
        <w:tc>
          <w:tcPr>
            <w:tcW w:type="dxa" w:w="4802"/>
          </w:tcPr>
          <w:p>
            <w:r>
              <w:rPr>
                <w:sz w:val="18"/>
              </w:rPr>
              <w:t>Pedidos del período que no están cancelados ni en revisión.</w:t>
            </w:r>
          </w:p>
        </w:tc>
      </w:tr>
      <w:tr>
        <w:trPr>
          <w:cantSplit/>
        </w:trPr>
        <w:tc>
          <w:tcPr>
            <w:tcW w:type="dxa" w:w="4802"/>
          </w:tcPr>
          <w:p>
            <w:r>
              <w:rPr>
                <w:sz w:val="18"/>
              </w:rPr>
              <w:t>Valor comercial</w:t>
            </w:r>
          </w:p>
        </w:tc>
        <w:tc>
          <w:tcPr>
            <w:tcW w:type="dxa" w:w="4802"/>
          </w:tcPr>
          <w:p>
            <w:r>
              <w:rPr>
                <w:sz w:val="18"/>
              </w:rPr>
              <w:t>Suma de los pedidos contabilizados, expresada en COP.</w:t>
            </w:r>
          </w:p>
        </w:tc>
      </w:tr>
      <w:tr>
        <w:trPr>
          <w:cantSplit/>
        </w:trPr>
        <w:tc>
          <w:tcPr>
            <w:tcW w:type="dxa" w:w="4802"/>
          </w:tcPr>
          <w:p>
            <w:r>
              <w:rPr>
                <w:sz w:val="18"/>
              </w:rPr>
              <w:t>Cancelados</w:t>
            </w:r>
          </w:p>
        </w:tc>
        <w:tc>
          <w:tcPr>
            <w:tcW w:type="dxa" w:w="4802"/>
          </w:tcPr>
          <w:p>
            <w:r>
              <w:rPr>
                <w:sz w:val="18"/>
              </w:rPr>
              <w:t>Cantidad de pedidos cancelados dentro de los filtros.</w:t>
            </w:r>
          </w:p>
        </w:tc>
      </w:tr>
      <w:tr>
        <w:trPr>
          <w:cantSplit/>
        </w:trPr>
        <w:tc>
          <w:tcPr>
            <w:tcW w:type="dxa" w:w="4802"/>
          </w:tcPr>
          <w:p>
            <w:r>
              <w:rPr>
                <w:sz w:val="18"/>
              </w:rPr>
              <w:t>En revisión</w:t>
            </w:r>
          </w:p>
        </w:tc>
        <w:tc>
          <w:tcPr>
            <w:tcW w:type="dxa" w:w="4802"/>
          </w:tcPr>
          <w:p>
            <w:r>
              <w:rPr>
                <w:sz w:val="18"/>
              </w:rPr>
              <w:t>Cantidad de pedidos con diferencia de precio pendiente de revisión.</w:t>
            </w:r>
          </w:p>
        </w:tc>
      </w:tr>
    </w:tbl>
    <w:p>
      <w:r>
        <w:t>Cancelados y En revisión pueden coincidir en un mismo pedido; no deben sumarse como grupos independientes. Las tablas de productos y agentes excluyen ambos casos. El valor comercial no representa ingresos cobrados, utilidad ni facturación.</w:t>
      </w:r>
    </w:p>
    <w:p>
      <w:pPr>
        <w:pStyle w:val="Heading2"/>
      </w:pPr>
      <w:r>
        <w:t>Contenido del PDF</w:t>
      </w:r>
    </w:p>
    <w:p>
      <w:r>
        <w:t>Incluye período, promoción, agente, seis indicadores, unidades y valor por producto, cantidad y valor por agente, criterios del cálculo, fecha de sincronización, fecha de generación y número de página. Los importes usan formato en pesos colombianos. Las tablas largas continúan en nuevas páginas.</w:t>
      </w:r>
    </w:p>
    <w:p>
      <w:r>
        <w:t>El archivo tiene fondo blanco para facilitar lectura e impresión, independientemente del tema elegido en la aplicación. Se genera localmente en el navegador con una biblioteca JavaScript incluida en el proyecto; no se envían datos a un servicio de documentos externo.</w:t>
      </w:r>
    </w:p>
    <w:p>
      <w:pPr>
        <w:pStyle w:val="Heading2"/>
      </w:pPr>
      <w:r>
        <w:t>Ejemplo con los registros actuales</w:t>
      </w:r>
    </w:p>
    <w:p>
      <w:r>
        <w:t>Con los seis pedidos iniciales del proyecto y sin filtros adicionales, el valor comercial de referencia es 1.723.400 COP. El número de entregados depende de los cambios de seguimiento realizados. Los datos de tu instalación pueden variar al registrar o gestionar pedidos; la aplicación siempre calcula sobre los registros disponibles.</w:t>
      </w:r>
    </w:p>
    <w:p>
      <w:pPr>
        <w:pStyle w:val="Heading2"/>
      </w:pPr>
      <w:r>
        <w:t>Relación con el manual completo</w:t>
      </w:r>
    </w:p>
    <w:p>
      <w:r>
        <w:t>Se conserva PharmaBoost_Manual_Completo_v2_6.docx, que explica productos, promociones, visitas, pedidos, sincronización, usuarios y administración. Para el uso del módulo Reportes, este documento sustituye la instrucción anterior de aplicar filtros automáticamente: ahora debes pulsar Aplicar período.</w:t>
      </w:r>
    </w:p>
    <w:p>
      <w:pPr>
        <w:pStyle w:val="Heading2"/>
      </w:pPr>
      <w:r>
        <w:t>Límites actuales</w:t>
      </w:r>
    </w:p>
    <w:p>
      <w:r>
        <w:t>La aplicación no registra pagos, saldos por cobrar, inventario ni facturas; por eso no se copiaron los indicadores de cobros del salón. No incluye registros pendientes de sincronizar. Sin conexión, usa la última información descargada, siempre que el navegador haya preparado los archivos para trabajar offline. Los caracteres que no admite la fuente estándar del PDF se sustituyen por un signo de interrogación; los acentos y la ñ del español se conservan.</w:t>
      </w:r>
    </w:p>
    <w:p>
      <w:r>
        <w:br w:type="page"/>
      </w:r>
    </w:p>
    <w:p>
      <w:pPr>
        <w:pStyle w:val="Heading1"/>
      </w:pPr>
      <w:r>
        <w:t>Acceso instalación y verificaciones</w:t>
      </w:r>
    </w:p>
    <w:p>
      <w:pPr>
        <w:pStyle w:val="Heading2"/>
      </w:pPr>
      <w:r>
        <w:t>Cuentas iniciales</w:t>
      </w:r>
    </w:p>
    <w:tbl>
      <w:tblPr>
        <w:tblStyle w:val="TableGrid"/>
        <w:tblW w:type="auto" w:w="0"/>
        <w:tblLook w:firstColumn="1" w:firstRow="1" w:lastColumn="0" w:lastRow="0" w:noHBand="0" w:noVBand="1" w:val="04A0"/>
      </w:tblPr>
      <w:tblGrid>
        <w:gridCol w:w="3202"/>
        <w:gridCol w:w="3202"/>
        <w:gridCol w:w="3202"/>
      </w:tblGrid>
      <w:tr>
        <w:trPr>
          <w:cantSplit/>
        </w:trPr>
        <w:tc>
          <w:tcPr>
            <w:tcW w:type="dxa" w:w="3202"/>
          </w:tcPr>
          <w:p>
            <w:r>
              <w:rPr>
                <w:sz w:val="18"/>
              </w:rPr>
              <w:t>Rol</w:t>
            </w:r>
          </w:p>
        </w:tc>
        <w:tc>
          <w:tcPr>
            <w:tcW w:type="dxa" w:w="3202"/>
          </w:tcPr>
          <w:p>
            <w:r>
              <w:rPr>
                <w:sz w:val="18"/>
              </w:rPr>
              <w:t>Correo</w:t>
            </w:r>
          </w:p>
        </w:tc>
        <w:tc>
          <w:tcPr>
            <w:tcW w:type="dxa" w:w="3202"/>
          </w:tcPr>
          <w:p>
            <w:r>
              <w:rPr>
                <w:sz w:val="18"/>
              </w:rPr>
              <w:t>Contraseña inicial</w:t>
            </w:r>
          </w:p>
        </w:tc>
      </w:tr>
      <w:tr>
        <w:trPr>
          <w:cantSplit/>
        </w:trPr>
        <w:tc>
          <w:tcPr>
            <w:tcW w:type="dxa" w:w="3202"/>
          </w:tcPr>
          <w:p>
            <w:r>
              <w:rPr>
                <w:sz w:val="18"/>
              </w:rPr>
              <w:t>Administrador</w:t>
            </w:r>
          </w:p>
        </w:tc>
        <w:tc>
          <w:tcPr>
            <w:tcW w:type="dxa" w:w="3202"/>
          </w:tcPr>
          <w:p>
            <w:r>
              <w:rPr>
                <w:sz w:val="18"/>
              </w:rPr>
              <w:t>admin@pharmaboost.local</w:t>
            </w:r>
          </w:p>
        </w:tc>
        <w:tc>
          <w:tcPr>
            <w:tcW w:type="dxa" w:w="3202"/>
          </w:tcPr>
          <w:p>
            <w:r>
              <w:rPr>
                <w:sz w:val="18"/>
              </w:rPr>
              <w:t>Pharma2026!</w:t>
            </w:r>
          </w:p>
        </w:tc>
      </w:tr>
      <w:tr>
        <w:trPr>
          <w:cantSplit/>
        </w:trPr>
        <w:tc>
          <w:tcPr>
            <w:tcW w:type="dxa" w:w="3202"/>
          </w:tcPr>
          <w:p>
            <w:r>
              <w:rPr>
                <w:sz w:val="18"/>
              </w:rPr>
              <w:t>Ventas</w:t>
            </w:r>
          </w:p>
        </w:tc>
        <w:tc>
          <w:tcPr>
            <w:tcW w:type="dxa" w:w="3202"/>
          </w:tcPr>
          <w:p>
            <w:r>
              <w:rPr>
                <w:sz w:val="18"/>
              </w:rPr>
              <w:t>ventas@pharmaboost.local</w:t>
            </w:r>
          </w:p>
        </w:tc>
        <w:tc>
          <w:tcPr>
            <w:tcW w:type="dxa" w:w="3202"/>
          </w:tcPr>
          <w:p>
            <w:r>
              <w:rPr>
                <w:sz w:val="18"/>
              </w:rPr>
              <w:t>Pharma2026!</w:t>
            </w:r>
          </w:p>
        </w:tc>
      </w:tr>
      <w:tr>
        <w:trPr>
          <w:cantSplit/>
        </w:trPr>
        <w:tc>
          <w:tcPr>
            <w:tcW w:type="dxa" w:w="3202"/>
          </w:tcPr>
          <w:p>
            <w:r>
              <w:rPr>
                <w:sz w:val="18"/>
              </w:rPr>
              <w:t>Agente Nova</w:t>
            </w:r>
          </w:p>
        </w:tc>
        <w:tc>
          <w:tcPr>
            <w:tcW w:type="dxa" w:w="3202"/>
          </w:tcPr>
          <w:p>
            <w:r>
              <w:rPr>
                <w:sz w:val="18"/>
              </w:rPr>
              <w:t>agente@pharmaboost.local</w:t>
            </w:r>
          </w:p>
        </w:tc>
        <w:tc>
          <w:tcPr>
            <w:tcW w:type="dxa" w:w="3202"/>
          </w:tcPr>
          <w:p>
            <w:r>
              <w:rPr>
                <w:sz w:val="18"/>
              </w:rPr>
              <w:t>Pharma2026!</w:t>
            </w:r>
          </w:p>
        </w:tc>
      </w:tr>
      <w:tr>
        <w:trPr>
          <w:cantSplit/>
        </w:trPr>
        <w:tc>
          <w:tcPr>
            <w:tcW w:type="dxa" w:w="3202"/>
          </w:tcPr>
          <w:p>
            <w:r>
              <w:rPr>
                <w:sz w:val="18"/>
              </w:rPr>
              <w:t>Agente Vitalis</w:t>
            </w:r>
          </w:p>
        </w:tc>
        <w:tc>
          <w:tcPr>
            <w:tcW w:type="dxa" w:w="3202"/>
          </w:tcPr>
          <w:p>
            <w:r>
              <w:rPr>
                <w:sz w:val="18"/>
              </w:rPr>
              <w:t>agente2@pharmaboost.local</w:t>
            </w:r>
          </w:p>
        </w:tc>
        <w:tc>
          <w:tcPr>
            <w:tcW w:type="dxa" w:w="3202"/>
          </w:tcPr>
          <w:p>
            <w:r>
              <w:rPr>
                <w:sz w:val="18"/>
              </w:rPr>
              <w:t>Pharma2026!</w:t>
            </w:r>
          </w:p>
        </w:tc>
      </w:tr>
      <w:tr>
        <w:trPr>
          <w:cantSplit/>
        </w:trPr>
        <w:tc>
          <w:tcPr>
            <w:tcW w:type="dxa" w:w="3202"/>
          </w:tcPr>
          <w:p>
            <w:r>
              <w:rPr>
                <w:sz w:val="18"/>
              </w:rPr>
              <w:t>Operaciones TIC</w:t>
            </w:r>
          </w:p>
        </w:tc>
        <w:tc>
          <w:tcPr>
            <w:tcW w:type="dxa" w:w="3202"/>
          </w:tcPr>
          <w:p>
            <w:r>
              <w:rPr>
                <w:sz w:val="18"/>
              </w:rPr>
              <w:t>tic@pharmaboost.local</w:t>
            </w:r>
          </w:p>
        </w:tc>
        <w:tc>
          <w:tcPr>
            <w:tcW w:type="dxa" w:w="3202"/>
          </w:tcPr>
          <w:p>
            <w:r>
              <w:rPr>
                <w:sz w:val="18"/>
              </w:rPr>
              <w:t>Pharma2026!</w:t>
            </w:r>
          </w:p>
        </w:tc>
      </w:tr>
    </w:tbl>
    <w:p>
      <w:r>
        <w:t>Si el administrador cambió una contraseña, utiliza la nueva. Esta actualización no restablece ni modifica las cuentas. Las credenciales de MySQL son diferentes y no se incluyen en este documento.</w:t>
      </w:r>
    </w:p>
    <w:p>
      <w:pPr>
        <w:pStyle w:val="Heading2"/>
      </w:pPr>
      <w:r>
        <w:t>Cómo abrir la actualización</w:t>
      </w:r>
    </w:p>
    <w:p>
      <w:r>
        <w:t>1. Si PharmaBoost ya está funcionando, abre http://localhost:3080 y pulsa Ctrl+F5 para recargar los archivos actualizados. Entra a Reportes comerciales.</w:t>
      </w:r>
    </w:p>
    <w:p>
      <w:r>
        <w:t>2. Si está cerrado, inicia MySQL80, abre PowerShell en la carpeta Pharmaboost1 y ejecuta npm.cmd start, o utiliza iniciar.bat. Mantén abierta la ventana del servidor.</w:t>
      </w:r>
    </w:p>
    <w:p>
      <w:r>
        <w:t>3. No recrees la base ni vuelvas a cargar los datos iniciales. La versión 2.7 no cambia tablas de MySQL. Desde Workbench puedes seguir consultando pharmaboost_js y realizando respaldos con Server → Data Export.</w:t>
      </w:r>
    </w:p>
    <w:p>
      <w:pPr>
        <w:pStyle w:val="Heading2"/>
      </w:pPr>
      <w:r>
        <w:t>Pruebas realizadas</w:t>
      </w:r>
    </w:p>
    <w:p>
      <w:r>
        <w:t>Se aprobaron seis pruebas unitarias existentes. En Edge se verificaron la aplicación explícita de filtros, limpieza, rechazo de fechas invertidas, conservación del período aplicado, descarga PDF directa, exportación CSV, modo oscuro y ancho móvil de 390 píxeles, sin errores JavaScript.</w:t>
      </w:r>
    </w:p>
    <w:p>
      <w:r>
        <w:t>Se descargó y revisó visualmente el PDF con los seis pedidos existentes. Se probó además un reporte de 95 filas con nombres extensos y acentos para comprobar paginación y conservación de la última fila. Las pruebas no modificaron pedidos, productos, imágenes ni contraseñas.</w:t>
      </w:r>
    </w:p>
    <w:p>
      <w:pPr>
        <w:pStyle w:val="Heading2"/>
      </w:pPr>
      <w:r>
        <w:t>Archivos y compatibilidad</w:t>
      </w:r>
    </w:p>
    <w:p>
      <w:r>
        <w:t>La aplicación mantiene HTML, CSS y JavaScript con servidor Node.js y MySQL. Se añadió PDF-Lib 1.17.1 como archivo JavaScript local junto con su licencia MIT. No se añadió un framework ni una dependencia de un servicio externo. La caché del sitio se actualizó conservando los datos locales de pedidos y visitas.</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PharmaBoost 2.7  |  Reportes comerciales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Reportes comerciales de PharmaBoost 2.7</dc:title>
  <dc:subject>Guía de operación por roles y procedimientos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