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b w:val="1"/>
          <w:bCs w:val="1"/>
          <w:color w:val="0b5394"/>
          <w:sz w:val="40"/>
          <w:szCs w:val="40"/>
          <w:rtl w:val="0"/>
        </w:rPr>
        <w:t xml:space="preserve">Report Animal Feed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color w:val="9fc5e8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9fc5e8"/>
          <w:sz w:val="30"/>
          <w:szCs w:val="30"/>
          <w:rtl w:val="0"/>
        </w:rPr>
        <w:t xml:space="preserve">Obiettivo</w:t>
      </w:r>
    </w:p>
    <w:p w:rsidR="00000000" w:rsidDel="00000000" w:rsidP="00000000" w:rsidRDefault="00000000" w:rsidRPr="00000000" w14:paraId="00000003">
      <w:pPr>
        <w:keepNext w:val="0"/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L'obiettivo di questo lavoro è individuare la strategia di preprocessing spettrale più efficace per distinguere tre categorie di farine animali (pollo, bovino e pesce) mediante spettroscopia NIR. </w:t>
      </w:r>
    </w:p>
    <w:p w:rsidR="00000000" w:rsidDel="00000000" w:rsidP="00000000" w:rsidRDefault="00000000" w:rsidRPr="00000000" w14:paraId="00000004">
      <w:pPr>
        <w:keepNext w:val="0"/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Al fine di separare al meglio le classi nello spazio PCA, sono stati valutati e confrontati diversi algoritmi di pre-processing: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Correzioni della linea di base (Detrend).</w:t>
      </w:r>
    </w:p>
    <w:p w:rsidR="00000000" w:rsidDel="00000000" w:rsidP="00000000" w:rsidRDefault="00000000" w:rsidRPr="00000000" w14:paraId="00000006">
      <w:pPr>
        <w:keepNext w:val="0"/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Diverse tecniche di normalizzazione (Vettoriale, SNV, MSC).</w:t>
      </w:r>
    </w:p>
    <w:p w:rsidR="00000000" w:rsidDel="00000000" w:rsidP="00000000" w:rsidRDefault="00000000" w:rsidRPr="00000000" w14:paraId="00000007">
      <w:pPr>
        <w:keepNext w:val="0"/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Derivate prima e seconda con algoritmo Savitzky-Golay con smoothing.</w:t>
      </w:r>
    </w:p>
    <w:p w:rsidR="00000000" w:rsidDel="00000000" w:rsidP="00000000" w:rsidRDefault="00000000" w:rsidRPr="00000000" w14:paraId="00000008">
      <w:pPr>
        <w:keepNext w:val="0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L'analisi PCA è stata condotta applicando il Mean Centering su ciascun preprocessing testato.</w:t>
      </w:r>
    </w:p>
    <w:p w:rsidR="00000000" w:rsidDel="00000000" w:rsidP="00000000" w:rsidRDefault="00000000" w:rsidRPr="00000000" w14:paraId="00000009">
      <w:pPr>
        <w:keepNext w:val="0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i w:val="1"/>
          <w:iCs w:val="1"/>
          <w:color w:val="9fc5e8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9fc5e8"/>
          <w:sz w:val="30"/>
          <w:szCs w:val="30"/>
          <w:rtl w:val="0"/>
        </w:rPr>
        <w:t xml:space="preserve">Risultati e conclusioni</w:t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 spettroscopia NIR delle tre farine senza alcun preprocessing, si presentava in questo modo: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541500</wp:posOffset>
            </wp:positionH>
            <wp:positionV relativeFrom="page">
              <wp:posOffset>4778471</wp:posOffset>
            </wp:positionV>
            <wp:extent cx="6480000" cy="2592000"/>
            <wp:effectExtent b="0" l="0" r="0" t="0"/>
            <wp:wrapTopAndBottom distB="114300" distT="11430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Osservando il grafico degli spettri, le linee che rappresentano i campioni appaiono nella grande maggioranza sovrapposte e intrecciate tra loro, rendendo di fatto impossibile distinguere le tre categorie di farine (Pollo, Bovino, Pesce). Questa difficoltà è confermata dal grafico degli scores PCA. Quest’ultimo infatti, mostra una distribuzione confusa dei campioni, caratterizzata da un'ampia dispersione e dalla totale assenza di clusters ben definiti.</w:t>
      </w:r>
    </w:p>
    <w:p w:rsidR="00000000" w:rsidDel="00000000" w:rsidP="00000000" w:rsidRDefault="00000000" w:rsidRPr="00000000" w14:paraId="0000000D">
      <w:pPr>
        <w:keepLines w:val="1"/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Ciò dimostra che, sui dati non pre processati, le differenze tra le classi non sono rilevabili senza un adeguato pre-trattamento del segnale. Sono stati quindi effettuati i diversi preprocessing e di seguito sono riportati i risultati: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-374399</wp:posOffset>
            </wp:positionH>
            <wp:positionV relativeFrom="paragraph">
              <wp:posOffset>108001</wp:posOffset>
            </wp:positionV>
            <wp:extent cx="6480000" cy="2592000"/>
            <wp:effectExtent b="0" l="0" r="0" t="0"/>
            <wp:wrapTopAndBottom distB="114300" distT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-372899</wp:posOffset>
            </wp:positionH>
            <wp:positionV relativeFrom="paragraph">
              <wp:posOffset>5652000</wp:posOffset>
            </wp:positionV>
            <wp:extent cx="6480000" cy="2592000"/>
            <wp:effectExtent b="0" l="0" r="0" t="0"/>
            <wp:wrapTopAndBottom distB="114300" distT="11430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2880000</wp:posOffset>
            </wp:positionV>
            <wp:extent cx="6480000" cy="2592000"/>
            <wp:effectExtent b="0" l="0" r="0" t="0"/>
            <wp:wrapTopAndBottom distB="114300" distT="11430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-372899</wp:posOffset>
            </wp:positionH>
            <wp:positionV relativeFrom="paragraph">
              <wp:posOffset>108001</wp:posOffset>
            </wp:positionV>
            <wp:extent cx="6480000" cy="2592000"/>
            <wp:effectExtent b="0" l="0" r="0" t="0"/>
            <wp:wrapTopAndBottom distB="114300" distT="11430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147638</wp:posOffset>
            </wp:positionH>
            <wp:positionV relativeFrom="paragraph">
              <wp:posOffset>174925</wp:posOffset>
            </wp:positionV>
            <wp:extent cx="5436000" cy="2500560"/>
            <wp:effectExtent b="0" l="0" r="0" t="0"/>
            <wp:wrapTopAndBottom distB="114300" distT="1143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500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332245</wp:posOffset>
            </wp:positionV>
            <wp:extent cx="5436000" cy="2529552"/>
            <wp:effectExtent b="0" l="0" r="0" t="0"/>
            <wp:wrapTopAndBottom distB="114300" distT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529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In base ai risultati ottenuti, si conclude che il miglior </w:t>
      </w:r>
      <w:r w:rsidDel="00000000" w:rsidR="00000000" w:rsidRPr="00000000">
        <w:rPr>
          <w:i w:val="1"/>
          <w:i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è quello relativo alla </w:t>
      </w:r>
      <w:r w:rsidDel="00000000" w:rsidR="00000000" w:rsidRPr="00000000">
        <w:rPr>
          <w:b w:val="1"/>
          <w:bCs w:val="1"/>
          <w:rtl w:val="0"/>
        </w:rPr>
        <w:t xml:space="preserve">Derivata Seconda con Savitzky-Golay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smoothing</w:t>
      </w:r>
      <w:r w:rsidDel="00000000" w:rsidR="00000000" w:rsidRPr="00000000">
        <w:rPr>
          <w:rtl w:val="0"/>
        </w:rPr>
        <w:t xml:space="preserve"> + derivata).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scelta è giustificata dalla </w:t>
      </w:r>
      <w:r w:rsidDel="00000000" w:rsidR="00000000" w:rsidRPr="00000000">
        <w:rPr>
          <w:b w:val="1"/>
          <w:bCs w:val="1"/>
          <w:rtl w:val="0"/>
        </w:rPr>
        <w:t xml:space="preserve">netta superiorità nella capacità di questo trattamento di separare e raggruppare i campioni in categorie ben distinte e compatte</w:t>
      </w:r>
      <w:r w:rsidDel="00000000" w:rsidR="00000000" w:rsidRPr="00000000">
        <w:rPr>
          <w:rtl w:val="0"/>
        </w:rPr>
        <w:t xml:space="preserve"> all'interno dello </w:t>
      </w:r>
      <w:r w:rsidDel="00000000" w:rsidR="00000000" w:rsidRPr="00000000">
        <w:rPr>
          <w:i w:val="1"/>
          <w:iCs w:val="1"/>
          <w:rtl w:val="0"/>
        </w:rPr>
        <w:t xml:space="preserve">score plot</w:t>
      </w:r>
      <w:r w:rsidDel="00000000" w:rsidR="00000000" w:rsidRPr="00000000">
        <w:rPr>
          <w:rtl w:val="0"/>
        </w:rPr>
        <w:t xml:space="preserve"> della PCA. Sebbene le prime due Componenti Principali (PC1=18.5% e PC2=14.1%, per un totale di 32.6% di varianza spiegata) catturino una percentuale minore di varianza rispetto alla Derivata Prima, ciò è in realtà un indicatore di successo: la Derivata Seconda è stata più efficace nel </w:t>
      </w:r>
      <w:r w:rsidDel="00000000" w:rsidR="00000000" w:rsidRPr="00000000">
        <w:rPr>
          <w:b w:val="1"/>
          <w:bCs w:val="1"/>
          <w:rtl w:val="0"/>
        </w:rPr>
        <w:t xml:space="preserve">rimuovere la varianza irrilevante</w:t>
      </w:r>
      <w:r w:rsidDel="00000000" w:rsidR="00000000" w:rsidRPr="00000000">
        <w:rPr>
          <w:rtl w:val="0"/>
        </w:rPr>
        <w:t xml:space="preserve"> (come gli effetti di </w:t>
      </w:r>
      <w:r w:rsidDel="00000000" w:rsidR="00000000" w:rsidRPr="00000000">
        <w:rPr>
          <w:i w:val="1"/>
          <w:iCs w:val="1"/>
          <w:rtl w:val="0"/>
        </w:rPr>
        <w:t xml:space="preserve">baseline drift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scattering</w:t>
      </w:r>
      <w:r w:rsidDel="00000000" w:rsidR="00000000" w:rsidRPr="00000000">
        <w:rPr>
          <w:rtl w:val="0"/>
        </w:rPr>
        <w:t xml:space="preserve">), isolando solo la varianza </w:t>
      </w:r>
      <w:r w:rsidDel="00000000" w:rsidR="00000000" w:rsidRPr="00000000">
        <w:rPr>
          <w:b w:val="1"/>
          <w:bCs w:val="1"/>
          <w:rtl w:val="0"/>
        </w:rPr>
        <w:t xml:space="preserve">chimicamente significativa</w:t>
      </w:r>
      <w:r w:rsidDel="00000000" w:rsidR="00000000" w:rsidRPr="00000000">
        <w:rPr>
          <w:rtl w:val="0"/>
        </w:rPr>
        <w:t xml:space="preserve"> e cruciale per la discriminazione.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Il grafico dei PCA scores (Derivata Seconda) mette chiaramente in evidenza questa separazione netta tra i tre cluster: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Il cluster relativo alla farina di </w:t>
      </w:r>
      <w:r w:rsidDel="00000000" w:rsidR="00000000" w:rsidRPr="00000000">
        <w:rPr>
          <w:b w:val="1"/>
          <w:bCs w:val="1"/>
          <w:rtl w:val="0"/>
        </w:rPr>
        <w:t xml:space="preserve">“Pesce”</w:t>
      </w:r>
      <w:r w:rsidDel="00000000" w:rsidR="00000000" w:rsidRPr="00000000">
        <w:rPr>
          <w:rtl w:val="0"/>
        </w:rPr>
        <w:t xml:space="preserve"> assumono </w:t>
      </w:r>
      <w:r w:rsidDel="00000000" w:rsidR="00000000" w:rsidRPr="00000000">
        <w:rPr>
          <w:b w:val="1"/>
          <w:bCs w:val="1"/>
          <w:rtl w:val="0"/>
        </w:rPr>
        <w:t xml:space="preserve">valori negativi sulla PC1</w:t>
      </w:r>
      <w:r w:rsidDel="00000000" w:rsidR="00000000" w:rsidRPr="00000000">
        <w:rPr>
          <w:rtl w:val="0"/>
        </w:rPr>
        <w:t xml:space="preserve"> e sulla </w:t>
      </w:r>
      <w:r w:rsidDel="00000000" w:rsidR="00000000" w:rsidRPr="00000000">
        <w:rPr>
          <w:b w:val="1"/>
          <w:bCs w:val="1"/>
          <w:rtl w:val="0"/>
        </w:rPr>
        <w:t xml:space="preserve">PC2, </w:t>
      </w:r>
      <w:r w:rsidDel="00000000" w:rsidR="00000000" w:rsidRPr="00000000">
        <w:rPr>
          <w:rtl w:val="0"/>
        </w:rPr>
        <w:t xml:space="preserve">quindi terzo quadrante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Il cluster relativo alla farina di </w:t>
      </w:r>
      <w:r w:rsidDel="00000000" w:rsidR="00000000" w:rsidRPr="00000000">
        <w:rPr>
          <w:b w:val="1"/>
          <w:bCs w:val="1"/>
          <w:rtl w:val="0"/>
        </w:rPr>
        <w:t xml:space="preserve">“Bovino”</w:t>
      </w:r>
      <w:r w:rsidDel="00000000" w:rsidR="00000000" w:rsidRPr="00000000">
        <w:rPr>
          <w:rtl w:val="0"/>
        </w:rPr>
        <w:t xml:space="preserve"> predominano nell'area con </w:t>
      </w:r>
      <w:r w:rsidDel="00000000" w:rsidR="00000000" w:rsidRPr="00000000">
        <w:rPr>
          <w:b w:val="1"/>
          <w:bCs w:val="1"/>
          <w:rtl w:val="0"/>
        </w:rPr>
        <w:t xml:space="preserve">valori negativi sulla PC 1</w:t>
      </w:r>
      <w:r w:rsidDel="00000000" w:rsidR="00000000" w:rsidRPr="00000000">
        <w:rPr>
          <w:rtl w:val="0"/>
        </w:rPr>
        <w:t xml:space="preserve"> e mostrano una distribuzione nella parte positiva della </w:t>
      </w:r>
      <w:r w:rsidDel="00000000" w:rsidR="00000000" w:rsidRPr="00000000">
        <w:rPr>
          <w:b w:val="1"/>
          <w:bCs w:val="1"/>
          <w:rtl w:val="0"/>
        </w:rPr>
        <w:t xml:space="preserve">PC2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Il cluster relativo alla farina di </w:t>
      </w:r>
      <w:r w:rsidDel="00000000" w:rsidR="00000000" w:rsidRPr="00000000">
        <w:rPr>
          <w:b w:val="1"/>
          <w:bCs w:val="1"/>
          <w:rtl w:val="0"/>
        </w:rPr>
        <w:t xml:space="preserve">“Pollo”</w:t>
      </w:r>
      <w:r w:rsidDel="00000000" w:rsidR="00000000" w:rsidRPr="00000000">
        <w:rPr>
          <w:rtl w:val="0"/>
        </w:rPr>
        <w:t xml:space="preserve"> si raggruppa nella zona con </w:t>
      </w:r>
      <w:r w:rsidDel="00000000" w:rsidR="00000000" w:rsidRPr="00000000">
        <w:rPr>
          <w:b w:val="1"/>
          <w:bCs w:val="1"/>
          <w:rtl w:val="0"/>
        </w:rPr>
        <w:t xml:space="preserve">positivi di PC1, </w:t>
      </w:r>
      <w:r w:rsidDel="00000000" w:rsidR="00000000" w:rsidRPr="00000000">
        <w:rPr>
          <w:rtl w:val="0"/>
        </w:rPr>
        <w:t xml:space="preserve">mostrando una chiara separazione orizzontale dagli altri campioni.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La derivata seconda ha permesso di evidenziare le differenze spettrali relative ai </w:t>
      </w:r>
      <w:r w:rsidDel="00000000" w:rsidR="00000000" w:rsidRPr="00000000">
        <w:rPr>
          <w:i w:val="1"/>
          <w:iCs w:val="1"/>
          <w:rtl w:val="0"/>
        </w:rPr>
        <w:t xml:space="preserve">marker</w:t>
      </w:r>
      <w:r w:rsidDel="00000000" w:rsidR="00000000" w:rsidRPr="00000000">
        <w:rPr>
          <w:rtl w:val="0"/>
        </w:rPr>
        <w:t xml:space="preserve"> chimici di composizione (che spesso sono mascherati dalla linea di base o da variazioni fisiche) con la massima efficacia. La chiara separazione visibile tra i tre cluster supporta inequivocabilmente la scelta di questo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per ottenere i componenti interni alle farine.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Applicando quindi questo preprocessing è stato creato un grafico sui loadings come line plot con assexscale: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146213</wp:posOffset>
            </wp:positionH>
            <wp:positionV relativeFrom="paragraph">
              <wp:posOffset>262937</wp:posOffset>
            </wp:positionV>
            <wp:extent cx="5436000" cy="2554920"/>
            <wp:effectExtent b="0" l="0" r="0" t="0"/>
            <wp:wrapTopAndBottom distB="114300" distT="1143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55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Dal quale in combinazione alla seguente tabella, in cui è possibile distinguere i vari componenti data la lunghezza d’onda, è possibile ricavare le composizioni delle varie farine.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361950</wp:posOffset>
            </wp:positionV>
            <wp:extent cx="2999465" cy="3056212"/>
            <wp:effectExtent b="0" l="0" r="0" t="0"/>
            <wp:wrapTopAndBottom distB="114300" distT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9465" cy="3056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114300</wp:posOffset>
            </wp:positionV>
            <wp:extent cx="2991669" cy="4119563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669" cy="4119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Separando le due componenti principali, è possibile vedere che nella </w:t>
      </w:r>
      <w:r w:rsidDel="00000000" w:rsidR="00000000" w:rsidRPr="00000000">
        <w:rPr>
          <w:b w:val="1"/>
          <w:bCs w:val="1"/>
          <w:rtl w:val="0"/>
        </w:rPr>
        <w:t xml:space="preserve">PC1 </w:t>
      </w:r>
      <w:r w:rsidDel="00000000" w:rsidR="00000000" w:rsidRPr="00000000">
        <w:rPr>
          <w:rtl w:val="0"/>
        </w:rPr>
        <w:t xml:space="preserve">si ha una separazione evidente tra il cluster della farina di pesce (parte negativa) da quella di pollo (parte positiva) mentre, nella seconda componente principale </w:t>
      </w:r>
      <w:r w:rsidDel="00000000" w:rsidR="00000000" w:rsidRPr="00000000">
        <w:rPr>
          <w:b w:val="1"/>
          <w:bCs w:val="1"/>
          <w:rtl w:val="0"/>
        </w:rPr>
        <w:t xml:space="preserve">PC2</w:t>
      </w:r>
      <w:r w:rsidDel="00000000" w:rsidR="00000000" w:rsidRPr="00000000">
        <w:rPr>
          <w:rtl w:val="0"/>
        </w:rPr>
        <w:t xml:space="preserve">, si nota una separazione netta tra la farina di bovino (parte positiva) e le altre due entrambi nella regione negativa.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L'analisi prosegue con l'esame dei grafici dei loadings.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 grafici sono cruciali per identificare le lunghezze d'onda più rappresentative per ciascuna componente principale, permettendo così di distinguere i diversi componenti delle farine.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determinare la loro concentrazione interna, queste lunghezze d'onda vengono poi confrontate con quelle precedentemente individuate attraverso il line plot della normalizzazione SNV.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Partendo dalla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314325</wp:posOffset>
            </wp:positionV>
            <wp:extent cx="2661414" cy="2605088"/>
            <wp:effectExtent b="0" l="0" r="0" t="0"/>
            <wp:wrapTopAndBottom distB="114300" distT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1414" cy="2605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jc w:val="left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Proteine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jc w:val="left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4910 (circa 4878 -&gt; N-H simmetrico stretch + amide II)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4590 (circa 4567 -&gt; 2 amide I + amide III)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Lipidi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5780 (circa 5767 -&gt; C-H stretch 1° sovratono gruppi (CH2))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jc w:val="left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Amido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5238 (circa 5263 -&gt; O-H stretch + C-O stretch)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4422 (circa 4440 -&gt; O-H stretch + O-H def.)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4330 (circa 4394 -&gt; O-H stretch + C-C stretch)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4043 (circa 4063 -&gt; O-H stretch + C-C stretch)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Cellulosa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5506 (circa 5495 -&gt; O-H stretch + 2 C-O stretch)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4218, 4263 (circa 4252 -&gt; C-H def. 2° sovratono)</w:t>
      </w:r>
    </w:p>
    <w:p w:rsidR="00000000" w:rsidDel="00000000" w:rsidP="00000000" w:rsidRDefault="00000000" w:rsidRPr="00000000" w14:paraId="00000033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Avendo quindi sulla PC1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farina di pesce e pollo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3207075</wp:posOffset>
            </wp:positionH>
            <wp:positionV relativeFrom="paragraph">
              <wp:posOffset>295275</wp:posOffset>
            </wp:positionV>
            <wp:extent cx="2520000" cy="1987877"/>
            <wp:effectExtent b="0" l="0" r="0" t="0"/>
            <wp:wrapSquare wrapText="bothSides" distB="114300" distT="114300" distL="114300" distR="11430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492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7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Proteine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la farina di pollo ha una presenza maggiore di proteine rispetto a quella del pesce.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Lipidi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Cellulosa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bene o male bilanciati in entrambe le farine.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Amido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nella maggior parte dei casi la farina di pesce presenta una maggiore concentrazione di amidi al suo interno rispetto a quella di pollo.</w:t>
      </w:r>
    </w:p>
    <w:p w:rsidR="00000000" w:rsidDel="00000000" w:rsidP="00000000" w:rsidRDefault="00000000" w:rsidRPr="00000000" w14:paraId="00000038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 quanto riguarda invece la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PC2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1536863</wp:posOffset>
            </wp:positionH>
            <wp:positionV relativeFrom="paragraph">
              <wp:posOffset>326167</wp:posOffset>
            </wp:positionV>
            <wp:extent cx="2660400" cy="2605734"/>
            <wp:effectExtent b="0" l="0" r="0" t="0"/>
            <wp:wrapTopAndBottom distB="114300" distT="1143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400" cy="2605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Proteine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4906 (circa 4878 -&gt; N-H simmetrico stretch + amide II)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4613 (circa 4567 -&gt; 2 amide I + amide III)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Amido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5226 (circa 5263 -&gt; O-H stretch + C-O stretch)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4425 (circa 4440 -&gt; O-H stretch + O-H def.)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4026 (circa 4019 -&gt; O-H stretch + C-C stretch)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4090 (circa 4063 -&gt; O-H stretch + C-C stretch)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Cellulosa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5468 (circa 5495 -&gt; O-H stretch + 2 C-O stretch)</w:t>
      </w:r>
    </w:p>
    <w:p w:rsidR="00000000" w:rsidDel="00000000" w:rsidP="00000000" w:rsidRDefault="00000000" w:rsidRPr="00000000" w14:paraId="00000045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3629025</wp:posOffset>
            </wp:positionH>
            <wp:positionV relativeFrom="paragraph">
              <wp:posOffset>209550</wp:posOffset>
            </wp:positionV>
            <wp:extent cx="2520000" cy="1987295"/>
            <wp:effectExtent b="0" l="0" r="0" t="0"/>
            <wp:wrapSquare wrapText="bothSides" distB="114300" distT="114300" distL="114300" distR="11430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492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7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Avendo sulla PC2 la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farina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bovino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Proteine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la farina di bovino presenta una maggiore quantità di proteine rispetto al pollo e pesce in 4906 e una minore concentrazione in 4613.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Amido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la farina di bovino presenta quasi sempre una minore concentrazione di amidi, tranne in 5226 dove è nettamente superiore alle altre due farine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Cellulosa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bene o male bilanciata rispetto alle altre farine.</w:t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jp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18" Type="http://schemas.openxmlformats.org/officeDocument/2006/relationships/header" Target="header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