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CCTS and Carbon Passport</w:t>
      </w:r>
    </w:p>
    <w:p>
      <w:pPr>
        <w:pStyle w:val="Subtitle"/>
      </w:pPr>
      <w:r>
        <w:t>Climes reporting overview and proposed Saurient integration</w:t>
      </w:r>
    </w:p>
    <w:p>
      <w:r>
        <w:t>Prepared for Santhosh Samudrala and the Carbon Passport development team • 4 October 2026</w:t>
      </w:r>
    </w:p>
    <w:p>
      <w:r>
        <w:t>India’s Carbon Credit Trading Scheme creates a useful compliance use case for Saurient Carbon Passport. We can reuse factory emissions evidence for plant reporting and product traceability, while keeping each framework’s calculations and verification requirements separate. This document explains the Climes page, illustrates intensity calculations and proposes a practical PoC extension.</w:t>
      </w:r>
    </w:p>
    <w:p>
      <w:pPr>
        <w:pStyle w:val="Heading1"/>
      </w:pPr>
      <w:r>
        <w:t>What the Climes page explains</w:t>
      </w:r>
    </w:p>
    <w:p>
      <w:r>
        <w:t>Climes is a commercial software provider. Its CCTS page describes Carbon-OS support for plant boundaries, emissions inventories, production metrics, intensity monitoring and a verification evidence bundle. It emphasises sector-specific output measures, versioned electricity factors and monthly credit surplus or deficit tracking. These are the provider’s descriptions, rather than an independent assessment of its software. [1]</w:t>
      </w:r>
    </w:p>
    <w:p>
      <w:r>
        <w:t>The page is a useful reference for a dedicated India CCTS module. It should not be treated as the authoritative source for an installation’s legal target, reporting deadline or penalty. Those values should come from the applicable official notification and current methodology.</w:t>
      </w:r>
    </w:p>
    <w:p>
      <w:pPr>
        <w:pStyle w:val="Heading1"/>
      </w:pPr>
      <w:r>
        <w:t>Terms in plain language</w:t>
      </w:r>
    </w:p>
    <w:tbl>
      <w:tblPr>
        <w:tblW w:type="auto" w:w="0"/>
        <w:tblLayout w:type="fixed"/>
        <w:tblLook w:firstColumn="1" w:firstRow="1" w:lastColumn="0" w:lastRow="0" w:noHBand="0" w:noVBand="1" w:val="04A0"/>
      </w:tblPr>
      <w:tblGrid>
        <w:gridCol w:w="4968"/>
        <w:gridCol w:w="4968"/>
      </w:tblGrid>
      <w:tr>
        <w:trPr>
          <w:cantSplit/>
          <w:cantSplit/>
          <w:tblHeader/>
        </w:trPr>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Term</w:t>
            </w:r>
          </w:p>
        </w:tc>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Meaning</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CCTS</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India’s Carbon Credit Trading Scheme.</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GHG intensity</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Greenhouse-gas emissions per unit of eligible production.</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CCC</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Carbon Credit Certificate associated with the scheme.</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MRV</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Monitoring, reporting and verification of emissions evidence.</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PCF</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Product carbon footprint within a defined life-cycle boundary.</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CBAM</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A destination market’s carbon border adjustment rules.</w:t>
            </w:r>
          </w:p>
        </w:tc>
      </w:tr>
    </w:tbl>
    <w:p>
      <w:pPr>
        <w:spacing w:before="140"/>
      </w:pPr>
      <w:r>
        <w:br w:type="page"/>
      </w:r>
    </w:p>
    <w:p>
      <w:pPr>
        <w:pStyle w:val="Heading1"/>
      </w:pPr>
      <w:r>
        <w:t>How the intensity calculation works</w:t>
      </w:r>
    </w:p>
    <w:p>
      <w:r>
        <w:t>For a simplified demonstration, calculate eligible plant emissions divided by eligible production. The numerator, denominator, exclusions and adjustments must follow the applicable sector methodology. A generic Scope 1 plus Scope 2 calculation is only a starting illustration, not a universal filing formula.</w:t>
      </w:r>
    </w:p>
    <w:p>
      <w:r>
        <w:t>Actual intensity = Eligible emissions ÷ Eligible production output</w:t>
      </w:r>
    </w:p>
    <w:tbl>
      <w:tblPr>
        <w:tblW w:type="auto" w:w="0"/>
        <w:tblLayout w:type="fixed"/>
        <w:tblLook w:firstColumn="1" w:firstRow="1" w:lastColumn="0" w:lastRow="0" w:noHBand="0" w:noVBand="1" w:val="04A0"/>
      </w:tblPr>
      <w:tblGrid>
        <w:gridCol w:w="4968"/>
        <w:gridCol w:w="4968"/>
      </w:tblGrid>
      <w:tr>
        <w:trPr>
          <w:cantSplit/>
          <w:cantSplit/>
          <w:tblHeader/>
        </w:trPr>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Illustrative cement plant input</w:t>
            </w:r>
          </w:p>
        </w:tc>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Value</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Eligible emissions</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80,000 tCO₂e</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Eligible output</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100,000 tonnes</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Actual intensity</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0.80 tCO₂e per tonne</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Hypothetical target</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0.85 tCO₂e per tonne</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Difference below target</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0.05 tCO₂e per tonne</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Illustrative surplus estimate</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5,000 tCO₂e equivalent</w:t>
            </w:r>
          </w:p>
        </w:tc>
      </w:tr>
    </w:tbl>
    <w:p>
      <w:pPr>
        <w:spacing w:before="140"/>
      </w:pPr>
      <w:r>
        <w:t>Illustrative surplus = (0.85 − 0.80) × 100,000 = 5,000. If actual intensity were 0.90 instead, the same arithmetic would indicate a 5,000 tCO₂e equivalent deficit. These are demo estimates; verification and official issuance determine the actual CCC position.</w:t>
      </w:r>
    </w:p>
    <w:p>
      <w:pPr>
        <w:pStyle w:val="Heading1"/>
      </w:pPr>
      <w:r>
        <w:t>Why this helps Carbon Passport</w:t>
      </w:r>
    </w:p>
    <w:p>
      <w:r>
        <w:t>The proposed CCTS module answers a plant-level question: how does performance compare with the applicable intensity target? Carbon Passport answers a product-level question: what emissions and supporting evidence belong to this product or batch? Both can use a common evidence store, but they require distinct boundaries and calculation rules.</w:t>
      </w:r>
    </w:p>
    <w:p>
      <w:r>
        <w:t>For example, a product footprint may include supplier materials and transport that sit outside the plant compliance inventory. Conversely, annual plant emissions cannot simply be copied into every batch passport. The PCF engine must allocate relevant emissions using a documented method and reconcile the allocated totals.</w:t>
      </w:r>
    </w:p>
    <w:p>
      <w:r>
        <w:t>Credits purchased or surrendered should remain in a separate ledger. They must not automatically reduce the product’s gross physical emissions. Track reduction actions and changes in actual emissions alongside credit transactions so users can distinguish operational improvement from compliance settlement.</w:t>
      </w:r>
    </w:p>
    <w:p>
      <w:r>
        <w:br w:type="page"/>
      </w:r>
    </w:p>
    <w:p>
      <w:pPr>
        <w:pStyle w:val="Heading1"/>
      </w:pPr>
      <w:r>
        <w:t>Proposed modules and data flow</w:t>
      </w:r>
    </w:p>
    <w:p>
      <w:r>
        <w:t>Use shared raw data from SaTTric+, meters, ERP records and manual uploads. After quality checks, run separate calculations for CCTS and product footprints. Link their verified results through installation, reporting period, product and batch identifiers.</w:t>
      </w:r>
    </w:p>
    <w:tbl>
      <w:tblPr>
        <w:tblW w:type="auto" w:w="0"/>
        <w:tblLayout w:type="fixed"/>
        <w:tblLook w:firstColumn="1" w:firstRow="1" w:lastColumn="0" w:lastRow="0" w:noHBand="0" w:noVBand="1" w:val="04A0"/>
      </w:tblPr>
      <w:tblGrid>
        <w:gridCol w:w="4968"/>
        <w:gridCol w:w="4968"/>
      </w:tblGrid>
      <w:tr>
        <w:trPr>
          <w:cantSplit/>
          <w:cantSplit/>
          <w:tblHeader/>
        </w:trPr>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Module</w:t>
            </w:r>
          </w:p>
        </w:tc>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Core records</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Installation and rules</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Entity ID, plant, sector, period, target, output unit and official rule version.</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GHG inventory</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Activity quantities, units, source documents, emission factors and calculation versions.</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CCTS position</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Eligible output, intensity, target variance and estimated surplus or deficit.</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Verification</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Reviewer, qualification evidence, findings, signed report and approval status.</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CCC ledger</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Issued, purchased, sold, surrendered or banked certificates and registry references.</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Product footprint</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BOM, suppliers, boundary, allocation method, batch output and gross emissions.</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Carbon Passport</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Passport ID, PCF version, evidence links, status, QR and revision history.</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Export evidence</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Destination rules, goods classification, embedded emissions and carbon-price evidence.</w:t>
            </w:r>
          </w:p>
        </w:tc>
      </w:tr>
    </w:tbl>
    <w:p>
      <w:pPr>
        <w:pStyle w:val="Heading1"/>
        <w:spacing w:before="140"/>
      </w:pPr>
      <w:r>
        <w:t>Workflow for the development team</w:t>
      </w:r>
    </w:p>
    <w:p>
      <w:r>
        <w:t>1. Register the installation and load the applicable CCTS rule and target.</w:t>
        <w:br/>
        <w:t>2. Collect emissions activity and production records with source references.</w:t>
        <w:br/>
        <w:t>3. Calculate intensity and display a provisional credit position.</w:t>
        <w:br/>
        <w:t>4. Submit the evidence bundle for verification and retain signed outcomes.</w:t>
        <w:br/>
        <w:t>5. Record official certificate transactions and registry identifiers separately.</w:t>
        <w:br/>
        <w:t>6. Calculate the product footprint under its own boundary and allocation rules.</w:t>
        <w:br/>
        <w:t>7. Issue a versioned passport linked to approved evidence.</w:t>
        <w:br/>
        <w:t>8. Prepare the destination-specific export pack and relief estimate.</w:t>
      </w:r>
    </w:p>
    <w:p>
      <w:r>
        <w:t>Keep verified versions frozen. Corrections should create a new version with an audit trail. A passport status must distinguish a platform approval, an independent verification and an official registry event; one should never imply the others.</w:t>
      </w:r>
    </w:p>
    <w:p>
      <w:r>
        <w:br w:type="page"/>
      </w:r>
    </w:p>
    <w:p>
      <w:pPr>
        <w:pStyle w:val="Heading1"/>
      </w:pPr>
      <w:r>
        <w:t>UK carbon price relief opportunity</w:t>
      </w:r>
    </w:p>
    <w:p>
      <w:r>
        <w:t>HMRC’s published qualifying-schemes list includes India’s CCTS. Eligible overseas carbon pricing may support relief against UK CBAM, subject to the relevant requirements. The relief depends on the effective carbon price borne; free allowances, rebates and refunds can reduce it. The liable importer remains responsible for eligibility and the claim. [2]</w:t>
      </w:r>
    </w:p>
    <w:p>
      <w:r>
        <w:t>This creates a proposed evidence-management opportunity for Saurient. Store carbon costs, settlement documents and the allocation of those costs to the exported goods. Recognition of the scheme does not guarantee relief for every exporter, certificate transaction or passport. UK recognition also does not establish EU eligibility.</w:t>
      </w:r>
    </w:p>
    <w:p>
      <w:pPr>
        <w:pStyle w:val="Heading1"/>
      </w:pPr>
      <w:r>
        <w:t>A focused PoC addition</w:t>
      </w:r>
    </w:p>
    <w:p>
      <w:r>
        <w:t>Add an India CCTS overview page and a Carbon Pricing and CBAM Relief section on Passport Detail. Use seeded demo data with visible assumptions and an estimate status. Keep regulatory rates and verified carbon costs configurable rather than presenting placeholders as official values.</w:t>
      </w:r>
    </w:p>
    <w:tbl>
      <w:tblPr>
        <w:tblW w:type="auto" w:w="0"/>
        <w:tblLayout w:type="fixed"/>
        <w:tblLook w:firstColumn="1" w:firstRow="1" w:lastColumn="0" w:lastRow="0" w:noHBand="0" w:noVBand="1" w:val="04A0"/>
      </w:tblPr>
      <w:tblGrid>
        <w:gridCol w:w="4968"/>
        <w:gridCol w:w="4968"/>
      </w:tblGrid>
      <w:tr>
        <w:trPr>
          <w:cantSplit/>
          <w:cantSplit/>
          <w:tblHeader/>
        </w:trPr>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Demo component</w:t>
            </w:r>
          </w:p>
        </w:tc>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Display</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CCTS overview</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Target, actual intensity, output, variance and provisional CCC position.</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Carbon pricing section</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Origin, scheme, period, costs borne, rebates, evidence and verification status.</w:t>
            </w:r>
          </w:p>
        </w:tc>
      </w:tr>
      <w:tr>
        <w:trPr>
          <w:cantSplit/>
          <w:cantSplit/>
        </w:trPr>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Relief preview</w:t>
            </w:r>
          </w:p>
        </w:tc>
        <w:tc>
          <w:tcPr>
            <w:tcW w:type="dxa" w:w="4968"/>
            <w:tcBorders>
              <w:top w:val="single" w:sz="4" w:color="D9D9D9"/>
              <w:left w:val="single" w:sz="4" w:color="D9D9D9"/>
              <w:bottom w:val="single" w:sz="4" w:color="D9D9D9"/>
              <w:right w:val="single" w:sz="4" w:color="D9D9D9"/>
            </w:tcBorders>
            <w:shd w:fill="FFFFFF"/>
          </w:tcPr>
          <w:p>
            <w:pPr>
              <w:spacing w:after="100" w:before="100"/>
            </w:pPr>
            <w:r>
              <w:rPr>
                <w:b w:val="0"/>
                <w:sz w:val="20"/>
              </w:rPr>
              <w:t>Gross obligation, eligible relief and estimated net obligation under destination rules.</w:t>
            </w:r>
          </w:p>
        </w:tc>
      </w:tr>
      <w:tr>
        <w:trPr>
          <w:cantSplit/>
          <w:cantSplit/>
        </w:trPr>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Actions</w:t>
            </w:r>
          </w:p>
        </w:tc>
        <w:tc>
          <w:tcPr>
            <w:tcW w:type="dxa" w:w="4968"/>
            <w:tcBorders>
              <w:top w:val="single" w:sz="4" w:color="D9D9D9"/>
              <w:left w:val="single" w:sz="4" w:color="D9D9D9"/>
              <w:bottom w:val="single" w:sz="4" w:color="D9D9D9"/>
              <w:right w:val="single" w:sz="4" w:color="D9D9D9"/>
            </w:tcBorders>
            <w:shd w:fill="F5F7FA"/>
          </w:tcPr>
          <w:p>
            <w:pPr>
              <w:spacing w:after="100" w:before="100"/>
            </w:pPr>
            <w:r>
              <w:rPr>
                <w:b w:val="0"/>
                <w:sz w:val="20"/>
              </w:rPr>
              <w:t>View Calculation, View Evidence, Verifier Record and Generate Export Pack.</w:t>
            </w:r>
          </w:p>
        </w:tc>
      </w:tr>
    </w:tbl>
    <w:p>
      <w:pPr>
        <w:spacing w:before="140"/>
      </w:pPr>
      <w:r>
        <w:t>The demonstration should show the same source evidence travelling from the plant inventory into a product footprint and passport, then into a destination-specific export package. Automated government submission, registry trading and official certification remain future integrations unless separately implemented and authorised.</w:t>
      </w:r>
    </w:p>
    <w:p>
      <w:pPr>
        <w:pStyle w:val="Heading1"/>
      </w:pPr>
      <w:r>
        <w:t>Sources and implementation basis</w:t>
      </w:r>
    </w:p>
    <w:p>
      <w:r>
        <w:t>[1] Climes — CCTS reporting India. Accessed 4 October 2026.</w:t>
        <w:br/>
        <w:t>https://www.climes.io/ccts-reporting-india</w:t>
      </w:r>
    </w:p>
    <w:p>
      <w:r>
        <w:t>[2] HM Revenue and Customs — List of current qualifying carbon pricing schemes. Published 27 August 2026; accessed 4 October 2026.</w:t>
        <w:br/>
        <w:t>https://www.gov.uk/government/publications/uk-cbam-current-qualifying-carbon-pricing-schemes/carbon-border-adjustment-mechanism-list-of-current-qualifying-carbon-pricing-schemes</w:t>
      </w:r>
    </w:p>
    <w:p>
      <w:r>
        <w:t>The module design and worked figures are Saurient planning recommendations. Before production use, validate the installation’s current official target, sector methodology, verifier eligibility and destination rules.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Saurient AI Labs  |  Carbon Passport planning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