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E8B57"/>
          <w:sz w:val="32"/>
        </w:rPr>
        <w:t>CARBON PASSPORT</w:t>
      </w:r>
    </w:p>
    <w:p>
      <w:pPr>
        <w:jc w:val="center"/>
      </w:pPr>
      <w:r>
        <w:rPr>
          <w:b/>
          <w:color w:val="153A5B"/>
          <w:sz w:val="60"/>
        </w:rPr>
        <w:t>Mitigation &amp; Decarbonization</w:t>
        <w:br/>
        <w:t>Decision Engine Blueprint</w:t>
      </w:r>
    </w:p>
    <w:p>
      <w:pPr>
        <w:jc w:val="center"/>
      </w:pPr>
      <w:r>
        <w:rPr>
          <w:color w:val="5A6B7B"/>
          <w:sz w:val="24"/>
        </w:rPr>
        <w:t>Developer-ready product architecture for turning emissions data into prioritized, measurable, verifiable reduction actions</w:t>
      </w:r>
    </w:p>
    <w:tbl>
      <w:tblPr>
        <w:tblW w:type="auto" w:w="0"/>
        <w:jc w:val="center"/>
        <w:tblLook w:firstColumn="1" w:firstRow="1" w:lastColumn="0" w:lastRow="0" w:noHBand="0" w:noVBand="1" w:val="04A0"/>
      </w:tblPr>
      <w:tblGrid>
        <w:gridCol w:w="3408"/>
        <w:gridCol w:w="3408"/>
        <w:gridCol w:w="3408"/>
      </w:tblGrid>
      <w:tr>
        <w:trPr>
          <w:cantSplit/>
        </w:trPr>
        <w:tc>
          <w:tcPr>
            <w:tcW w:type="dxa" w:w="3408"/>
            <w:shd w:fill="1F6EAA"/>
            <w:tcMar>
              <w:top w:w="180" w:type="dxa"/>
              <w:start w:w="120" w:type="dxa"/>
              <w:bottom w:w="180" w:type="dxa"/>
              <w:end w:w="120" w:type="dxa"/>
            </w:tcMar>
          </w:tcPr>
          <w:p>
            <w:pPr>
              <w:spacing w:after="40" w:line="240" w:lineRule="auto"/>
              <w:jc w:val="center"/>
            </w:pPr>
            <w:r>
              <w:rPr>
                <w:b/>
                <w:color w:val="FFFFFF"/>
                <w:sz w:val="24"/>
              </w:rPr>
              <w:t>MEASURE</w:t>
              <w:br/>
            </w:r>
            <w:r>
              <w:rPr>
                <w:color w:val="FFFFFF"/>
                <w:sz w:val="17"/>
              </w:rPr>
              <w:t>Live &amp; reported emissions</w:t>
            </w:r>
          </w:p>
        </w:tc>
        <w:tc>
          <w:tcPr>
            <w:tcW w:type="dxa" w:w="3408"/>
            <w:shd w:fill="2E8B57"/>
            <w:tcMar>
              <w:top w:w="180" w:type="dxa"/>
              <w:start w:w="120" w:type="dxa"/>
              <w:bottom w:w="180" w:type="dxa"/>
              <w:end w:w="120" w:type="dxa"/>
            </w:tcMar>
          </w:tcPr>
          <w:p>
            <w:pPr>
              <w:spacing w:after="40" w:line="240" w:lineRule="auto"/>
              <w:jc w:val="center"/>
            </w:pPr>
            <w:r>
              <w:rPr>
                <w:b/>
                <w:color w:val="FFFFFF"/>
                <w:sz w:val="24"/>
              </w:rPr>
              <w:t>MITIGATE</w:t>
              <w:br/>
            </w:r>
            <w:r>
              <w:rPr>
                <w:color w:val="FFFFFF"/>
                <w:sz w:val="17"/>
              </w:rPr>
              <w:t>Recommend &amp; execute actions</w:t>
            </w:r>
          </w:p>
        </w:tc>
        <w:tc>
          <w:tcPr>
            <w:tcW w:type="dxa" w:w="3408"/>
            <w:shd w:fill="153A5B"/>
            <w:tcMar>
              <w:top w:w="180" w:type="dxa"/>
              <w:start w:w="120" w:type="dxa"/>
              <w:bottom w:w="180" w:type="dxa"/>
              <w:end w:w="120" w:type="dxa"/>
            </w:tcMar>
          </w:tcPr>
          <w:p>
            <w:pPr>
              <w:spacing w:after="40" w:line="240" w:lineRule="auto"/>
              <w:jc w:val="center"/>
            </w:pPr>
            <w:r>
              <w:rPr>
                <w:b/>
                <w:color w:val="FFFFFF"/>
                <w:sz w:val="24"/>
              </w:rPr>
              <w:t>VERIFY</w:t>
              <w:br/>
            </w:r>
            <w:r>
              <w:rPr>
                <w:color w:val="FFFFFF"/>
                <w:sz w:val="17"/>
              </w:rPr>
              <w:t>Prove actual reductions</w:t>
            </w:r>
          </w:p>
        </w:tc>
      </w:tr>
    </w:tbl>
    <w:p/>
    <w:tbl>
      <w:tblPr>
        <w:tblW w:type="auto" w:w="0"/>
        <w:jc w:val="center"/>
        <w:tblLook w:firstColumn="1" w:firstRow="1" w:lastColumn="0" w:lastRow="0" w:noHBand="0" w:noVBand="1" w:val="04A0"/>
      </w:tblPr>
      <w:tblGrid>
        <w:gridCol w:w="10224"/>
      </w:tblGrid>
      <w:tr>
        <w:trPr>
          <w:cantSplit/>
        </w:trPr>
        <w:tc>
          <w:tcPr>
            <w:tcW w:type="dxa" w:w="10224"/>
            <w:shd w:fill="EAF6EF"/>
            <w:tcMar>
              <w:top w:w="120" w:type="dxa"/>
              <w:start w:w="140" w:type="dxa"/>
              <w:bottom w:w="120" w:type="dxa"/>
              <w:end w:w="140" w:type="dxa"/>
            </w:tcMar>
          </w:tcPr>
          <w:p>
            <w:pPr>
              <w:spacing w:after="40" w:line="240" w:lineRule="auto"/>
            </w:pPr>
            <w:r>
              <w:rPr>
                <w:b/>
                <w:color w:val="2E8B57"/>
                <w:sz w:val="21"/>
              </w:rPr>
              <w:t>North-star product principle</w:t>
              <w:br/>
            </w:r>
            <w:r>
              <w:rPr>
                <w:color w:val="22313F"/>
                <w:sz w:val="18"/>
              </w:rPr>
              <w:t>Carbon Passport must never recommend a mitigation without explaining the trigger, estimated tCO₂e reduction, financial impact, confidence level, assumptions, evidence required and the method by which the realized reduction will be verified.</w:t>
            </w:r>
          </w:p>
        </w:tc>
      </w:tr>
    </w:tbl>
    <w:p>
      <w:pPr>
        <w:spacing w:after="40"/>
      </w:pPr>
    </w:p>
    <w:p>
      <w:pPr>
        <w:spacing w:before="840"/>
        <w:jc w:val="center"/>
      </w:pPr>
      <w:r>
        <w:rPr>
          <w:color w:val="657585"/>
          <w:sz w:val="18"/>
        </w:rPr>
        <w:t>Prepared for Saurient AI Labs Pvt. Ltd.</w:t>
        <w:br/>
        <w:t>Product, Engineering, MRV, Sustainability &amp; Verification Teams</w:t>
        <w:br/>
        <w:t>Version 1.0 | October 2026</w:t>
      </w:r>
    </w:p>
    <w:p>
      <w:r>
        <w:br w:type="page"/>
      </w:r>
    </w:p>
    <w:p>
      <w:pPr>
        <w:pStyle w:val="Heading1"/>
      </w:pPr>
      <w:r>
        <w:t>1. Executive Summary</w:t>
      </w:r>
    </w:p>
    <w:p>
      <w:r>
        <w:t>Carbon Passport should evolve from an emissions accounting and passport platform into a closed-loop decarbonization operating system. The mitigation layer should convert measured Scope 1, Scope 2, Scope 3, facility, process, supplier, batch and product-carbon-footprint data into ranked interventions that can be approved, implemented, measured and independently verified.</w:t>
      </w:r>
    </w:p>
    <w:tbl>
      <w:tblPr>
        <w:tblW w:type="auto" w:w="0"/>
        <w:jc w:val="center"/>
        <w:tblLook w:firstColumn="1" w:firstRow="1" w:lastColumn="0" w:lastRow="0" w:noHBand="0" w:noVBand="1" w:val="04A0"/>
      </w:tblPr>
      <w:tblGrid>
        <w:gridCol w:w="10224"/>
      </w:tblGrid>
      <w:tr>
        <w:trPr>
          <w:cantSplit/>
        </w:trPr>
        <w:tc>
          <w:tcPr>
            <w:tcW w:type="dxa" w:w="10224"/>
            <w:shd w:fill="EAF3F9"/>
            <w:tcMar>
              <w:top w:w="120" w:type="dxa"/>
              <w:start w:w="140" w:type="dxa"/>
              <w:bottom w:w="120" w:type="dxa"/>
              <w:end w:w="140" w:type="dxa"/>
            </w:tcMar>
          </w:tcPr>
          <w:p>
            <w:pPr>
              <w:spacing w:after="40" w:line="240" w:lineRule="auto"/>
            </w:pPr>
            <w:r>
              <w:rPr>
                <w:b/>
                <w:color w:val="1F6EAA"/>
                <w:sz w:val="21"/>
              </w:rPr>
              <w:t>The target operating model</w:t>
              <w:br/>
            </w:r>
            <w:r>
              <w:rPr>
                <w:color w:val="22313F"/>
                <w:sz w:val="18"/>
              </w:rPr>
              <w:t>MEASURE → DETECT HOTSPOT → DIAGNOSE → RECOMMEND → SIMULATE → PRIORITIZE → APPROVE → IMPLEMENT → MONITOR → VERIFY → UPDATE CCF/PCF/PASSPORT</w:t>
            </w:r>
          </w:p>
        </w:tc>
      </w:tr>
    </w:tbl>
    <w:p>
      <w:pPr>
        <w:spacing w:after="40"/>
      </w:pPr>
    </w:p>
    <w:p>
      <w:pPr>
        <w:pStyle w:val="Heading2"/>
      </w:pPr>
      <w:r>
        <w:t>What the decision engine must accomplish</w:t>
      </w:r>
    </w:p>
    <w:p>
      <w:pPr>
        <w:pStyle w:val="ListBullet"/>
        <w:ind w:left="0"/>
      </w:pPr>
      <w:r>
        <w:t>Identify the largest controllable emission hotspots at facility, process, asset, supplier and product level.</w:t>
      </w:r>
    </w:p>
    <w:p>
      <w:pPr>
        <w:pStyle w:val="ListBullet"/>
        <w:ind w:left="0"/>
      </w:pPr>
      <w:r>
        <w:t>Match each hotspot with technically relevant mitigation measures from a controlled mitigation library.</w:t>
      </w:r>
    </w:p>
    <w:p>
      <w:pPr>
        <w:pStyle w:val="ListBullet"/>
        <w:ind w:left="0"/>
      </w:pPr>
      <w:r>
        <w:t>Estimate reduction potential, cost, annual savings, payback, marginal abatement cost and implementation complexity.</w:t>
      </w:r>
    </w:p>
    <w:p>
      <w:pPr>
        <w:pStyle w:val="ListBullet"/>
        <w:ind w:left="0"/>
      </w:pPr>
      <w:r>
        <w:t>Rank recommendations using transparent rules rather than opaque AI-only suggestions.</w:t>
      </w:r>
    </w:p>
    <w:p>
      <w:pPr>
        <w:pStyle w:val="ListBullet"/>
        <w:ind w:left="0"/>
      </w:pPr>
      <w:r>
        <w:t>Convert accepted recommendations into mitigation projects with owners, milestones, evidence and MRV plans.</w:t>
      </w:r>
    </w:p>
    <w:p>
      <w:pPr>
        <w:pStyle w:val="ListBullet"/>
        <w:ind w:left="0"/>
      </w:pPr>
      <w:r>
        <w:t>Compare baseline vs post-implementation performance and calculate realized reduction.</w:t>
      </w:r>
    </w:p>
    <w:p>
      <w:pPr>
        <w:pStyle w:val="ListBullet"/>
        <w:ind w:left="0"/>
      </w:pPr>
      <w:r>
        <w:t>Route material reductions for verifier review and prevent double counting.</w:t>
      </w:r>
    </w:p>
    <w:p>
      <w:pPr>
        <w:pStyle w:val="ListBullet"/>
        <w:ind w:left="0"/>
      </w:pPr>
      <w:r>
        <w:t>Propagate verified reductions into organizational footprints and product passports.</w:t>
      </w:r>
    </w:p>
    <w:p>
      <w:pPr>
        <w:pStyle w:val="Heading2"/>
      </w:pPr>
      <w:r>
        <w:t>Standards alignment</w:t>
      </w:r>
    </w:p>
    <w:p>
      <w:r>
        <w:t>The design should align with GHG Protocol accounting boundaries and Scope 3 hotspot identification, ISO 14064 principles for quantification/reporting/verification, and the SBTi implementation hierarchy that prioritizes direct activity-level emissions reductions before broader shared-system or sector-level interventions. Carbon credits and removals must remain visibly separated from operational reductions.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Reference</w:t>
            </w:r>
          </w:p>
        </w:tc>
        <w:tc>
          <w:tcPr>
            <w:tcW w:type="dxa" w:w="7488"/>
            <w:vAlign w:val="center"/>
            <w:tcMar>
              <w:top w:w="80" w:type="dxa"/>
              <w:start w:w="100" w:type="dxa"/>
              <w:bottom w:w="80" w:type="dxa"/>
              <w:end w:w="100" w:type="dxa"/>
            </w:tcMar>
            <w:shd w:fill="153A5B"/>
          </w:tcPr>
          <w:p>
            <w:pPr>
              <w:spacing w:after="40" w:line="240" w:lineRule="auto"/>
            </w:pPr>
            <w:r/>
            <w:r>
              <w:rPr>
                <w:rFonts w:ascii="Aptos" w:hAnsi="Aptos"/>
                <w:b/>
                <w:color w:val="FFFFFF"/>
                <w:sz w:val="16"/>
              </w:rPr>
              <w:t>How Carbon Passport should use it</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GHG Protocol</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Inventory boundaries, Scope 1/2/3 categorization, emission factors, Scope 3 hotspot focus and transparent reporting.</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ISO 14064-1 / 14064 series</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Quality controls, quantification methods, documentation, inventory governance and verification readiness.</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SBTi Corporate Net-Zero Standard V2.0</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Prioritize direct/activity-level mitigation first; use shared-system actions where relevant; clearly disclose assumptions and progress.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Internal MRV methodology</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Project-specific baseline, normalization, monitoring period, evidence, verifier workflow and frozen verified results.</w:t>
            </w:r>
          </w:p>
        </w:tc>
      </w:tr>
    </w:tbl>
    <w:p>
      <w:pPr>
        <w:spacing w:after="40"/>
      </w:pPr>
    </w:p>
    <w:p>
      <w:pPr>
        <w:pStyle w:val="Heading1"/>
      </w:pPr>
      <w:r>
        <w:t>2. Carbon Passport Mitigation Product Principles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Principle</w:t>
            </w:r>
          </w:p>
        </w:tc>
        <w:tc>
          <w:tcPr>
            <w:tcW w:type="dxa" w:w="7488"/>
            <w:vAlign w:val="center"/>
            <w:tcMar>
              <w:top w:w="80" w:type="dxa"/>
              <w:start w:w="100" w:type="dxa"/>
              <w:bottom w:w="80" w:type="dxa"/>
              <w:end w:w="100" w:type="dxa"/>
            </w:tcMar>
            <w:shd w:fill="153A5B"/>
          </w:tcPr>
          <w:p>
            <w:pPr>
              <w:spacing w:after="40" w:line="240" w:lineRule="auto"/>
            </w:pPr>
            <w:r/>
            <w:r>
              <w:rPr>
                <w:rFonts w:ascii="Aptos" w:hAnsi="Aptos"/>
                <w:b/>
                <w:color w:val="FFFFFF"/>
                <w:sz w:val="16"/>
              </w:rPr>
              <w:t>Required behavior</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1. Reduction before compensation</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Operational efficiency, process changes, electrification, renewable energy and supplier transformation must be prioritized before offsets/credits.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2. Explainable decisions</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Every recommendation displays trigger rules, data used, assumptions, formulas and confidence.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3. Measured beats estimated</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SaurEdge/interval-meter/production telemetry should upgrade confidence and verification quality whenever available.</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4. Financial + carbon view</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The decision engine optimizes both tCO₂e and business value; managers need CAPEX, OPEX, savings and payback.</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5. Baseline integrity</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No “verified reduction” without a documented baseline, boundary, normalization method and monitoring period.</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6. No double counting</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 reduction can be attributed once within the defined reporting boundary; downstream passport propagation must preserve lineage.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7. Human approval</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AI may recommend and summarize; material project approval, engineering feasibility and verifier sign-off remain human-controlled.</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8. Version everything</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Emission factors, recommendation rules, baselines, scenarios and verified outputs require version history and audit trails.</w:t>
            </w:r>
          </w:p>
        </w:tc>
      </w:tr>
    </w:tbl>
    <w:p>
      <w:pPr>
        <w:spacing w:after="40"/>
      </w:pPr>
    </w:p>
    <w:p>
      <w:pPr>
        <w:pStyle w:val="Heading1"/>
      </w:pPr>
      <w:r>
        <w:t>3. Decision Engine Architecture</w:t>
      </w:r>
    </w:p>
    <w:tbl>
      <w:tblPr>
        <w:tblW w:type="auto" w:w="0"/>
        <w:jc w:val="center"/>
        <w:tblLook w:firstColumn="1" w:firstRow="1" w:lastColumn="0" w:lastRow="0" w:noHBand="0" w:noVBand="1" w:val="04A0"/>
      </w:tblPr>
      <w:tblGrid>
        <w:gridCol w:w="10224"/>
      </w:tblGrid>
      <w:tr>
        <w:trPr>
          <w:cantSplit/>
        </w:trPr>
        <w:tc>
          <w:tcPr>
            <w:tcW w:type="dxa" w:w="10224"/>
            <w:shd w:fill="EAF6EF"/>
            <w:tcMar>
              <w:top w:w="120" w:type="dxa"/>
              <w:start w:w="140" w:type="dxa"/>
              <w:bottom w:w="120" w:type="dxa"/>
              <w:end w:w="140" w:type="dxa"/>
            </w:tcMar>
          </w:tcPr>
          <w:p>
            <w:pPr>
              <w:spacing w:after="40" w:line="240" w:lineRule="auto"/>
            </w:pPr>
            <w:r>
              <w:rPr>
                <w:b/>
                <w:color w:val="2E8B57"/>
                <w:sz w:val="21"/>
              </w:rPr>
              <w:t>Recommended architecture</w:t>
              <w:br/>
            </w:r>
            <w:r>
              <w:rPr>
                <w:color w:val="22313F"/>
                <w:sz w:val="18"/>
              </w:rPr>
              <w:t>Data Ingestion → Emission Normalization → Hotspot Engine → Mitigation Matcher → Scenario Engine → Financial Engine → Priority Scoring → Recommendation UI → Project Workflow → MRV Engine → Verification → Passport Update</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88"/>
            <w:vAlign w:val="center"/>
            <w:tcMar>
              <w:top w:w="80" w:type="dxa"/>
              <w:start w:w="100" w:type="dxa"/>
              <w:bottom w:w="80" w:type="dxa"/>
              <w:end w:w="100" w:type="dxa"/>
            </w:tcMar>
            <w:shd w:fill="153A5B"/>
          </w:tcPr>
          <w:p>
            <w:pPr>
              <w:spacing w:after="40" w:line="240" w:lineRule="auto"/>
            </w:pPr>
            <w:r/>
            <w:r>
              <w:rPr>
                <w:rFonts w:ascii="Aptos" w:hAnsi="Aptos"/>
                <w:b/>
                <w:color w:val="FFFFFF"/>
                <w:sz w:val="16"/>
              </w:rPr>
              <w:t>Layer</w:t>
            </w:r>
          </w:p>
        </w:tc>
        <w:tc>
          <w:tcPr>
            <w:tcW w:type="dxa" w:w="4680"/>
            <w:vAlign w:val="center"/>
            <w:tcMar>
              <w:top w:w="80" w:type="dxa"/>
              <w:start w:w="100" w:type="dxa"/>
              <w:bottom w:w="80" w:type="dxa"/>
              <w:end w:w="100" w:type="dxa"/>
            </w:tcMar>
            <w:shd w:fill="153A5B"/>
          </w:tcPr>
          <w:p>
            <w:pPr>
              <w:spacing w:after="40" w:line="240" w:lineRule="auto"/>
            </w:pPr>
            <w:r/>
            <w:r>
              <w:rPr>
                <w:rFonts w:ascii="Aptos" w:hAnsi="Aptos"/>
                <w:b/>
                <w:color w:val="FFFFFF"/>
                <w:sz w:val="16"/>
              </w:rPr>
              <w:t>Inputs</w:t>
            </w:r>
          </w:p>
        </w:tc>
        <w:tc>
          <w:tcPr>
            <w:tcW w:type="dxa" w:w="3600"/>
            <w:vAlign w:val="center"/>
            <w:tcMar>
              <w:top w:w="80" w:type="dxa"/>
              <w:start w:w="100" w:type="dxa"/>
              <w:bottom w:w="80" w:type="dxa"/>
              <w:end w:w="100" w:type="dxa"/>
            </w:tcMar>
            <w:shd w:fill="153A5B"/>
          </w:tcPr>
          <w:p>
            <w:pPr>
              <w:spacing w:after="40" w:line="240" w:lineRule="auto"/>
            </w:pPr>
            <w:r/>
            <w:r>
              <w:rPr>
                <w:rFonts w:ascii="Aptos" w:hAnsi="Aptos"/>
                <w:b/>
                <w:color w:val="FFFFFF"/>
                <w:sz w:val="16"/>
              </w:rPr>
              <w:t>Primary output</w:t>
            </w:r>
          </w:p>
        </w:tc>
      </w:tr>
      <w:tr>
        <w:trPr>
          <w:cantSplit/>
        </w:trPr>
        <w:tc>
          <w:tcPr>
            <w:tcW w:type="dxa" w:w="2088"/>
            <w:vAlign w:val="center"/>
            <w:tcMar>
              <w:top w:w="80" w:type="dxa"/>
              <w:start w:w="100" w:type="dxa"/>
              <w:bottom w:w="80" w:type="dxa"/>
              <w:end w:w="100" w:type="dxa"/>
            </w:tcMar>
          </w:tcPr>
          <w:p>
            <w:pPr>
              <w:spacing w:after="40" w:line="240" w:lineRule="auto"/>
            </w:pPr>
            <w:r/>
            <w:r>
              <w:rPr>
                <w:rFonts w:ascii="Aptos" w:hAnsi="Aptos"/>
                <w:b w:val="0"/>
                <w:color w:val="22313F"/>
                <w:sz w:val="16"/>
              </w:rPr>
              <w:t>1. Data ingestion</w:t>
            </w:r>
          </w:p>
        </w:tc>
        <w:tc>
          <w:tcPr>
            <w:tcW w:type="dxa" w:w="4680"/>
            <w:vAlign w:val="center"/>
            <w:tcMar>
              <w:top w:w="80" w:type="dxa"/>
              <w:start w:w="100" w:type="dxa"/>
              <w:bottom w:w="80" w:type="dxa"/>
              <w:end w:w="100" w:type="dxa"/>
            </w:tcMar>
          </w:tcPr>
          <w:p>
            <w:pPr>
              <w:spacing w:after="40" w:line="240" w:lineRule="auto"/>
            </w:pPr>
            <w:r/>
            <w:r>
              <w:rPr>
                <w:rFonts w:ascii="Aptos" w:hAnsi="Aptos"/>
                <w:b w:val="0"/>
                <w:color w:val="22313F"/>
                <w:sz w:val="16"/>
              </w:rPr>
              <w:t>Bills, SaurEdge telemetry, meters, fuel, ERP, BOM, logistics, supplier declarations</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Normalized activity data</w:t>
            </w:r>
          </w:p>
        </w:tc>
      </w:tr>
      <w:tr>
        <w:trPr>
          <w:cantSplit/>
        </w:trPr>
        <w:tc>
          <w:tcPr>
            <w:tcW w:type="dxa" w:w="20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2. Emission calculation</w:t>
            </w:r>
          </w:p>
        </w:tc>
        <w:tc>
          <w:tcPr>
            <w:tcW w:type="dxa" w:w="46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Activity × factor, PCF/CCF rules</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tCO₂e by source/time/product</w:t>
            </w:r>
          </w:p>
        </w:tc>
      </w:tr>
      <w:tr>
        <w:trPr>
          <w:cantSplit/>
        </w:trPr>
        <w:tc>
          <w:tcPr>
            <w:tcW w:type="dxa" w:w="2088"/>
            <w:vAlign w:val="center"/>
            <w:tcMar>
              <w:top w:w="80" w:type="dxa"/>
              <w:start w:w="100" w:type="dxa"/>
              <w:bottom w:w="80" w:type="dxa"/>
              <w:end w:w="100" w:type="dxa"/>
            </w:tcMar>
          </w:tcPr>
          <w:p>
            <w:pPr>
              <w:spacing w:after="40" w:line="240" w:lineRule="auto"/>
            </w:pPr>
            <w:r/>
            <w:r>
              <w:rPr>
                <w:rFonts w:ascii="Aptos" w:hAnsi="Aptos"/>
                <w:b w:val="0"/>
                <w:color w:val="22313F"/>
                <w:sz w:val="16"/>
              </w:rPr>
              <w:t>3. Hotspot detection</w:t>
            </w:r>
          </w:p>
        </w:tc>
        <w:tc>
          <w:tcPr>
            <w:tcW w:type="dxa" w:w="4680"/>
            <w:vAlign w:val="center"/>
            <w:tcMar>
              <w:top w:w="80" w:type="dxa"/>
              <w:start w:w="100" w:type="dxa"/>
              <w:bottom w:w="80" w:type="dxa"/>
              <w:end w:w="100" w:type="dxa"/>
            </w:tcMar>
          </w:tcPr>
          <w:p>
            <w:pPr>
              <w:spacing w:after="40" w:line="240" w:lineRule="auto"/>
            </w:pPr>
            <w:r/>
            <w:r>
              <w:rPr>
                <w:rFonts w:ascii="Aptos" w:hAnsi="Aptos"/>
                <w:b w:val="0"/>
                <w:color w:val="22313F"/>
                <w:sz w:val="16"/>
              </w:rPr>
              <w:t>Contribution %, intensity, trends, anomalies</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Ranked emission hotspots</w:t>
            </w:r>
          </w:p>
        </w:tc>
      </w:tr>
      <w:tr>
        <w:trPr>
          <w:cantSplit/>
        </w:trPr>
        <w:tc>
          <w:tcPr>
            <w:tcW w:type="dxa" w:w="20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4. Diagnostic logic</w:t>
            </w:r>
          </w:p>
        </w:tc>
        <w:tc>
          <w:tcPr>
            <w:tcW w:type="dxa" w:w="46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Equipment metadata, operating hours, baselines, peer thresholds</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Likely causes / opportunities</w:t>
            </w:r>
          </w:p>
        </w:tc>
      </w:tr>
      <w:tr>
        <w:trPr>
          <w:cantSplit/>
        </w:trPr>
        <w:tc>
          <w:tcPr>
            <w:tcW w:type="dxa" w:w="2088"/>
            <w:vAlign w:val="center"/>
            <w:tcMar>
              <w:top w:w="80" w:type="dxa"/>
              <w:start w:w="100" w:type="dxa"/>
              <w:bottom w:w="80" w:type="dxa"/>
              <w:end w:w="100" w:type="dxa"/>
            </w:tcMar>
          </w:tcPr>
          <w:p>
            <w:pPr>
              <w:spacing w:after="40" w:line="240" w:lineRule="auto"/>
            </w:pPr>
            <w:r/>
            <w:r>
              <w:rPr>
                <w:rFonts w:ascii="Aptos" w:hAnsi="Aptos"/>
                <w:b w:val="0"/>
                <w:color w:val="22313F"/>
                <w:sz w:val="16"/>
              </w:rPr>
              <w:t>5. Mitigation matcher</w:t>
            </w:r>
          </w:p>
        </w:tc>
        <w:tc>
          <w:tcPr>
            <w:tcW w:type="dxa" w:w="4680"/>
            <w:vAlign w:val="center"/>
            <w:tcMar>
              <w:top w:w="80" w:type="dxa"/>
              <w:start w:w="100" w:type="dxa"/>
              <w:bottom w:w="80" w:type="dxa"/>
              <w:end w:w="100" w:type="dxa"/>
            </w:tcMar>
          </w:tcPr>
          <w:p>
            <w:pPr>
              <w:spacing w:after="40" w:line="240" w:lineRule="auto"/>
            </w:pPr>
            <w:r/>
            <w:r>
              <w:rPr>
                <w:rFonts w:ascii="Aptos" w:hAnsi="Aptos"/>
                <w:b w:val="0"/>
                <w:color w:val="22313F"/>
                <w:sz w:val="16"/>
              </w:rPr>
              <w:t>Hotspot taxonomy + eligibility rules</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Candidate mitigations</w:t>
            </w:r>
          </w:p>
        </w:tc>
      </w:tr>
      <w:tr>
        <w:trPr>
          <w:cantSplit/>
        </w:trPr>
        <w:tc>
          <w:tcPr>
            <w:tcW w:type="dxa" w:w="20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6. Scenario engine</w:t>
            </w:r>
          </w:p>
        </w:tc>
        <w:tc>
          <w:tcPr>
            <w:tcW w:type="dxa" w:w="46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Technical assumptions + user inputs</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Expected reduction ranges</w:t>
            </w:r>
          </w:p>
        </w:tc>
      </w:tr>
      <w:tr>
        <w:trPr>
          <w:cantSplit/>
        </w:trPr>
        <w:tc>
          <w:tcPr>
            <w:tcW w:type="dxa" w:w="2088"/>
            <w:vAlign w:val="center"/>
            <w:tcMar>
              <w:top w:w="80" w:type="dxa"/>
              <w:start w:w="100" w:type="dxa"/>
              <w:bottom w:w="80" w:type="dxa"/>
              <w:end w:w="100" w:type="dxa"/>
            </w:tcMar>
          </w:tcPr>
          <w:p>
            <w:pPr>
              <w:spacing w:after="40" w:line="240" w:lineRule="auto"/>
            </w:pPr>
            <w:r/>
            <w:r>
              <w:rPr>
                <w:rFonts w:ascii="Aptos" w:hAnsi="Aptos"/>
                <w:b w:val="0"/>
                <w:color w:val="22313F"/>
                <w:sz w:val="16"/>
              </w:rPr>
              <w:t>7. Financial engine</w:t>
            </w:r>
          </w:p>
        </w:tc>
        <w:tc>
          <w:tcPr>
            <w:tcW w:type="dxa" w:w="4680"/>
            <w:vAlign w:val="center"/>
            <w:tcMar>
              <w:top w:w="80" w:type="dxa"/>
              <w:start w:w="100" w:type="dxa"/>
              <w:bottom w:w="80" w:type="dxa"/>
              <w:end w:w="100" w:type="dxa"/>
            </w:tcMar>
          </w:tcPr>
          <w:p>
            <w:pPr>
              <w:spacing w:after="40" w:line="240" w:lineRule="auto"/>
            </w:pPr>
            <w:r/>
            <w:r>
              <w:rPr>
                <w:rFonts w:ascii="Aptos" w:hAnsi="Aptos"/>
                <w:b w:val="0"/>
                <w:color w:val="22313F"/>
                <w:sz w:val="16"/>
              </w:rPr>
              <w:t>CAPEX/OPEX/tariff/savings/incentives</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ROI, payback, NPV-ready metrics</w:t>
            </w:r>
          </w:p>
        </w:tc>
      </w:tr>
      <w:tr>
        <w:trPr>
          <w:cantSplit/>
        </w:trPr>
        <w:tc>
          <w:tcPr>
            <w:tcW w:type="dxa" w:w="20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8. Priority engine</w:t>
            </w:r>
          </w:p>
        </w:tc>
        <w:tc>
          <w:tcPr>
            <w:tcW w:type="dxa" w:w="46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Carbon, economics, confidence, ease, strategic fit</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Priority score &amp; recommended sequence</w:t>
            </w:r>
          </w:p>
        </w:tc>
      </w:tr>
      <w:tr>
        <w:trPr>
          <w:cantSplit/>
        </w:trPr>
        <w:tc>
          <w:tcPr>
            <w:tcW w:type="dxa" w:w="2088"/>
            <w:vAlign w:val="center"/>
            <w:tcMar>
              <w:top w:w="80" w:type="dxa"/>
              <w:start w:w="100" w:type="dxa"/>
              <w:bottom w:w="80" w:type="dxa"/>
              <w:end w:w="100" w:type="dxa"/>
            </w:tcMar>
          </w:tcPr>
          <w:p>
            <w:pPr>
              <w:spacing w:after="40" w:line="240" w:lineRule="auto"/>
            </w:pPr>
            <w:r/>
            <w:r>
              <w:rPr>
                <w:rFonts w:ascii="Aptos" w:hAnsi="Aptos"/>
                <w:b w:val="0"/>
                <w:color w:val="22313F"/>
                <w:sz w:val="16"/>
              </w:rPr>
              <w:t>9. Project workflow</w:t>
            </w:r>
          </w:p>
        </w:tc>
        <w:tc>
          <w:tcPr>
            <w:tcW w:type="dxa" w:w="4680"/>
            <w:vAlign w:val="center"/>
            <w:tcMar>
              <w:top w:w="80" w:type="dxa"/>
              <w:start w:w="100" w:type="dxa"/>
              <w:bottom w:w="80" w:type="dxa"/>
              <w:end w:w="100" w:type="dxa"/>
            </w:tcMar>
          </w:tcPr>
          <w:p>
            <w:pPr>
              <w:spacing w:after="40" w:line="240" w:lineRule="auto"/>
            </w:pPr>
            <w:r/>
            <w:r>
              <w:rPr>
                <w:rFonts w:ascii="Aptos" w:hAnsi="Aptos"/>
                <w:b w:val="0"/>
                <w:color w:val="22313F"/>
                <w:sz w:val="16"/>
              </w:rPr>
              <w:t>Approval, owner, budget, vendor, timeline</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Mitigation project</w:t>
            </w:r>
          </w:p>
        </w:tc>
      </w:tr>
      <w:tr>
        <w:trPr>
          <w:cantSplit/>
        </w:trPr>
        <w:tc>
          <w:tcPr>
            <w:tcW w:type="dxa" w:w="20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10. MRV &amp; verification</w:t>
            </w:r>
          </w:p>
        </w:tc>
        <w:tc>
          <w:tcPr>
            <w:tcW w:type="dxa" w:w="46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Baseline + telemetry + evidence</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Realized and verified reduction</w:t>
            </w:r>
          </w:p>
        </w:tc>
      </w:tr>
      <w:tr>
        <w:trPr>
          <w:cantSplit/>
        </w:trPr>
        <w:tc>
          <w:tcPr>
            <w:tcW w:type="dxa" w:w="2088"/>
            <w:vAlign w:val="center"/>
            <w:tcMar>
              <w:top w:w="80" w:type="dxa"/>
              <w:start w:w="100" w:type="dxa"/>
              <w:bottom w:w="80" w:type="dxa"/>
              <w:end w:w="100" w:type="dxa"/>
            </w:tcMar>
          </w:tcPr>
          <w:p>
            <w:pPr>
              <w:spacing w:after="40" w:line="240" w:lineRule="auto"/>
            </w:pPr>
            <w:r/>
            <w:r>
              <w:rPr>
                <w:rFonts w:ascii="Aptos" w:hAnsi="Aptos"/>
                <w:b w:val="0"/>
                <w:color w:val="22313F"/>
                <w:sz w:val="16"/>
              </w:rPr>
              <w:t>11. Passport propagation</w:t>
            </w:r>
          </w:p>
        </w:tc>
        <w:tc>
          <w:tcPr>
            <w:tcW w:type="dxa" w:w="4680"/>
            <w:vAlign w:val="center"/>
            <w:tcMar>
              <w:top w:w="80" w:type="dxa"/>
              <w:start w:w="100" w:type="dxa"/>
              <w:bottom w:w="80" w:type="dxa"/>
              <w:end w:w="100" w:type="dxa"/>
            </w:tcMar>
          </w:tcPr>
          <w:p>
            <w:pPr>
              <w:spacing w:after="40" w:line="240" w:lineRule="auto"/>
            </w:pPr>
            <w:r/>
            <w:r>
              <w:rPr>
                <w:rFonts w:ascii="Aptos" w:hAnsi="Aptos"/>
                <w:b w:val="0"/>
                <w:color w:val="22313F"/>
                <w:sz w:val="16"/>
              </w:rPr>
              <w:t>Verified project allocation</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Updated CCF/PCF/passport claims</w:t>
            </w:r>
          </w:p>
        </w:tc>
      </w:tr>
    </w:tbl>
    <w:p>
      <w:pPr>
        <w:spacing w:after="40"/>
      </w:pPr>
    </w:p>
    <w:p>
      <w:pPr>
        <w:pStyle w:val="Heading1"/>
      </w:pPr>
      <w:r>
        <w:t>4. Minimum Data Model for Mitigation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232"/>
            <w:vAlign w:val="center"/>
            <w:tcMar>
              <w:top w:w="80" w:type="dxa"/>
              <w:start w:w="100" w:type="dxa"/>
              <w:bottom w:w="80" w:type="dxa"/>
              <w:end w:w="100" w:type="dxa"/>
            </w:tcMar>
            <w:shd w:fill="153A5B"/>
          </w:tcPr>
          <w:p>
            <w:pPr>
              <w:spacing w:after="40" w:line="240" w:lineRule="auto"/>
            </w:pPr>
            <w:r/>
            <w:r>
              <w:rPr>
                <w:rFonts w:ascii="Aptos" w:hAnsi="Aptos"/>
                <w:b/>
                <w:color w:val="FFFFFF"/>
                <w:sz w:val="16"/>
              </w:rPr>
              <w:t>Entity</w:t>
            </w:r>
          </w:p>
        </w:tc>
        <w:tc>
          <w:tcPr>
            <w:tcW w:type="dxa" w:w="8136"/>
            <w:vAlign w:val="center"/>
            <w:tcMar>
              <w:top w:w="80" w:type="dxa"/>
              <w:start w:w="100" w:type="dxa"/>
              <w:bottom w:w="80" w:type="dxa"/>
              <w:end w:w="100" w:type="dxa"/>
            </w:tcMar>
            <w:shd w:fill="153A5B"/>
          </w:tcPr>
          <w:p>
            <w:pPr>
              <w:spacing w:after="40" w:line="240" w:lineRule="auto"/>
            </w:pPr>
            <w:r/>
            <w:r>
              <w:rPr>
                <w:rFonts w:ascii="Aptos" w:hAnsi="Aptos"/>
                <w:b/>
                <w:color w:val="FFFFFF"/>
                <w:sz w:val="16"/>
              </w:rPr>
              <w:t>Key fields required</w:t>
            </w:r>
          </w:p>
        </w:tc>
      </w:tr>
      <w:tr>
        <w:trPr>
          <w:cantSplit/>
        </w:trPr>
        <w:tc>
          <w:tcPr>
            <w:tcW w:type="dxa" w:w="2232"/>
            <w:vAlign w:val="center"/>
            <w:tcMar>
              <w:top w:w="80" w:type="dxa"/>
              <w:start w:w="100" w:type="dxa"/>
              <w:bottom w:w="80" w:type="dxa"/>
              <w:end w:w="100" w:type="dxa"/>
            </w:tcMar>
          </w:tcPr>
          <w:p>
            <w:pPr>
              <w:spacing w:after="40" w:line="240" w:lineRule="auto"/>
            </w:pPr>
            <w:r/>
            <w:r>
              <w:rPr>
                <w:rFonts w:ascii="Aptos" w:hAnsi="Aptos"/>
                <w:b w:val="0"/>
                <w:color w:val="22313F"/>
                <w:sz w:val="16"/>
              </w:rPr>
              <w:t>EmissionSource</w:t>
            </w:r>
          </w:p>
        </w:tc>
        <w:tc>
          <w:tcPr>
            <w:tcW w:type="dxa" w:w="8136"/>
            <w:vAlign w:val="center"/>
            <w:tcMar>
              <w:top w:w="80" w:type="dxa"/>
              <w:start w:w="100" w:type="dxa"/>
              <w:bottom w:w="80" w:type="dxa"/>
              <w:end w:w="100" w:type="dxa"/>
            </w:tcMar>
          </w:tcPr>
          <w:p>
            <w:pPr>
              <w:spacing w:after="40" w:line="240" w:lineRule="auto"/>
            </w:pPr>
            <w:r/>
            <w:r>
              <w:rPr>
                <w:rFonts w:ascii="Aptos" w:hAnsi="Aptos"/>
                <w:b w:val="0"/>
                <w:color w:val="22313F"/>
                <w:sz w:val="16"/>
              </w:rPr>
              <w:t>source_id, scope, category, facility, asset/process, fuel/energy type, activity, unit, factor_id, emissions_tco2e, time period</w:t>
            </w:r>
          </w:p>
        </w:tc>
      </w:tr>
      <w:tr>
        <w:trPr>
          <w:cantSplit/>
        </w:trPr>
        <w:tc>
          <w:tcPr>
            <w:tcW w:type="dxa" w:w="223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Hotspot</w:t>
            </w:r>
          </w:p>
        </w:tc>
        <w:tc>
          <w:tcPr>
            <w:tcW w:type="dxa" w:w="813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hotspot_id, source_id(s), contribution_pct, intensity, trend, anomaly_score, controllability, diagnostic tags</w:t>
            </w:r>
          </w:p>
        </w:tc>
      </w:tr>
      <w:tr>
        <w:trPr>
          <w:cantSplit/>
        </w:trPr>
        <w:tc>
          <w:tcPr>
            <w:tcW w:type="dxa" w:w="2232"/>
            <w:vAlign w:val="center"/>
            <w:tcMar>
              <w:top w:w="80" w:type="dxa"/>
              <w:start w:w="100" w:type="dxa"/>
              <w:bottom w:w="80" w:type="dxa"/>
              <w:end w:w="100" w:type="dxa"/>
            </w:tcMar>
          </w:tcPr>
          <w:p>
            <w:pPr>
              <w:spacing w:after="40" w:line="240" w:lineRule="auto"/>
            </w:pPr>
            <w:r/>
            <w:r>
              <w:rPr>
                <w:rFonts w:ascii="Aptos" w:hAnsi="Aptos"/>
                <w:b w:val="0"/>
                <w:color w:val="22313F"/>
                <w:sz w:val="16"/>
              </w:rPr>
              <w:t>MitigationMeasure</w:t>
            </w:r>
          </w:p>
        </w:tc>
        <w:tc>
          <w:tcPr>
            <w:tcW w:type="dxa" w:w="8136"/>
            <w:vAlign w:val="center"/>
            <w:tcMar>
              <w:top w:w="80" w:type="dxa"/>
              <w:start w:w="100" w:type="dxa"/>
              <w:bottom w:w="80" w:type="dxa"/>
              <w:end w:w="100" w:type="dxa"/>
            </w:tcMar>
          </w:tcPr>
          <w:p>
            <w:pPr>
              <w:spacing w:after="40" w:line="240" w:lineRule="auto"/>
            </w:pPr>
            <w:r/>
            <w:r>
              <w:rPr>
                <w:rFonts w:ascii="Aptos" w:hAnsi="Aptos"/>
                <w:b w:val="0"/>
                <w:color w:val="22313F"/>
                <w:sz w:val="16"/>
              </w:rPr>
              <w:t>measure_id, category, eligible_source_types, trigger rules, contraindications, calculation method, evidence requirements</w:t>
            </w:r>
          </w:p>
        </w:tc>
      </w:tr>
      <w:tr>
        <w:trPr>
          <w:cantSplit/>
        </w:trPr>
        <w:tc>
          <w:tcPr>
            <w:tcW w:type="dxa" w:w="223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Scenario</w:t>
            </w:r>
          </w:p>
        </w:tc>
        <w:tc>
          <w:tcPr>
            <w:tcW w:type="dxa" w:w="813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scenario_id, hotspot_id, measure_id, baseline, assumptions, reduction_low/base/high, CAPEX, OPEX_delta, annual_saving, payback, confidence</w:t>
            </w:r>
          </w:p>
        </w:tc>
      </w:tr>
      <w:tr>
        <w:trPr>
          <w:cantSplit/>
        </w:trPr>
        <w:tc>
          <w:tcPr>
            <w:tcW w:type="dxa" w:w="2232"/>
            <w:vAlign w:val="center"/>
            <w:tcMar>
              <w:top w:w="80" w:type="dxa"/>
              <w:start w:w="100" w:type="dxa"/>
              <w:bottom w:w="80" w:type="dxa"/>
              <w:end w:w="100" w:type="dxa"/>
            </w:tcMar>
          </w:tcPr>
          <w:p>
            <w:pPr>
              <w:spacing w:after="40" w:line="240" w:lineRule="auto"/>
            </w:pPr>
            <w:r/>
            <w:r>
              <w:rPr>
                <w:rFonts w:ascii="Aptos" w:hAnsi="Aptos"/>
                <w:b w:val="0"/>
                <w:color w:val="22313F"/>
                <w:sz w:val="16"/>
              </w:rPr>
              <w:t>MitigationProject</w:t>
            </w:r>
          </w:p>
        </w:tc>
        <w:tc>
          <w:tcPr>
            <w:tcW w:type="dxa" w:w="8136"/>
            <w:vAlign w:val="center"/>
            <w:tcMar>
              <w:top w:w="80" w:type="dxa"/>
              <w:start w:w="100" w:type="dxa"/>
              <w:bottom w:w="80" w:type="dxa"/>
              <w:end w:w="100" w:type="dxa"/>
            </w:tcMar>
          </w:tcPr>
          <w:p>
            <w:pPr>
              <w:spacing w:after="40" w:line="240" w:lineRule="auto"/>
            </w:pPr>
            <w:r/>
            <w:r>
              <w:rPr>
                <w:rFonts w:ascii="Aptos" w:hAnsi="Aptos"/>
                <w:b w:val="0"/>
                <w:color w:val="22313F"/>
                <w:sz w:val="16"/>
              </w:rPr>
              <w:t>project_id, approved scenario, owner, facility, status, dates, vendor, budget, target_reduction, MRV_plan</w:t>
            </w:r>
          </w:p>
        </w:tc>
      </w:tr>
      <w:tr>
        <w:trPr>
          <w:cantSplit/>
        </w:trPr>
        <w:tc>
          <w:tcPr>
            <w:tcW w:type="dxa" w:w="223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Baseline</w:t>
            </w:r>
          </w:p>
        </w:tc>
        <w:tc>
          <w:tcPr>
            <w:tcW w:type="dxa" w:w="813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baseline_id, boundary, period, raw data references, adjustment variables, calculation_version, locked_hash</w:t>
            </w:r>
          </w:p>
        </w:tc>
      </w:tr>
      <w:tr>
        <w:trPr>
          <w:cantSplit/>
        </w:trPr>
        <w:tc>
          <w:tcPr>
            <w:tcW w:type="dxa" w:w="2232"/>
            <w:vAlign w:val="center"/>
            <w:tcMar>
              <w:top w:w="80" w:type="dxa"/>
              <w:start w:w="100" w:type="dxa"/>
              <w:bottom w:w="80" w:type="dxa"/>
              <w:end w:w="100" w:type="dxa"/>
            </w:tcMar>
          </w:tcPr>
          <w:p>
            <w:pPr>
              <w:spacing w:after="40" w:line="240" w:lineRule="auto"/>
            </w:pPr>
            <w:r/>
            <w:r>
              <w:rPr>
                <w:rFonts w:ascii="Aptos" w:hAnsi="Aptos"/>
                <w:b w:val="0"/>
                <w:color w:val="22313F"/>
                <w:sz w:val="16"/>
              </w:rPr>
              <w:t>MRVRecord</w:t>
            </w:r>
          </w:p>
        </w:tc>
        <w:tc>
          <w:tcPr>
            <w:tcW w:type="dxa" w:w="8136"/>
            <w:vAlign w:val="center"/>
            <w:tcMar>
              <w:top w:w="80" w:type="dxa"/>
              <w:start w:w="100" w:type="dxa"/>
              <w:bottom w:w="80" w:type="dxa"/>
              <w:end w:w="100" w:type="dxa"/>
            </w:tcMar>
          </w:tcPr>
          <w:p>
            <w:pPr>
              <w:spacing w:after="40" w:line="240" w:lineRule="auto"/>
            </w:pPr>
            <w:r/>
            <w:r>
              <w:rPr>
                <w:rFonts w:ascii="Aptos" w:hAnsi="Aptos"/>
                <w:b w:val="0"/>
                <w:color w:val="22313F"/>
                <w:sz w:val="16"/>
              </w:rPr>
              <w:t>project_id, monitoring_period, actual_data, normalized_counterfactual, reduction_tco2e, uncertainty, evidence</w:t>
            </w:r>
          </w:p>
        </w:tc>
      </w:tr>
      <w:tr>
        <w:trPr>
          <w:cantSplit/>
        </w:trPr>
        <w:tc>
          <w:tcPr>
            <w:tcW w:type="dxa" w:w="223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Verification</w:t>
            </w:r>
          </w:p>
        </w:tc>
        <w:tc>
          <w:tcPr>
            <w:tcW w:type="dxa" w:w="813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verification_id, verifier, status, findings, approved_reduction, decision_date, signature/hash</w:t>
            </w:r>
          </w:p>
        </w:tc>
      </w:tr>
      <w:tr>
        <w:trPr>
          <w:cantSplit/>
        </w:trPr>
        <w:tc>
          <w:tcPr>
            <w:tcW w:type="dxa" w:w="2232"/>
            <w:vAlign w:val="center"/>
            <w:tcMar>
              <w:top w:w="80" w:type="dxa"/>
              <w:start w:w="100" w:type="dxa"/>
              <w:bottom w:w="80" w:type="dxa"/>
              <w:end w:w="100" w:type="dxa"/>
            </w:tcMar>
          </w:tcPr>
          <w:p>
            <w:pPr>
              <w:spacing w:after="40" w:line="240" w:lineRule="auto"/>
            </w:pPr>
            <w:r/>
            <w:r>
              <w:rPr>
                <w:rFonts w:ascii="Aptos" w:hAnsi="Aptos"/>
                <w:b w:val="0"/>
                <w:color w:val="22313F"/>
                <w:sz w:val="16"/>
              </w:rPr>
              <w:t>ReductionAllocation</w:t>
            </w:r>
          </w:p>
        </w:tc>
        <w:tc>
          <w:tcPr>
            <w:tcW w:type="dxa" w:w="8136"/>
            <w:vAlign w:val="center"/>
            <w:tcMar>
              <w:top w:w="80" w:type="dxa"/>
              <w:start w:w="100" w:type="dxa"/>
              <w:bottom w:w="80" w:type="dxa"/>
              <w:end w:w="100" w:type="dxa"/>
            </w:tcMar>
          </w:tcPr>
          <w:p>
            <w:pPr>
              <w:spacing w:after="40" w:line="240" w:lineRule="auto"/>
            </w:pPr>
            <w:r/>
            <w:r>
              <w:rPr>
                <w:rFonts w:ascii="Aptos" w:hAnsi="Aptos"/>
                <w:b w:val="0"/>
                <w:color w:val="22313F"/>
                <w:sz w:val="16"/>
              </w:rPr>
              <w:t>verified_reduction_id, organization/facility/process/product/batch allocation, period, anti-double-counting keys</w:t>
            </w:r>
          </w:p>
        </w:tc>
      </w:tr>
    </w:tbl>
    <w:p>
      <w:pPr>
        <w:spacing w:after="40"/>
      </w:pPr>
    </w:p>
    <w:p>
      <w:pPr>
        <w:pStyle w:val="Heading1"/>
      </w:pPr>
      <w:r>
        <w:t>5. Decision Engine Logic - From Emission to Action</w:t>
      </w:r>
    </w:p>
    <w:p>
      <w:pPr>
        <w:pStyle w:val="Heading2"/>
      </w:pPr>
      <w:r>
        <w:t>5.1 Step 1 - Determine whether the source is material</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Rule</w:t>
            </w:r>
          </w:p>
        </w:tc>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Example threshold</w:t>
            </w:r>
          </w:p>
        </w:tc>
        <w:tc>
          <w:tcPr>
            <w:tcW w:type="dxa" w:w="4608"/>
            <w:vAlign w:val="center"/>
            <w:tcMar>
              <w:top w:w="80" w:type="dxa"/>
              <w:start w:w="100" w:type="dxa"/>
              <w:bottom w:w="80" w:type="dxa"/>
              <w:end w:w="100" w:type="dxa"/>
            </w:tcMar>
            <w:shd w:fill="153A5B"/>
          </w:tcPr>
          <w:p>
            <w:pPr>
              <w:spacing w:after="40" w:line="240" w:lineRule="auto"/>
            </w:pPr>
            <w:r/>
            <w:r>
              <w:rPr>
                <w:rFonts w:ascii="Aptos" w:hAnsi="Aptos"/>
                <w:b/>
                <w:color w:val="FFFFFF"/>
                <w:sz w:val="16"/>
              </w:rPr>
              <w:t>Decision</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Absolute contribution</w:t>
            </w:r>
          </w:p>
        </w:tc>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≥5% of facility emissions</w:t>
            </w:r>
          </w:p>
        </w:tc>
        <w:tc>
          <w:tcPr>
            <w:tcW w:type="dxa" w:w="4608"/>
            <w:vAlign w:val="center"/>
            <w:tcMar>
              <w:top w:w="80" w:type="dxa"/>
              <w:start w:w="100" w:type="dxa"/>
              <w:bottom w:w="80" w:type="dxa"/>
              <w:end w:w="100" w:type="dxa"/>
            </w:tcMar>
          </w:tcPr>
          <w:p>
            <w:pPr>
              <w:spacing w:after="40" w:line="240" w:lineRule="auto"/>
            </w:pPr>
            <w:r/>
            <w:r>
              <w:rPr>
                <w:rFonts w:ascii="Aptos" w:hAnsi="Aptos"/>
                <w:b w:val="0"/>
                <w:color w:val="22313F"/>
                <w:sz w:val="16"/>
              </w:rPr>
              <w:t>Material hotspot</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High intensity</w:t>
            </w:r>
          </w:p>
        </w:tc>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&gt;benchmark or internal target by ≥10%</w:t>
            </w:r>
          </w:p>
        </w:tc>
        <w:tc>
          <w:tcPr>
            <w:tcW w:type="dxa" w:w="460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Efficiency opportunity</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Rapid increase</w:t>
            </w:r>
          </w:p>
        </w:tc>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&gt;10% vs normalized prior period</w:t>
            </w:r>
          </w:p>
        </w:tc>
        <w:tc>
          <w:tcPr>
            <w:tcW w:type="dxa" w:w="4608"/>
            <w:vAlign w:val="center"/>
            <w:tcMar>
              <w:top w:w="80" w:type="dxa"/>
              <w:start w:w="100" w:type="dxa"/>
              <w:bottom w:w="80" w:type="dxa"/>
              <w:end w:w="100" w:type="dxa"/>
            </w:tcMar>
          </w:tcPr>
          <w:p>
            <w:pPr>
              <w:spacing w:after="40" w:line="240" w:lineRule="auto"/>
            </w:pPr>
            <w:r/>
            <w:r>
              <w:rPr>
                <w:rFonts w:ascii="Aptos" w:hAnsi="Aptos"/>
                <w:b w:val="0"/>
                <w:color w:val="22313F"/>
                <w:sz w:val="16"/>
              </w:rPr>
              <w:t>Investigate anomaly</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High controllability</w:t>
            </w:r>
          </w:p>
        </w:tc>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Owned/operated asset or contracted activity</w:t>
            </w:r>
          </w:p>
        </w:tc>
        <w:tc>
          <w:tcPr>
            <w:tcW w:type="dxa" w:w="460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Prioritize action</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Regulatory/strategic relevance</w:t>
            </w:r>
          </w:p>
        </w:tc>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CBAM/product/customer/target exposure</w:t>
            </w:r>
          </w:p>
        </w:tc>
        <w:tc>
          <w:tcPr>
            <w:tcW w:type="dxa" w:w="4608"/>
            <w:vAlign w:val="center"/>
            <w:tcMar>
              <w:top w:w="80" w:type="dxa"/>
              <w:start w:w="100" w:type="dxa"/>
              <w:bottom w:w="80" w:type="dxa"/>
              <w:end w:w="100" w:type="dxa"/>
            </w:tcMar>
          </w:tcPr>
          <w:p>
            <w:pPr>
              <w:spacing w:after="40" w:line="240" w:lineRule="auto"/>
            </w:pPr>
            <w:r/>
            <w:r>
              <w:rPr>
                <w:rFonts w:ascii="Aptos" w:hAnsi="Aptos"/>
                <w:b w:val="0"/>
                <w:color w:val="22313F"/>
                <w:sz w:val="16"/>
              </w:rPr>
              <w:t>Raise priority even below materiality threshold</w:t>
            </w:r>
          </w:p>
        </w:tc>
      </w:tr>
    </w:tbl>
    <w:p>
      <w:pPr>
        <w:spacing w:after="40"/>
      </w:pPr>
    </w:p>
    <w:p>
      <w:pPr>
        <w:pStyle w:val="Heading2"/>
      </w:pPr>
      <w:r>
        <w:t>5.2 Step 2 - Diagnose the probable driver</w:t>
      </w:r>
    </w:p>
    <w:p>
      <w:pPr>
        <w:pStyle w:val="ListBullet"/>
        <w:ind w:left="0"/>
      </w:pPr>
      <w:r>
        <w:t>Load/usage growth</w:t>
      </w:r>
    </w:p>
    <w:p>
      <w:pPr>
        <w:pStyle w:val="ListBullet"/>
        <w:ind w:left="0"/>
      </w:pPr>
      <w:r>
        <w:t>Operating-hours growth</w:t>
      </w:r>
    </w:p>
    <w:p>
      <w:pPr>
        <w:pStyle w:val="ListBullet"/>
        <w:ind w:left="0"/>
      </w:pPr>
      <w:r>
        <w:t>Low equipment efficiency</w:t>
      </w:r>
    </w:p>
    <w:p>
      <w:pPr>
        <w:pStyle w:val="ListBullet"/>
        <w:ind w:left="0"/>
      </w:pPr>
      <w:r>
        <w:t>Idle/standby consumption</w:t>
      </w:r>
    </w:p>
    <w:p>
      <w:pPr>
        <w:pStyle w:val="ListBullet"/>
        <w:ind w:left="0"/>
      </w:pPr>
      <w:r>
        <w:t>Leaks/losses</w:t>
      </w:r>
    </w:p>
    <w:p>
      <w:pPr>
        <w:pStyle w:val="ListBullet"/>
        <w:ind w:left="0"/>
      </w:pPr>
      <w:r>
        <w:t>Fuel mix</w:t>
      </w:r>
    </w:p>
    <w:p>
      <w:pPr>
        <w:pStyle w:val="ListBullet"/>
        <w:ind w:left="0"/>
      </w:pPr>
      <w:r>
        <w:t>Grid factor or procurement mix</w:t>
      </w:r>
    </w:p>
    <w:p>
      <w:pPr>
        <w:pStyle w:val="ListBullet"/>
        <w:ind w:left="0"/>
      </w:pPr>
      <w:r>
        <w:t>Poor control/set-point</w:t>
      </w:r>
    </w:p>
    <w:p>
      <w:pPr>
        <w:pStyle w:val="ListBullet"/>
        <w:ind w:left="0"/>
      </w:pPr>
      <w:r>
        <w:t>Maintenance condition</w:t>
      </w:r>
    </w:p>
    <w:p>
      <w:pPr>
        <w:pStyle w:val="ListBullet"/>
        <w:ind w:left="0"/>
      </w:pPr>
      <w:r>
        <w:t>Production mix change</w:t>
      </w:r>
    </w:p>
    <w:p>
      <w:pPr>
        <w:pStyle w:val="ListBullet"/>
        <w:ind w:left="0"/>
      </w:pPr>
      <w:r>
        <w:t>Supplier/material intensity</w:t>
      </w:r>
    </w:p>
    <w:p>
      <w:pPr>
        <w:pStyle w:val="ListBullet"/>
        <w:ind w:left="0"/>
      </w:pPr>
      <w:r>
        <w:t>Transport mode/distance/load factor</w:t>
      </w:r>
    </w:p>
    <w:p>
      <w:pPr>
        <w:pStyle w:val="ListBullet"/>
        <w:ind w:left="0"/>
      </w:pPr>
      <w:r>
        <w:t>Waste generation or low recovery</w:t>
      </w:r>
    </w:p>
    <w:p>
      <w:pPr>
        <w:pStyle w:val="Heading2"/>
      </w:pPr>
      <w:r>
        <w:t>5.3 Step 3 - Generate only eligible mitigations</w:t>
      </w:r>
    </w:p>
    <w:tbl>
      <w:tblPr>
        <w:tblW w:type="auto" w:w="0"/>
        <w:jc w:val="center"/>
        <w:tblLook w:firstColumn="1" w:firstRow="1" w:lastColumn="0" w:lastRow="0" w:noHBand="0" w:noVBand="1" w:val="04A0"/>
      </w:tblPr>
      <w:tblGrid>
        <w:gridCol w:w="10224"/>
      </w:tblGrid>
      <w:tr>
        <w:trPr>
          <w:cantSplit/>
        </w:trPr>
        <w:tc>
          <w:tcPr>
            <w:tcW w:type="dxa" w:w="10224"/>
            <w:shd w:fill="EAF3F9"/>
            <w:tcMar>
              <w:top w:w="120" w:type="dxa"/>
              <w:start w:w="140" w:type="dxa"/>
              <w:bottom w:w="120" w:type="dxa"/>
              <w:end w:w="140" w:type="dxa"/>
            </w:tcMar>
          </w:tcPr>
          <w:p>
            <w:pPr>
              <w:spacing w:after="40" w:line="240" w:lineRule="auto"/>
            </w:pPr>
            <w:r>
              <w:rPr>
                <w:b/>
                <w:color w:val="1F6EAA"/>
                <w:sz w:val="21"/>
              </w:rPr>
              <w:t>Eligibility rule</w:t>
              <w:br/>
            </w:r>
            <w:r>
              <w:rPr>
                <w:color w:val="22313F"/>
                <w:sz w:val="18"/>
              </w:rPr>
              <w:t>A recommendation should be generated only if minimum input requirements are met. If required engineering data is missing, show “Assessment Required” rather than pretending to know the saving.</w:t>
            </w:r>
          </w:p>
        </w:tc>
      </w:tr>
    </w:tbl>
    <w:p>
      <w:pPr>
        <w:spacing w:after="40"/>
      </w:pPr>
    </w:p>
    <w:p>
      <w:pPr>
        <w:pStyle w:val="Heading2"/>
      </w:pPr>
      <w:r>
        <w:t>5.4 Step 4 - Calculate a reduction range, not a false precise value</w:t>
      </w:r>
    </w:p>
    <w:p>
      <w:r>
        <w:t>Use Low / Base / High estimates. The base case may be deterministic where telemetry and engineering parameters are available; otherwise it should be an assumption-backed estimate. Always expose the formula.</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Calculation type</w:t>
            </w:r>
          </w:p>
        </w:tc>
        <w:tc>
          <w:tcPr>
            <w:tcW w:type="dxa" w:w="7488"/>
            <w:vAlign w:val="center"/>
            <w:tcMar>
              <w:top w:w="80" w:type="dxa"/>
              <w:start w:w="100" w:type="dxa"/>
              <w:bottom w:w="80" w:type="dxa"/>
              <w:end w:w="100" w:type="dxa"/>
            </w:tcMar>
            <w:shd w:fill="153A5B"/>
          </w:tcPr>
          <w:p>
            <w:pPr>
              <w:spacing w:after="40" w:line="240" w:lineRule="auto"/>
            </w:pPr>
            <w:r/>
            <w:r>
              <w:rPr>
                <w:rFonts w:ascii="Aptos" w:hAnsi="Aptos"/>
                <w:b/>
                <w:color w:val="FFFFFF"/>
                <w:sz w:val="16"/>
              </w:rPr>
              <w:t>Illustrative formula</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Efficiency improvement</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Avoided energy = Baseline normalized consumption × expected efficiency improvement %</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Renewable generation</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Avoided grid electricity = eligible on-site renewable generation × applicable factor, subject to accounting rules</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Fuel switch</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Reduction = baseline fuel emissions − projected replacement energy/fuel emissions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Transport mode</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Reduction = tonne-km × (baseline mode EF − new mode EF)</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Material substitution</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Reduction = quantity × (baseline material EF − substitute EF), adjusted for yield/performance</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Supplier improvement</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Reduction = purchased quantity × verified supplier PCF improvement</w:t>
            </w:r>
          </w:p>
        </w:tc>
      </w:tr>
    </w:tbl>
    <w:p>
      <w:pPr>
        <w:spacing w:after="40"/>
      </w:pPr>
    </w:p>
    <w:p>
      <w:pPr>
        <w:pStyle w:val="Heading1"/>
      </w:pPr>
      <w:r>
        <w:t>6. Recommendation Priority Scoring</w:t>
      </w:r>
    </w:p>
    <w:p>
      <w:r>
        <w:t>The first production version should use transparent weighted scoring. Later, machine learning can improve diagnostics but should not replace explainable ranking.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56"/>
            <w:vAlign w:val="center"/>
            <w:tcMar>
              <w:top w:w="80" w:type="dxa"/>
              <w:start w:w="100" w:type="dxa"/>
              <w:bottom w:w="80" w:type="dxa"/>
              <w:end w:w="100" w:type="dxa"/>
            </w:tcMar>
            <w:shd w:fill="153A5B"/>
          </w:tcPr>
          <w:p>
            <w:pPr>
              <w:spacing w:after="40" w:line="240" w:lineRule="auto"/>
            </w:pPr>
            <w:r/>
            <w:r>
              <w:rPr>
                <w:rFonts w:ascii="Aptos" w:hAnsi="Aptos"/>
                <w:b/>
                <w:color w:val="FFFFFF"/>
                <w:sz w:val="16"/>
              </w:rPr>
              <w:t>Dimension</w:t>
            </w:r>
          </w:p>
        </w:tc>
        <w:tc>
          <w:tcPr>
            <w:tcW w:type="dxa" w:w="1440"/>
            <w:vAlign w:val="center"/>
            <w:tcMar>
              <w:top w:w="80" w:type="dxa"/>
              <w:start w:w="100" w:type="dxa"/>
              <w:bottom w:w="80" w:type="dxa"/>
              <w:end w:w="100" w:type="dxa"/>
            </w:tcMar>
            <w:shd w:fill="153A5B"/>
          </w:tcPr>
          <w:p>
            <w:pPr>
              <w:spacing w:after="40" w:line="240" w:lineRule="auto"/>
            </w:pPr>
            <w:r/>
            <w:r>
              <w:rPr>
                <w:rFonts w:ascii="Aptos" w:hAnsi="Aptos"/>
                <w:b/>
                <w:color w:val="FFFFFF"/>
                <w:sz w:val="16"/>
              </w:rPr>
              <w:t>Weight</w:t>
            </w:r>
          </w:p>
        </w:tc>
        <w:tc>
          <w:tcPr>
            <w:tcW w:type="dxa" w:w="5472"/>
            <w:vAlign w:val="center"/>
            <w:tcMar>
              <w:top w:w="80" w:type="dxa"/>
              <w:start w:w="100" w:type="dxa"/>
              <w:bottom w:w="80" w:type="dxa"/>
              <w:end w:w="100" w:type="dxa"/>
            </w:tcMar>
            <w:shd w:fill="153A5B"/>
          </w:tcPr>
          <w:p>
            <w:pPr>
              <w:spacing w:after="40" w:line="240" w:lineRule="auto"/>
            </w:pPr>
            <w:r/>
            <w:r>
              <w:rPr>
                <w:rFonts w:ascii="Aptos" w:hAnsi="Aptos"/>
                <w:b/>
                <w:color w:val="FFFFFF"/>
                <w:sz w:val="16"/>
              </w:rPr>
              <w:t>Score guidance (0-100)</w:t>
            </w:r>
          </w:p>
        </w:tc>
      </w:tr>
      <w:tr>
        <w:trPr>
          <w:cantSplit/>
        </w:trPr>
        <w:tc>
          <w:tcPr>
            <w:tcW w:type="dxa" w:w="3456"/>
            <w:vAlign w:val="center"/>
            <w:tcMar>
              <w:top w:w="80" w:type="dxa"/>
              <w:start w:w="100" w:type="dxa"/>
              <w:bottom w:w="80" w:type="dxa"/>
              <w:end w:w="100" w:type="dxa"/>
            </w:tcMar>
          </w:tcPr>
          <w:p>
            <w:pPr>
              <w:spacing w:after="40" w:line="240" w:lineRule="auto"/>
            </w:pPr>
            <w:r/>
            <w:r>
              <w:rPr>
                <w:rFonts w:ascii="Aptos" w:hAnsi="Aptos"/>
                <w:b w:val="0"/>
                <w:color w:val="22313F"/>
                <w:sz w:val="16"/>
              </w:rPr>
              <w:t>Carbon reduction potential</w:t>
            </w:r>
          </w:p>
        </w:tc>
        <w:tc>
          <w:tcPr>
            <w:tcW w:type="dxa" w:w="1440"/>
            <w:vAlign w:val="center"/>
            <w:tcMar>
              <w:top w:w="80" w:type="dxa"/>
              <w:start w:w="100" w:type="dxa"/>
              <w:bottom w:w="80" w:type="dxa"/>
              <w:end w:w="100" w:type="dxa"/>
            </w:tcMar>
          </w:tcPr>
          <w:p>
            <w:pPr>
              <w:spacing w:after="40" w:line="240" w:lineRule="auto"/>
            </w:pPr>
            <w:r/>
            <w:r>
              <w:rPr>
                <w:rFonts w:ascii="Aptos" w:hAnsi="Aptos"/>
                <w:b w:val="0"/>
                <w:color w:val="22313F"/>
                <w:sz w:val="16"/>
              </w:rPr>
              <w:t>30%</w:t>
            </w:r>
          </w:p>
        </w:tc>
        <w:tc>
          <w:tcPr>
            <w:tcW w:type="dxa" w:w="5472"/>
            <w:vAlign w:val="center"/>
            <w:tcMar>
              <w:top w:w="80" w:type="dxa"/>
              <w:start w:w="100" w:type="dxa"/>
              <w:bottom w:w="80" w:type="dxa"/>
              <w:end w:w="100" w:type="dxa"/>
            </w:tcMar>
          </w:tcPr>
          <w:p>
            <w:pPr>
              <w:spacing w:after="40" w:line="240" w:lineRule="auto"/>
            </w:pPr>
            <w:r/>
            <w:r>
              <w:rPr>
                <w:rFonts w:ascii="Aptos" w:hAnsi="Aptos"/>
                <w:b w:val="0"/>
                <w:color w:val="22313F"/>
                <w:sz w:val="16"/>
              </w:rPr>
              <w:t>Higher annual tCO₂e reduction and % of hotspot = higher score</w:t>
            </w:r>
          </w:p>
        </w:tc>
      </w:tr>
      <w:tr>
        <w:trPr>
          <w:cantSplit/>
        </w:trPr>
        <w:tc>
          <w:tcPr>
            <w:tcW w:type="dxa" w:w="345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Financial attractiveness</w:t>
            </w:r>
          </w:p>
        </w:tc>
        <w:tc>
          <w:tcPr>
            <w:tcW w:type="dxa" w:w="14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20%</w:t>
            </w:r>
          </w:p>
        </w:tc>
        <w:tc>
          <w:tcPr>
            <w:tcW w:type="dxa" w:w="547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Shorter payback / stronger savings = higher score</w:t>
            </w:r>
          </w:p>
        </w:tc>
      </w:tr>
      <w:tr>
        <w:trPr>
          <w:cantSplit/>
        </w:trPr>
        <w:tc>
          <w:tcPr>
            <w:tcW w:type="dxa" w:w="3456"/>
            <w:vAlign w:val="center"/>
            <w:tcMar>
              <w:top w:w="80" w:type="dxa"/>
              <w:start w:w="100" w:type="dxa"/>
              <w:bottom w:w="80" w:type="dxa"/>
              <w:end w:w="100" w:type="dxa"/>
            </w:tcMar>
          </w:tcPr>
          <w:p>
            <w:pPr>
              <w:spacing w:after="40" w:line="240" w:lineRule="auto"/>
            </w:pPr>
            <w:r/>
            <w:r>
              <w:rPr>
                <w:rFonts w:ascii="Aptos" w:hAnsi="Aptos"/>
                <w:b w:val="0"/>
                <w:color w:val="22313F"/>
                <w:sz w:val="16"/>
              </w:rPr>
              <w:t>Confidence / data quality</w:t>
            </w:r>
          </w:p>
        </w:tc>
        <w:tc>
          <w:tcPr>
            <w:tcW w:type="dxa" w:w="1440"/>
            <w:vAlign w:val="center"/>
            <w:tcMar>
              <w:top w:w="80" w:type="dxa"/>
              <w:start w:w="100" w:type="dxa"/>
              <w:bottom w:w="80" w:type="dxa"/>
              <w:end w:w="100" w:type="dxa"/>
            </w:tcMar>
          </w:tcPr>
          <w:p>
            <w:pPr>
              <w:spacing w:after="40" w:line="240" w:lineRule="auto"/>
            </w:pPr>
            <w:r/>
            <w:r>
              <w:rPr>
                <w:rFonts w:ascii="Aptos" w:hAnsi="Aptos"/>
                <w:b w:val="0"/>
                <w:color w:val="22313F"/>
                <w:sz w:val="16"/>
              </w:rPr>
              <w:t>15%</w:t>
            </w:r>
          </w:p>
        </w:tc>
        <w:tc>
          <w:tcPr>
            <w:tcW w:type="dxa" w:w="5472"/>
            <w:vAlign w:val="center"/>
            <w:tcMar>
              <w:top w:w="80" w:type="dxa"/>
              <w:start w:w="100" w:type="dxa"/>
              <w:bottom w:w="80" w:type="dxa"/>
              <w:end w:w="100" w:type="dxa"/>
            </w:tcMar>
          </w:tcPr>
          <w:p>
            <w:pPr>
              <w:spacing w:after="40" w:line="240" w:lineRule="auto"/>
            </w:pPr>
            <w:r/>
            <w:r>
              <w:rPr>
                <w:rFonts w:ascii="Aptos" w:hAnsi="Aptos"/>
                <w:b w:val="0"/>
                <w:color w:val="22313F"/>
                <w:sz w:val="16"/>
              </w:rPr>
              <w:t>Direct telemetry + stable baseline &gt; invoices &gt; estimates</w:t>
            </w:r>
          </w:p>
        </w:tc>
      </w:tr>
      <w:tr>
        <w:trPr>
          <w:cantSplit/>
        </w:trPr>
        <w:tc>
          <w:tcPr>
            <w:tcW w:type="dxa" w:w="345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Implementation feasibility</w:t>
            </w:r>
          </w:p>
        </w:tc>
        <w:tc>
          <w:tcPr>
            <w:tcW w:type="dxa" w:w="14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15%</w:t>
            </w:r>
          </w:p>
        </w:tc>
        <w:tc>
          <w:tcPr>
            <w:tcW w:type="dxa" w:w="547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Low downtime, available technology/vendor, manageable approvals</w:t>
            </w:r>
          </w:p>
        </w:tc>
      </w:tr>
      <w:tr>
        <w:trPr>
          <w:cantSplit/>
        </w:trPr>
        <w:tc>
          <w:tcPr>
            <w:tcW w:type="dxa" w:w="3456"/>
            <w:vAlign w:val="center"/>
            <w:tcMar>
              <w:top w:w="80" w:type="dxa"/>
              <w:start w:w="100" w:type="dxa"/>
              <w:bottom w:w="80" w:type="dxa"/>
              <w:end w:w="100" w:type="dxa"/>
            </w:tcMar>
          </w:tcPr>
          <w:p>
            <w:pPr>
              <w:spacing w:after="40" w:line="240" w:lineRule="auto"/>
            </w:pPr>
            <w:r/>
            <w:r>
              <w:rPr>
                <w:rFonts w:ascii="Aptos" w:hAnsi="Aptos"/>
                <w:b w:val="0"/>
                <w:color w:val="22313F"/>
                <w:sz w:val="16"/>
              </w:rPr>
              <w:t>Strategic/regulatory relevance</w:t>
            </w:r>
          </w:p>
        </w:tc>
        <w:tc>
          <w:tcPr>
            <w:tcW w:type="dxa" w:w="1440"/>
            <w:vAlign w:val="center"/>
            <w:tcMar>
              <w:top w:w="80" w:type="dxa"/>
              <w:start w:w="100" w:type="dxa"/>
              <w:bottom w:w="80" w:type="dxa"/>
              <w:end w:w="100" w:type="dxa"/>
            </w:tcMar>
          </w:tcPr>
          <w:p>
            <w:pPr>
              <w:spacing w:after="40" w:line="240" w:lineRule="auto"/>
            </w:pPr>
            <w:r/>
            <w:r>
              <w:rPr>
                <w:rFonts w:ascii="Aptos" w:hAnsi="Aptos"/>
                <w:b w:val="0"/>
                <w:color w:val="22313F"/>
                <w:sz w:val="16"/>
              </w:rPr>
              <w:t>10%</w:t>
            </w:r>
          </w:p>
        </w:tc>
        <w:tc>
          <w:tcPr>
            <w:tcW w:type="dxa" w:w="5472"/>
            <w:vAlign w:val="center"/>
            <w:tcMar>
              <w:top w:w="80" w:type="dxa"/>
              <w:start w:w="100" w:type="dxa"/>
              <w:bottom w:w="80" w:type="dxa"/>
              <w:end w:w="100" w:type="dxa"/>
            </w:tcMar>
          </w:tcPr>
          <w:p>
            <w:pPr>
              <w:spacing w:after="40" w:line="240" w:lineRule="auto"/>
            </w:pPr>
            <w:r/>
            <w:r>
              <w:rPr>
                <w:rFonts w:ascii="Aptos" w:hAnsi="Aptos"/>
                <w:b w:val="0"/>
                <w:color w:val="22313F"/>
                <w:sz w:val="16"/>
              </w:rPr>
              <w:t>Target, CBAM, customer, product-passport or risk relevance</w:t>
            </w:r>
          </w:p>
        </w:tc>
      </w:tr>
      <w:tr>
        <w:trPr>
          <w:cantSplit/>
        </w:trPr>
        <w:tc>
          <w:tcPr>
            <w:tcW w:type="dxa" w:w="345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Speed to impact</w:t>
            </w:r>
          </w:p>
        </w:tc>
        <w:tc>
          <w:tcPr>
            <w:tcW w:type="dxa" w:w="14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10%</w:t>
            </w:r>
          </w:p>
        </w:tc>
        <w:tc>
          <w:tcPr>
            <w:tcW w:type="dxa" w:w="547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Faster measurable impact = higher score</w:t>
            </w:r>
          </w:p>
        </w:tc>
      </w:tr>
    </w:tbl>
    <w:p>
      <w:pPr>
        <w:spacing w:after="40"/>
      </w:pPr>
    </w:p>
    <w:tbl>
      <w:tblPr>
        <w:tblW w:type="auto" w:w="0"/>
        <w:jc w:val="center"/>
        <w:tblLook w:firstColumn="1" w:firstRow="1" w:lastColumn="0" w:lastRow="0" w:noHBand="0" w:noVBand="1" w:val="04A0"/>
      </w:tblPr>
      <w:tblGrid>
        <w:gridCol w:w="10224"/>
      </w:tblGrid>
      <w:tr>
        <w:trPr>
          <w:cantSplit/>
        </w:trPr>
        <w:tc>
          <w:tcPr>
            <w:tcW w:type="dxa" w:w="10224"/>
            <w:shd w:fill="EAF6EF"/>
            <w:tcMar>
              <w:top w:w="120" w:type="dxa"/>
              <w:start w:w="140" w:type="dxa"/>
              <w:bottom w:w="120" w:type="dxa"/>
              <w:end w:w="140" w:type="dxa"/>
            </w:tcMar>
          </w:tcPr>
          <w:p>
            <w:pPr>
              <w:spacing w:after="40" w:line="240" w:lineRule="auto"/>
            </w:pPr>
            <w:r>
              <w:rPr>
                <w:b/>
                <w:color w:val="2E8B57"/>
                <w:sz w:val="21"/>
              </w:rPr>
              <w:t>Suggested formula</w:t>
              <w:br/>
            </w:r>
            <w:r>
              <w:rPr>
                <w:color w:val="22313F"/>
                <w:sz w:val="18"/>
              </w:rPr>
              <w:t>Priority Score = 0.30(Carbon) + 0.20(Financial) + 0.15(Confidence) + 0.15(Feasibility) + 0.10(Strategic) + 0.10(Speed). Also apply “gates”: safety, legal, technical infeasibility and insufficient-data flags can suppress or downgrade a recommendation.</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vAlign w:val="center"/>
            <w:tcMar>
              <w:top w:w="80" w:type="dxa"/>
              <w:start w:w="100" w:type="dxa"/>
              <w:bottom w:w="80" w:type="dxa"/>
              <w:end w:w="100" w:type="dxa"/>
            </w:tcMar>
            <w:shd w:fill="153A5B"/>
          </w:tcPr>
          <w:p>
            <w:pPr>
              <w:spacing w:after="40" w:line="240" w:lineRule="auto"/>
            </w:pPr>
            <w:r/>
            <w:r>
              <w:rPr>
                <w:rFonts w:ascii="Aptos" w:hAnsi="Aptos"/>
                <w:b/>
                <w:color w:val="FFFFFF"/>
                <w:sz w:val="16"/>
              </w:rPr>
              <w:t>Priority band</w:t>
            </w:r>
          </w:p>
        </w:tc>
        <w:tc>
          <w:tcPr>
            <w:tcW w:type="dxa" w:w="1872"/>
            <w:vAlign w:val="center"/>
            <w:tcMar>
              <w:top w:w="80" w:type="dxa"/>
              <w:start w:w="100" w:type="dxa"/>
              <w:bottom w:w="80" w:type="dxa"/>
              <w:end w:w="100" w:type="dxa"/>
            </w:tcMar>
            <w:shd w:fill="153A5B"/>
          </w:tcPr>
          <w:p>
            <w:pPr>
              <w:spacing w:after="40" w:line="240" w:lineRule="auto"/>
            </w:pPr>
            <w:r/>
            <w:r>
              <w:rPr>
                <w:rFonts w:ascii="Aptos" w:hAnsi="Aptos"/>
                <w:b/>
                <w:color w:val="FFFFFF"/>
                <w:sz w:val="16"/>
              </w:rPr>
              <w:t>Score</w:t>
            </w:r>
          </w:p>
        </w:tc>
        <w:tc>
          <w:tcPr>
            <w:tcW w:type="dxa" w:w="5472"/>
            <w:vAlign w:val="center"/>
            <w:tcMar>
              <w:top w:w="80" w:type="dxa"/>
              <w:start w:w="100" w:type="dxa"/>
              <w:bottom w:w="80" w:type="dxa"/>
              <w:end w:w="100" w:type="dxa"/>
            </w:tcMar>
            <w:shd w:fill="153A5B"/>
          </w:tcPr>
          <w:p>
            <w:pPr>
              <w:spacing w:after="40" w:line="240" w:lineRule="auto"/>
            </w:pPr>
            <w:r/>
            <w:r>
              <w:rPr>
                <w:rFonts w:ascii="Aptos" w:hAnsi="Aptos"/>
                <w:b/>
                <w:color w:val="FFFFFF"/>
                <w:sz w:val="16"/>
              </w:rPr>
              <w:t>UI treatment</w:t>
            </w:r>
          </w:p>
        </w:tc>
      </w:tr>
      <w:tr>
        <w:trPr>
          <w:cantSplit/>
        </w:trPr>
        <w:tc>
          <w:tcPr>
            <w:tcW w:type="dxa" w:w="3024"/>
            <w:vAlign w:val="center"/>
            <w:tcMar>
              <w:top w:w="80" w:type="dxa"/>
              <w:start w:w="100" w:type="dxa"/>
              <w:bottom w:w="80" w:type="dxa"/>
              <w:end w:w="100" w:type="dxa"/>
            </w:tcMar>
          </w:tcPr>
          <w:p>
            <w:pPr>
              <w:spacing w:after="40" w:line="240" w:lineRule="auto"/>
            </w:pPr>
            <w:r/>
            <w:r>
              <w:rPr>
                <w:rFonts w:ascii="Aptos" w:hAnsi="Aptos"/>
                <w:b w:val="0"/>
                <w:color w:val="22313F"/>
                <w:sz w:val="16"/>
              </w:rPr>
              <w:t>P1 - Immediate</w:t>
            </w:r>
          </w:p>
        </w:tc>
        <w:tc>
          <w:tcPr>
            <w:tcW w:type="dxa" w:w="1872"/>
            <w:vAlign w:val="center"/>
            <w:tcMar>
              <w:top w:w="80" w:type="dxa"/>
              <w:start w:w="100" w:type="dxa"/>
              <w:bottom w:w="80" w:type="dxa"/>
              <w:end w:w="100" w:type="dxa"/>
            </w:tcMar>
          </w:tcPr>
          <w:p>
            <w:pPr>
              <w:spacing w:after="40" w:line="240" w:lineRule="auto"/>
            </w:pPr>
            <w:r/>
            <w:r>
              <w:rPr>
                <w:rFonts w:ascii="Aptos" w:hAnsi="Aptos"/>
                <w:b w:val="0"/>
                <w:color w:val="22313F"/>
                <w:sz w:val="16"/>
              </w:rPr>
              <w:t>80-100</w:t>
            </w:r>
          </w:p>
        </w:tc>
        <w:tc>
          <w:tcPr>
            <w:tcW w:type="dxa" w:w="5472"/>
            <w:vAlign w:val="center"/>
            <w:tcMar>
              <w:top w:w="80" w:type="dxa"/>
              <w:start w:w="100" w:type="dxa"/>
              <w:bottom w:w="80" w:type="dxa"/>
              <w:end w:w="100" w:type="dxa"/>
            </w:tcMar>
          </w:tcPr>
          <w:p>
            <w:pPr>
              <w:spacing w:after="40" w:line="240" w:lineRule="auto"/>
            </w:pPr>
            <w:r/>
            <w:r>
              <w:rPr>
                <w:rFonts w:ascii="Aptos" w:hAnsi="Aptos"/>
                <w:b w:val="0"/>
                <w:color w:val="22313F"/>
                <w:sz w:val="16"/>
              </w:rPr>
              <w:t>Top recommendation; create project CTA</w:t>
            </w:r>
          </w:p>
        </w:tc>
      </w:tr>
      <w:tr>
        <w:trPr>
          <w:cantSplit/>
        </w:trPr>
        <w:tc>
          <w:tcPr>
            <w:tcW w:type="dxa" w:w="302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P2 - High</w:t>
            </w:r>
          </w:p>
        </w:tc>
        <w:tc>
          <w:tcPr>
            <w:tcW w:type="dxa" w:w="187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65-79</w:t>
            </w:r>
          </w:p>
        </w:tc>
        <w:tc>
          <w:tcPr>
            <w:tcW w:type="dxa" w:w="547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Strong candidate; feasibility review</w:t>
            </w:r>
          </w:p>
        </w:tc>
      </w:tr>
      <w:tr>
        <w:trPr>
          <w:cantSplit/>
        </w:trPr>
        <w:tc>
          <w:tcPr>
            <w:tcW w:type="dxa" w:w="3024"/>
            <w:vAlign w:val="center"/>
            <w:tcMar>
              <w:top w:w="80" w:type="dxa"/>
              <w:start w:w="100" w:type="dxa"/>
              <w:bottom w:w="80" w:type="dxa"/>
              <w:end w:w="100" w:type="dxa"/>
            </w:tcMar>
          </w:tcPr>
          <w:p>
            <w:pPr>
              <w:spacing w:after="40" w:line="240" w:lineRule="auto"/>
            </w:pPr>
            <w:r/>
            <w:r>
              <w:rPr>
                <w:rFonts w:ascii="Aptos" w:hAnsi="Aptos"/>
                <w:b w:val="0"/>
                <w:color w:val="22313F"/>
                <w:sz w:val="16"/>
              </w:rPr>
              <w:t>P3 - Medium</w:t>
            </w:r>
          </w:p>
        </w:tc>
        <w:tc>
          <w:tcPr>
            <w:tcW w:type="dxa" w:w="1872"/>
            <w:vAlign w:val="center"/>
            <w:tcMar>
              <w:top w:w="80" w:type="dxa"/>
              <w:start w:w="100" w:type="dxa"/>
              <w:bottom w:w="80" w:type="dxa"/>
              <w:end w:w="100" w:type="dxa"/>
            </w:tcMar>
          </w:tcPr>
          <w:p>
            <w:pPr>
              <w:spacing w:after="40" w:line="240" w:lineRule="auto"/>
            </w:pPr>
            <w:r/>
            <w:r>
              <w:rPr>
                <w:rFonts w:ascii="Aptos" w:hAnsi="Aptos"/>
                <w:b w:val="0"/>
                <w:color w:val="22313F"/>
                <w:sz w:val="16"/>
              </w:rPr>
              <w:t>45-64</w:t>
            </w:r>
          </w:p>
        </w:tc>
        <w:tc>
          <w:tcPr>
            <w:tcW w:type="dxa" w:w="5472"/>
            <w:vAlign w:val="center"/>
            <w:tcMar>
              <w:top w:w="80" w:type="dxa"/>
              <w:start w:w="100" w:type="dxa"/>
              <w:bottom w:w="80" w:type="dxa"/>
              <w:end w:w="100" w:type="dxa"/>
            </w:tcMar>
          </w:tcPr>
          <w:p>
            <w:pPr>
              <w:spacing w:after="40" w:line="240" w:lineRule="auto"/>
            </w:pPr>
            <w:r/>
            <w:r>
              <w:rPr>
                <w:rFonts w:ascii="Aptos" w:hAnsi="Aptos"/>
                <w:b w:val="0"/>
                <w:color w:val="22313F"/>
                <w:sz w:val="16"/>
              </w:rPr>
              <w:t>Scenario/assessment required</w:t>
            </w:r>
          </w:p>
        </w:tc>
      </w:tr>
      <w:tr>
        <w:trPr>
          <w:cantSplit/>
        </w:trPr>
        <w:tc>
          <w:tcPr>
            <w:tcW w:type="dxa" w:w="302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P4 - Low</w:t>
            </w:r>
          </w:p>
        </w:tc>
        <w:tc>
          <w:tcPr>
            <w:tcW w:type="dxa" w:w="187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&lt;45</w:t>
            </w:r>
          </w:p>
        </w:tc>
        <w:tc>
          <w:tcPr>
            <w:tcW w:type="dxa" w:w="547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Backlog / monitor</w:t>
            </w:r>
          </w:p>
        </w:tc>
      </w:tr>
      <w:tr>
        <w:trPr>
          <w:cantSplit/>
        </w:trPr>
        <w:tc>
          <w:tcPr>
            <w:tcW w:type="dxa" w:w="3024"/>
            <w:vAlign w:val="center"/>
            <w:tcMar>
              <w:top w:w="80" w:type="dxa"/>
              <w:start w:w="100" w:type="dxa"/>
              <w:bottom w:w="80" w:type="dxa"/>
              <w:end w:w="100" w:type="dxa"/>
            </w:tcMar>
          </w:tcPr>
          <w:p>
            <w:pPr>
              <w:spacing w:after="40" w:line="240" w:lineRule="auto"/>
            </w:pPr>
            <w:r/>
            <w:r>
              <w:rPr>
                <w:rFonts w:ascii="Aptos" w:hAnsi="Aptos"/>
                <w:b w:val="0"/>
                <w:color w:val="22313F"/>
                <w:sz w:val="16"/>
              </w:rPr>
              <w:t>Blocked</w:t>
            </w:r>
          </w:p>
        </w:tc>
        <w:tc>
          <w:tcPr>
            <w:tcW w:type="dxa" w:w="1872"/>
            <w:vAlign w:val="center"/>
            <w:tcMar>
              <w:top w:w="80" w:type="dxa"/>
              <w:start w:w="100" w:type="dxa"/>
              <w:bottom w:w="80" w:type="dxa"/>
              <w:end w:w="100" w:type="dxa"/>
            </w:tcMar>
          </w:tcPr>
          <w:p>
            <w:pPr>
              <w:spacing w:after="40" w:line="240" w:lineRule="auto"/>
            </w:pPr>
            <w:r/>
            <w:r>
              <w:rPr>
                <w:rFonts w:ascii="Aptos" w:hAnsi="Aptos"/>
                <w:b w:val="0"/>
                <w:color w:val="22313F"/>
                <w:sz w:val="16"/>
              </w:rPr>
              <w:t>Any</w:t>
            </w:r>
          </w:p>
        </w:tc>
        <w:tc>
          <w:tcPr>
            <w:tcW w:type="dxa" w:w="5472"/>
            <w:vAlign w:val="center"/>
            <w:tcMar>
              <w:top w:w="80" w:type="dxa"/>
              <w:start w:w="100" w:type="dxa"/>
              <w:bottom w:w="80" w:type="dxa"/>
              <w:end w:w="100" w:type="dxa"/>
            </w:tcMar>
          </w:tcPr>
          <w:p>
            <w:pPr>
              <w:spacing w:after="40" w:line="240" w:lineRule="auto"/>
            </w:pPr>
            <w:r/>
            <w:r>
              <w:rPr>
                <w:rFonts w:ascii="Aptos" w:hAnsi="Aptos"/>
                <w:b w:val="0"/>
                <w:color w:val="22313F"/>
                <w:sz w:val="16"/>
              </w:rPr>
              <w:t>Safety, technical, data or policy gate failed</w:t>
            </w:r>
          </w:p>
        </w:tc>
      </w:tr>
    </w:tbl>
    <w:p>
      <w:pPr>
        <w:spacing w:after="40"/>
      </w:pPr>
    </w:p>
    <w:p>
      <w:pPr>
        <w:pStyle w:val="Heading1"/>
      </w:pPr>
      <w:r>
        <w:t>7. Mitigation Library - What Carbon Passport Should Showcase</w:t>
      </w:r>
    </w:p>
    <w:p>
      <w:pPr>
        <w:pStyle w:val="Heading2"/>
      </w:pPr>
      <w:r>
        <w:t>7.1 Industrial - Electricity / Scope 2</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232"/>
            <w:vAlign w:val="center"/>
            <w:tcMar>
              <w:top w:w="80" w:type="dxa"/>
              <w:start w:w="100" w:type="dxa"/>
              <w:bottom w:w="80" w:type="dxa"/>
              <w:end w:w="100" w:type="dxa"/>
            </w:tcMar>
            <w:shd w:fill="153A5B"/>
          </w:tcPr>
          <w:p>
            <w:pPr>
              <w:spacing w:after="40" w:line="240" w:lineRule="auto"/>
            </w:pPr>
            <w:r/>
            <w:r>
              <w:rPr>
                <w:rFonts w:ascii="Aptos" w:hAnsi="Aptos"/>
                <w:b/>
                <w:color w:val="FFFFFF"/>
                <w:sz w:val="16"/>
              </w:rPr>
              <w:t>Mitigation</w:t>
            </w:r>
          </w:p>
        </w:tc>
        <w:tc>
          <w:tcPr>
            <w:tcW w:type="dxa" w:w="3024"/>
            <w:vAlign w:val="center"/>
            <w:tcMar>
              <w:top w:w="80" w:type="dxa"/>
              <w:start w:w="100" w:type="dxa"/>
              <w:bottom w:w="80" w:type="dxa"/>
              <w:end w:w="100" w:type="dxa"/>
            </w:tcMar>
            <w:shd w:fill="153A5B"/>
          </w:tcPr>
          <w:p>
            <w:pPr>
              <w:spacing w:after="40" w:line="240" w:lineRule="auto"/>
            </w:pPr>
            <w:r/>
            <w:r>
              <w:rPr>
                <w:rFonts w:ascii="Aptos" w:hAnsi="Aptos"/>
                <w:b/>
                <w:color w:val="FFFFFF"/>
                <w:sz w:val="16"/>
              </w:rPr>
              <w:t>Trigger examples</w:t>
            </w:r>
          </w:p>
        </w:tc>
        <w:tc>
          <w:tcPr>
            <w:tcW w:type="dxa" w:w="2664"/>
            <w:vAlign w:val="center"/>
            <w:tcMar>
              <w:top w:w="80" w:type="dxa"/>
              <w:start w:w="100" w:type="dxa"/>
              <w:bottom w:w="80" w:type="dxa"/>
              <w:end w:w="100" w:type="dxa"/>
            </w:tcMar>
            <w:shd w:fill="153A5B"/>
          </w:tcPr>
          <w:p>
            <w:pPr>
              <w:spacing w:after="40" w:line="240" w:lineRule="auto"/>
            </w:pPr>
            <w:r/>
            <w:r>
              <w:rPr>
                <w:rFonts w:ascii="Aptos" w:hAnsi="Aptos"/>
                <w:b/>
                <w:color w:val="FFFFFF"/>
                <w:sz w:val="16"/>
              </w:rPr>
              <w:t>Required inputs</w:t>
            </w:r>
          </w:p>
        </w:tc>
        <w:tc>
          <w:tcPr>
            <w:tcW w:type="dxa" w:w="2592"/>
            <w:vAlign w:val="center"/>
            <w:tcMar>
              <w:top w:w="80" w:type="dxa"/>
              <w:start w:w="100" w:type="dxa"/>
              <w:bottom w:w="80" w:type="dxa"/>
              <w:end w:w="100" w:type="dxa"/>
            </w:tcMar>
            <w:shd w:fill="153A5B"/>
          </w:tcPr>
          <w:p>
            <w:pPr>
              <w:spacing w:after="40" w:line="240" w:lineRule="auto"/>
            </w:pPr>
            <w:r/>
            <w:r>
              <w:rPr>
                <w:rFonts w:ascii="Aptos" w:hAnsi="Aptos"/>
                <w:b/>
                <w:color w:val="FFFFFF"/>
                <w:sz w:val="16"/>
              </w:rPr>
              <w:t>MRV method</w:t>
            </w:r>
          </w:p>
        </w:tc>
      </w:tr>
      <w:tr>
        <w:trPr>
          <w:cantSplit/>
        </w:trPr>
        <w:tc>
          <w:tcPr>
            <w:tcW w:type="dxa" w:w="2232"/>
            <w:vAlign w:val="center"/>
            <w:tcMar>
              <w:top w:w="80" w:type="dxa"/>
              <w:start w:w="100" w:type="dxa"/>
              <w:bottom w:w="80" w:type="dxa"/>
              <w:end w:w="100" w:type="dxa"/>
            </w:tcMar>
          </w:tcPr>
          <w:p>
            <w:pPr>
              <w:spacing w:after="40" w:line="240" w:lineRule="auto"/>
            </w:pPr>
            <w:r/>
            <w:r>
              <w:rPr>
                <w:rFonts w:ascii="Aptos" w:hAnsi="Aptos"/>
                <w:b w:val="0"/>
                <w:color w:val="22313F"/>
                <w:sz w:val="16"/>
              </w:rPr>
              <w:t>After-hours load reduction</w:t>
            </w:r>
          </w:p>
        </w:tc>
        <w:tc>
          <w:tcPr>
            <w:tcW w:type="dxa" w:w="3024"/>
            <w:vAlign w:val="center"/>
            <w:tcMar>
              <w:top w:w="80" w:type="dxa"/>
              <w:start w:w="100" w:type="dxa"/>
              <w:bottom w:w="80" w:type="dxa"/>
              <w:end w:w="100" w:type="dxa"/>
            </w:tcMar>
          </w:tcPr>
          <w:p>
            <w:pPr>
              <w:spacing w:after="40" w:line="240" w:lineRule="auto"/>
            </w:pPr>
            <w:r/>
            <w:r>
              <w:rPr>
                <w:rFonts w:ascii="Aptos" w:hAnsi="Aptos"/>
                <w:b w:val="0"/>
                <w:color w:val="22313F"/>
                <w:sz w:val="16"/>
              </w:rPr>
              <w:t>Night baseload &gt;20-30% of day load</w:t>
            </w:r>
          </w:p>
        </w:tc>
        <w:tc>
          <w:tcPr>
            <w:tcW w:type="dxa" w:w="2664"/>
            <w:vAlign w:val="center"/>
            <w:tcMar>
              <w:top w:w="80" w:type="dxa"/>
              <w:start w:w="100" w:type="dxa"/>
              <w:bottom w:w="80" w:type="dxa"/>
              <w:end w:w="100" w:type="dxa"/>
            </w:tcMar>
          </w:tcPr>
          <w:p>
            <w:pPr>
              <w:spacing w:after="40" w:line="240" w:lineRule="auto"/>
            </w:pPr>
            <w:r/>
            <w:r>
              <w:rPr>
                <w:rFonts w:ascii="Aptos" w:hAnsi="Aptos"/>
                <w:b w:val="0"/>
                <w:color w:val="22313F"/>
                <w:sz w:val="16"/>
              </w:rPr>
              <w:t>Interval kW/kWh, operating schedule</w:t>
            </w:r>
          </w:p>
        </w:tc>
        <w:tc>
          <w:tcPr>
            <w:tcW w:type="dxa" w:w="2592"/>
            <w:vAlign w:val="center"/>
            <w:tcMar>
              <w:top w:w="80" w:type="dxa"/>
              <w:start w:w="100" w:type="dxa"/>
              <w:bottom w:w="80" w:type="dxa"/>
              <w:end w:w="100" w:type="dxa"/>
            </w:tcMar>
          </w:tcPr>
          <w:p>
            <w:pPr>
              <w:spacing w:after="40" w:line="240" w:lineRule="auto"/>
            </w:pPr>
            <w:r/>
            <w:r>
              <w:rPr>
                <w:rFonts w:ascii="Aptos" w:hAnsi="Aptos"/>
                <w:b w:val="0"/>
                <w:color w:val="22313F"/>
                <w:sz w:val="16"/>
              </w:rPr>
              <w:t>Pre/post interval model normalized for operating hours</w:t>
            </w:r>
          </w:p>
        </w:tc>
      </w:tr>
      <w:tr>
        <w:trPr>
          <w:cantSplit/>
        </w:trPr>
        <w:tc>
          <w:tcPr>
            <w:tcW w:type="dxa" w:w="223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Compressed-air optimization</w:t>
            </w:r>
          </w:p>
        </w:tc>
        <w:tc>
          <w:tcPr>
            <w:tcW w:type="dxa" w:w="302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High compressor run time, abnormal baseload, leak survey flag</w:t>
            </w:r>
          </w:p>
        </w:tc>
        <w:tc>
          <w:tcPr>
            <w:tcW w:type="dxa" w:w="266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kWh, pressure, flow if available, production</w:t>
            </w:r>
          </w:p>
        </w:tc>
        <w:tc>
          <w:tcPr>
            <w:tcW w:type="dxa" w:w="259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kWh per production unit + leak repair evidence</w:t>
            </w:r>
          </w:p>
        </w:tc>
      </w:tr>
      <w:tr>
        <w:trPr>
          <w:cantSplit/>
        </w:trPr>
        <w:tc>
          <w:tcPr>
            <w:tcW w:type="dxa" w:w="2232"/>
            <w:vAlign w:val="center"/>
            <w:tcMar>
              <w:top w:w="80" w:type="dxa"/>
              <w:start w:w="100" w:type="dxa"/>
              <w:bottom w:w="80" w:type="dxa"/>
              <w:end w:w="100" w:type="dxa"/>
            </w:tcMar>
          </w:tcPr>
          <w:p>
            <w:pPr>
              <w:spacing w:after="40" w:line="240" w:lineRule="auto"/>
            </w:pPr>
            <w:r/>
            <w:r>
              <w:rPr>
                <w:rFonts w:ascii="Aptos" w:hAnsi="Aptos"/>
                <w:b w:val="0"/>
                <w:color w:val="22313F"/>
                <w:sz w:val="16"/>
              </w:rPr>
              <w:t>VFD / motor optimization</w:t>
            </w:r>
          </w:p>
        </w:tc>
        <w:tc>
          <w:tcPr>
            <w:tcW w:type="dxa" w:w="3024"/>
            <w:vAlign w:val="center"/>
            <w:tcMar>
              <w:top w:w="80" w:type="dxa"/>
              <w:start w:w="100" w:type="dxa"/>
              <w:bottom w:w="80" w:type="dxa"/>
              <w:end w:w="100" w:type="dxa"/>
            </w:tcMar>
          </w:tcPr>
          <w:p>
            <w:pPr>
              <w:spacing w:after="40" w:line="240" w:lineRule="auto"/>
            </w:pPr>
            <w:r/>
            <w:r>
              <w:rPr>
                <w:rFonts w:ascii="Aptos" w:hAnsi="Aptos"/>
                <w:b w:val="0"/>
                <w:color w:val="22313F"/>
                <w:sz w:val="16"/>
              </w:rPr>
              <w:t>Variable-load motor operated fixed-speed</w:t>
            </w:r>
          </w:p>
        </w:tc>
        <w:tc>
          <w:tcPr>
            <w:tcW w:type="dxa" w:w="2664"/>
            <w:vAlign w:val="center"/>
            <w:tcMar>
              <w:top w:w="80" w:type="dxa"/>
              <w:start w:w="100" w:type="dxa"/>
              <w:bottom w:w="80" w:type="dxa"/>
              <w:end w:w="100" w:type="dxa"/>
            </w:tcMar>
          </w:tcPr>
          <w:p>
            <w:pPr>
              <w:spacing w:after="40" w:line="240" w:lineRule="auto"/>
            </w:pPr>
            <w:r/>
            <w:r>
              <w:rPr>
                <w:rFonts w:ascii="Aptos" w:hAnsi="Aptos"/>
                <w:b w:val="0"/>
                <w:color w:val="22313F"/>
                <w:sz w:val="16"/>
              </w:rPr>
              <w:t>motor kW, load profile, hours</w:t>
            </w:r>
          </w:p>
        </w:tc>
        <w:tc>
          <w:tcPr>
            <w:tcW w:type="dxa" w:w="2592"/>
            <w:vAlign w:val="center"/>
            <w:tcMar>
              <w:top w:w="80" w:type="dxa"/>
              <w:start w:w="100" w:type="dxa"/>
              <w:bottom w:w="80" w:type="dxa"/>
              <w:end w:w="100" w:type="dxa"/>
            </w:tcMar>
          </w:tcPr>
          <w:p>
            <w:pPr>
              <w:spacing w:after="40" w:line="240" w:lineRule="auto"/>
            </w:pPr>
            <w:r/>
            <w:r>
              <w:rPr>
                <w:rFonts w:ascii="Aptos" w:hAnsi="Aptos"/>
                <w:b w:val="0"/>
                <w:color w:val="22313F"/>
                <w:sz w:val="16"/>
              </w:rPr>
              <w:t>submeter or equipment kWh before/after</w:t>
            </w:r>
          </w:p>
        </w:tc>
      </w:tr>
      <w:tr>
        <w:trPr>
          <w:cantSplit/>
        </w:trPr>
        <w:tc>
          <w:tcPr>
            <w:tcW w:type="dxa" w:w="223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HVAC/chiller optimization</w:t>
            </w:r>
          </w:p>
        </w:tc>
        <w:tc>
          <w:tcPr>
            <w:tcW w:type="dxa" w:w="302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High cooling share, poor kW/TR or excessive runtime</w:t>
            </w:r>
          </w:p>
        </w:tc>
        <w:tc>
          <w:tcPr>
            <w:tcW w:type="dxa" w:w="266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chiller kWh, temperature, runtime, weather</w:t>
            </w:r>
          </w:p>
        </w:tc>
        <w:tc>
          <w:tcPr>
            <w:tcW w:type="dxa" w:w="259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weather-normalized kWh and cooling output</w:t>
            </w:r>
          </w:p>
        </w:tc>
      </w:tr>
      <w:tr>
        <w:trPr>
          <w:cantSplit/>
        </w:trPr>
        <w:tc>
          <w:tcPr>
            <w:tcW w:type="dxa" w:w="2232"/>
            <w:vAlign w:val="center"/>
            <w:tcMar>
              <w:top w:w="80" w:type="dxa"/>
              <w:start w:w="100" w:type="dxa"/>
              <w:bottom w:w="80" w:type="dxa"/>
              <w:end w:w="100" w:type="dxa"/>
            </w:tcMar>
          </w:tcPr>
          <w:p>
            <w:pPr>
              <w:spacing w:after="40" w:line="240" w:lineRule="auto"/>
            </w:pPr>
            <w:r/>
            <w:r>
              <w:rPr>
                <w:rFonts w:ascii="Aptos" w:hAnsi="Aptos"/>
                <w:b w:val="0"/>
                <w:color w:val="22313F"/>
                <w:sz w:val="16"/>
              </w:rPr>
              <w:t>LED / lighting controls</w:t>
            </w:r>
          </w:p>
        </w:tc>
        <w:tc>
          <w:tcPr>
            <w:tcW w:type="dxa" w:w="3024"/>
            <w:vAlign w:val="center"/>
            <w:tcMar>
              <w:top w:w="80" w:type="dxa"/>
              <w:start w:w="100" w:type="dxa"/>
              <w:bottom w:w="80" w:type="dxa"/>
              <w:end w:w="100" w:type="dxa"/>
            </w:tcMar>
          </w:tcPr>
          <w:p>
            <w:pPr>
              <w:spacing w:after="40" w:line="240" w:lineRule="auto"/>
            </w:pPr>
            <w:r/>
            <w:r>
              <w:rPr>
                <w:rFonts w:ascii="Aptos" w:hAnsi="Aptos"/>
                <w:b w:val="0"/>
                <w:color w:val="22313F"/>
                <w:sz w:val="16"/>
              </w:rPr>
              <w:t>High lighting hours or legacy fixtures</w:t>
            </w:r>
          </w:p>
        </w:tc>
        <w:tc>
          <w:tcPr>
            <w:tcW w:type="dxa" w:w="2664"/>
            <w:vAlign w:val="center"/>
            <w:tcMar>
              <w:top w:w="80" w:type="dxa"/>
              <w:start w:w="100" w:type="dxa"/>
              <w:bottom w:w="80" w:type="dxa"/>
              <w:end w:w="100" w:type="dxa"/>
            </w:tcMar>
          </w:tcPr>
          <w:p>
            <w:pPr>
              <w:spacing w:after="40" w:line="240" w:lineRule="auto"/>
            </w:pPr>
            <w:r/>
            <w:r>
              <w:rPr>
                <w:rFonts w:ascii="Aptos" w:hAnsi="Aptos"/>
                <w:b w:val="0"/>
                <w:color w:val="22313F"/>
                <w:sz w:val="16"/>
              </w:rPr>
              <w:t>fixture count, wattage, hours</w:t>
            </w:r>
          </w:p>
        </w:tc>
        <w:tc>
          <w:tcPr>
            <w:tcW w:type="dxa" w:w="2592"/>
            <w:vAlign w:val="center"/>
            <w:tcMar>
              <w:top w:w="80" w:type="dxa"/>
              <w:start w:w="100" w:type="dxa"/>
              <w:bottom w:w="80" w:type="dxa"/>
              <w:end w:w="100" w:type="dxa"/>
            </w:tcMar>
          </w:tcPr>
          <w:p>
            <w:pPr>
              <w:spacing w:after="40" w:line="240" w:lineRule="auto"/>
            </w:pPr>
            <w:r/>
            <w:r>
              <w:rPr>
                <w:rFonts w:ascii="Aptos" w:hAnsi="Aptos"/>
                <w:b w:val="0"/>
                <w:color w:val="22313F"/>
                <w:sz w:val="16"/>
              </w:rPr>
              <w:t>engineering calc + circuit/whole-building validation</w:t>
            </w:r>
          </w:p>
        </w:tc>
      </w:tr>
      <w:tr>
        <w:trPr>
          <w:cantSplit/>
        </w:trPr>
        <w:tc>
          <w:tcPr>
            <w:tcW w:type="dxa" w:w="223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Power factor correction</w:t>
            </w:r>
          </w:p>
        </w:tc>
        <w:tc>
          <w:tcPr>
            <w:tcW w:type="dxa" w:w="302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PF below configured threshold</w:t>
            </w:r>
          </w:p>
        </w:tc>
        <w:tc>
          <w:tcPr>
            <w:tcW w:type="dxa" w:w="266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kW, kVA, PF, tariff rules</w:t>
            </w:r>
          </w:p>
        </w:tc>
        <w:tc>
          <w:tcPr>
            <w:tcW w:type="dxa" w:w="259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metered PF and demand/penalty effect</w:t>
            </w:r>
          </w:p>
        </w:tc>
      </w:tr>
      <w:tr>
        <w:trPr>
          <w:cantSplit/>
        </w:trPr>
        <w:tc>
          <w:tcPr>
            <w:tcW w:type="dxa" w:w="2232"/>
            <w:vAlign w:val="center"/>
            <w:tcMar>
              <w:top w:w="80" w:type="dxa"/>
              <w:start w:w="100" w:type="dxa"/>
              <w:bottom w:w="80" w:type="dxa"/>
              <w:end w:w="100" w:type="dxa"/>
            </w:tcMar>
          </w:tcPr>
          <w:p>
            <w:pPr>
              <w:spacing w:after="40" w:line="240" w:lineRule="auto"/>
            </w:pPr>
            <w:r/>
            <w:r>
              <w:rPr>
                <w:rFonts w:ascii="Aptos" w:hAnsi="Aptos"/>
                <w:b w:val="0"/>
                <w:color w:val="22313F"/>
                <w:sz w:val="16"/>
              </w:rPr>
              <w:t>Rooftop solar</w:t>
            </w:r>
          </w:p>
        </w:tc>
        <w:tc>
          <w:tcPr>
            <w:tcW w:type="dxa" w:w="3024"/>
            <w:vAlign w:val="center"/>
            <w:tcMar>
              <w:top w:w="80" w:type="dxa"/>
              <w:start w:w="100" w:type="dxa"/>
              <w:bottom w:w="80" w:type="dxa"/>
              <w:end w:w="100" w:type="dxa"/>
            </w:tcMar>
          </w:tcPr>
          <w:p>
            <w:pPr>
              <w:spacing w:after="40" w:line="240" w:lineRule="auto"/>
            </w:pPr>
            <w:r/>
            <w:r>
              <w:rPr>
                <w:rFonts w:ascii="Aptos" w:hAnsi="Aptos"/>
                <w:b w:val="0"/>
                <w:color w:val="22313F"/>
                <w:sz w:val="16"/>
              </w:rPr>
              <w:t>Suitable load/roof/resource and grid eligibility</w:t>
            </w:r>
          </w:p>
        </w:tc>
        <w:tc>
          <w:tcPr>
            <w:tcW w:type="dxa" w:w="2664"/>
            <w:vAlign w:val="center"/>
            <w:tcMar>
              <w:top w:w="80" w:type="dxa"/>
              <w:start w:w="100" w:type="dxa"/>
              <w:bottom w:w="80" w:type="dxa"/>
              <w:end w:w="100" w:type="dxa"/>
            </w:tcMar>
          </w:tcPr>
          <w:p>
            <w:pPr>
              <w:spacing w:after="40" w:line="240" w:lineRule="auto"/>
            </w:pPr>
            <w:r/>
            <w:r>
              <w:rPr>
                <w:rFonts w:ascii="Aptos" w:hAnsi="Aptos"/>
                <w:b w:val="0"/>
                <w:color w:val="22313F"/>
                <w:sz w:val="16"/>
              </w:rPr>
              <w:t>load, roof, irradiance estimate, tariff</w:t>
            </w:r>
          </w:p>
        </w:tc>
        <w:tc>
          <w:tcPr>
            <w:tcW w:type="dxa" w:w="2592"/>
            <w:vAlign w:val="center"/>
            <w:tcMar>
              <w:top w:w="80" w:type="dxa"/>
              <w:start w:w="100" w:type="dxa"/>
              <w:bottom w:w="80" w:type="dxa"/>
              <w:end w:w="100" w:type="dxa"/>
            </w:tcMar>
          </w:tcPr>
          <w:p>
            <w:pPr>
              <w:spacing w:after="40" w:line="240" w:lineRule="auto"/>
            </w:pPr>
            <w:r/>
            <w:r>
              <w:rPr>
                <w:rFonts w:ascii="Aptos" w:hAnsi="Aptos"/>
                <w:b w:val="0"/>
                <w:color w:val="22313F"/>
                <w:sz w:val="16"/>
              </w:rPr>
              <w:t>inverter generation + import meter + accounting method</w:t>
            </w:r>
          </w:p>
        </w:tc>
      </w:tr>
      <w:tr>
        <w:trPr>
          <w:cantSplit/>
        </w:trPr>
        <w:tc>
          <w:tcPr>
            <w:tcW w:type="dxa" w:w="223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Renewable procurement</w:t>
            </w:r>
          </w:p>
        </w:tc>
        <w:tc>
          <w:tcPr>
            <w:tcW w:type="dxa" w:w="302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Residual Scope 2 remains material</w:t>
            </w:r>
          </w:p>
        </w:tc>
        <w:tc>
          <w:tcPr>
            <w:tcW w:type="dxa" w:w="266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consumption, market instrument eligibility</w:t>
            </w:r>
          </w:p>
        </w:tc>
        <w:tc>
          <w:tcPr>
            <w:tcW w:type="dxa" w:w="259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certificate/contract retirement + accounting controls</w:t>
            </w:r>
          </w:p>
        </w:tc>
      </w:tr>
    </w:tbl>
    <w:p>
      <w:pPr>
        <w:spacing w:after="40"/>
      </w:pPr>
    </w:p>
    <w:p>
      <w:pPr>
        <w:pStyle w:val="Heading2"/>
      </w:pPr>
      <w:r>
        <w:t>7.2 Industrial - Scope 1 / Process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Mitigation</w:t>
            </w:r>
          </w:p>
        </w:tc>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Typical source</w:t>
            </w:r>
          </w:p>
        </w:tc>
        <w:tc>
          <w:tcPr>
            <w:tcW w:type="dxa" w:w="4608"/>
            <w:vAlign w:val="center"/>
            <w:tcMar>
              <w:top w:w="80" w:type="dxa"/>
              <w:start w:w="100" w:type="dxa"/>
              <w:bottom w:w="80" w:type="dxa"/>
              <w:end w:w="100" w:type="dxa"/>
            </w:tcMar>
            <w:shd w:fill="153A5B"/>
          </w:tcPr>
          <w:p>
            <w:pPr>
              <w:spacing w:after="40" w:line="240" w:lineRule="auto"/>
            </w:pPr>
            <w:r/>
            <w:r>
              <w:rPr>
                <w:rFonts w:ascii="Aptos" w:hAnsi="Aptos"/>
                <w:b/>
                <w:color w:val="FFFFFF"/>
                <w:sz w:val="16"/>
              </w:rPr>
              <w:t>Examples</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Boiler/burner optimization</w:t>
            </w:r>
          </w:p>
        </w:tc>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Natural gas/LPG/diesel/biomass combustion</w:t>
            </w:r>
          </w:p>
        </w:tc>
        <w:tc>
          <w:tcPr>
            <w:tcW w:type="dxa" w:w="4608"/>
            <w:vAlign w:val="center"/>
            <w:tcMar>
              <w:top w:w="80" w:type="dxa"/>
              <w:start w:w="100" w:type="dxa"/>
              <w:bottom w:w="80" w:type="dxa"/>
              <w:end w:w="100" w:type="dxa"/>
            </w:tcMar>
          </w:tcPr>
          <w:p>
            <w:pPr>
              <w:spacing w:after="40" w:line="240" w:lineRule="auto"/>
            </w:pPr>
            <w:r/>
            <w:r>
              <w:rPr>
                <w:rFonts w:ascii="Aptos" w:hAnsi="Aptos"/>
                <w:b w:val="0"/>
                <w:color w:val="22313F"/>
                <w:sz w:val="16"/>
              </w:rPr>
              <w:t>O2 tuning, blowdown optimization, condensate return, insulation</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Waste heat recovery</w:t>
            </w:r>
          </w:p>
        </w:tc>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Furnaces, kilns, boilers, compressors</w:t>
            </w:r>
          </w:p>
        </w:tc>
        <w:tc>
          <w:tcPr>
            <w:tcW w:type="dxa" w:w="460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pre-heating, hot-water recovery, ORC where appropriate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Electrification</w:t>
            </w:r>
          </w:p>
        </w:tc>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Fuel-fired process or material handling</w:t>
            </w:r>
          </w:p>
        </w:tc>
        <w:tc>
          <w:tcPr>
            <w:tcW w:type="dxa" w:w="4608"/>
            <w:vAlign w:val="center"/>
            <w:tcMar>
              <w:top w:w="80" w:type="dxa"/>
              <w:start w:w="100" w:type="dxa"/>
              <w:bottom w:w="80" w:type="dxa"/>
              <w:end w:w="100" w:type="dxa"/>
            </w:tcMar>
          </w:tcPr>
          <w:p>
            <w:pPr>
              <w:spacing w:after="40" w:line="240" w:lineRule="auto"/>
            </w:pPr>
            <w:r/>
            <w:r>
              <w:rPr>
                <w:rFonts w:ascii="Aptos" w:hAnsi="Aptos"/>
                <w:b w:val="0"/>
                <w:color w:val="22313F"/>
                <w:sz w:val="16"/>
              </w:rPr>
              <w:t>electric boiler/heat pump where feasible, electric forklift</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Fuel switching</w:t>
            </w:r>
          </w:p>
        </w:tc>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High-carbon fuel</w:t>
            </w:r>
          </w:p>
        </w:tc>
        <w:tc>
          <w:tcPr>
            <w:tcW w:type="dxa" w:w="460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lower-carbon fuel subject to lifecycle and technical assessment</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Refrigerant management</w:t>
            </w:r>
          </w:p>
        </w:tc>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HVAC/cold storage</w:t>
            </w:r>
          </w:p>
        </w:tc>
        <w:tc>
          <w:tcPr>
            <w:tcW w:type="dxa" w:w="4608"/>
            <w:vAlign w:val="center"/>
            <w:tcMar>
              <w:top w:w="80" w:type="dxa"/>
              <w:start w:w="100" w:type="dxa"/>
              <w:bottom w:w="80" w:type="dxa"/>
              <w:end w:w="100" w:type="dxa"/>
            </w:tcMar>
          </w:tcPr>
          <w:p>
            <w:pPr>
              <w:spacing w:after="40" w:line="240" w:lineRule="auto"/>
            </w:pPr>
            <w:r/>
            <w:r>
              <w:rPr>
                <w:rFonts w:ascii="Aptos" w:hAnsi="Aptos"/>
                <w:b w:val="0"/>
                <w:color w:val="22313F"/>
                <w:sz w:val="16"/>
              </w:rPr>
              <w:t>leak detection, low-GWP refrigerant transition, recovery records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Fleet decarbonization</w:t>
            </w:r>
          </w:p>
        </w:tc>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Owned vehicles</w:t>
            </w:r>
          </w:p>
        </w:tc>
        <w:tc>
          <w:tcPr>
            <w:tcW w:type="dxa" w:w="460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EV transition, route optimization, idle reduction</w:t>
            </w:r>
          </w:p>
        </w:tc>
      </w:tr>
    </w:tbl>
    <w:p>
      <w:pPr>
        <w:spacing w:after="40"/>
      </w:pPr>
    </w:p>
    <w:p>
      <w:pPr>
        <w:pStyle w:val="Heading2"/>
      </w:pPr>
      <w:r>
        <w:t>7.3 Scope 3 / Product &amp; Supply Chain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168"/>
            <w:vAlign w:val="center"/>
            <w:tcMar>
              <w:top w:w="80" w:type="dxa"/>
              <w:start w:w="100" w:type="dxa"/>
              <w:bottom w:w="80" w:type="dxa"/>
              <w:end w:w="100" w:type="dxa"/>
            </w:tcMar>
            <w:shd w:fill="153A5B"/>
          </w:tcPr>
          <w:p>
            <w:pPr>
              <w:spacing w:after="40" w:line="240" w:lineRule="auto"/>
            </w:pPr>
            <w:r/>
            <w:r>
              <w:rPr>
                <w:rFonts w:ascii="Aptos" w:hAnsi="Aptos"/>
                <w:b/>
                <w:color w:val="FFFFFF"/>
                <w:sz w:val="16"/>
              </w:rPr>
              <w:t>Mitigation</w:t>
            </w:r>
          </w:p>
        </w:tc>
        <w:tc>
          <w:tcPr>
            <w:tcW w:type="dxa" w:w="3744"/>
            <w:vAlign w:val="center"/>
            <w:tcMar>
              <w:top w:w="80" w:type="dxa"/>
              <w:start w:w="100" w:type="dxa"/>
              <w:bottom w:w="80" w:type="dxa"/>
              <w:end w:w="100" w:type="dxa"/>
            </w:tcMar>
            <w:shd w:fill="153A5B"/>
          </w:tcPr>
          <w:p>
            <w:pPr>
              <w:spacing w:after="40" w:line="240" w:lineRule="auto"/>
            </w:pPr>
            <w:r/>
            <w:r>
              <w:rPr>
                <w:rFonts w:ascii="Aptos" w:hAnsi="Aptos"/>
                <w:b/>
                <w:color w:val="FFFFFF"/>
                <w:sz w:val="16"/>
              </w:rPr>
              <w:t>Decision-engine signal</w:t>
            </w:r>
          </w:p>
        </w:tc>
        <w:tc>
          <w:tcPr>
            <w:tcW w:type="dxa" w:w="3456"/>
            <w:vAlign w:val="center"/>
            <w:tcMar>
              <w:top w:w="80" w:type="dxa"/>
              <w:start w:w="100" w:type="dxa"/>
              <w:bottom w:w="80" w:type="dxa"/>
              <w:end w:w="100" w:type="dxa"/>
            </w:tcMar>
            <w:shd w:fill="153A5B"/>
          </w:tcPr>
          <w:p>
            <w:pPr>
              <w:spacing w:after="40" w:line="240" w:lineRule="auto"/>
            </w:pPr>
            <w:r/>
            <w:r>
              <w:rPr>
                <w:rFonts w:ascii="Aptos" w:hAnsi="Aptos"/>
                <w:b/>
                <w:color w:val="FFFFFF"/>
                <w:sz w:val="16"/>
              </w:rPr>
              <w:t>Passport value</w:t>
            </w:r>
          </w:p>
        </w:tc>
      </w:tr>
      <w:tr>
        <w:trPr>
          <w:cantSplit/>
        </w:trPr>
        <w:tc>
          <w:tcPr>
            <w:tcW w:type="dxa" w:w="3168"/>
            <w:vAlign w:val="center"/>
            <w:tcMar>
              <w:top w:w="80" w:type="dxa"/>
              <w:start w:w="100" w:type="dxa"/>
              <w:bottom w:w="80" w:type="dxa"/>
              <w:end w:w="100" w:type="dxa"/>
            </w:tcMar>
          </w:tcPr>
          <w:p>
            <w:pPr>
              <w:spacing w:after="40" w:line="240" w:lineRule="auto"/>
            </w:pPr>
            <w:r/>
            <w:r>
              <w:rPr>
                <w:rFonts w:ascii="Aptos" w:hAnsi="Aptos"/>
                <w:b w:val="0"/>
                <w:color w:val="22313F"/>
                <w:sz w:val="16"/>
              </w:rPr>
              <w:t>Supplier substitution/engagement</w:t>
            </w:r>
          </w:p>
        </w:tc>
        <w:tc>
          <w:tcPr>
            <w:tcW w:type="dxa" w:w="3744"/>
            <w:vAlign w:val="center"/>
            <w:tcMar>
              <w:top w:w="80" w:type="dxa"/>
              <w:start w:w="100" w:type="dxa"/>
              <w:bottom w:w="80" w:type="dxa"/>
              <w:end w:w="100" w:type="dxa"/>
            </w:tcMar>
          </w:tcPr>
          <w:p>
            <w:pPr>
              <w:spacing w:after="40" w:line="240" w:lineRule="auto"/>
            </w:pPr>
            <w:r/>
            <w:r>
              <w:rPr>
                <w:rFonts w:ascii="Aptos" w:hAnsi="Aptos"/>
                <w:b w:val="0"/>
                <w:color w:val="22313F"/>
                <w:sz w:val="16"/>
              </w:rPr>
              <w:t>Supplier PCF materially above category benchmark</w:t>
            </w:r>
          </w:p>
        </w:tc>
        <w:tc>
          <w:tcPr>
            <w:tcW w:type="dxa" w:w="3456"/>
            <w:vAlign w:val="center"/>
            <w:tcMar>
              <w:top w:w="80" w:type="dxa"/>
              <w:start w:w="100" w:type="dxa"/>
              <w:bottom w:w="80" w:type="dxa"/>
              <w:end w:w="100" w:type="dxa"/>
            </w:tcMar>
          </w:tcPr>
          <w:p>
            <w:pPr>
              <w:spacing w:after="40" w:line="240" w:lineRule="auto"/>
            </w:pPr>
            <w:r/>
            <w:r>
              <w:rPr>
                <w:rFonts w:ascii="Aptos" w:hAnsi="Aptos"/>
                <w:b w:val="0"/>
                <w:color w:val="22313F"/>
                <w:sz w:val="16"/>
              </w:rPr>
              <w:t>Lower upstream PCF with supplier evidence</w:t>
            </w:r>
          </w:p>
        </w:tc>
      </w:tr>
      <w:tr>
        <w:trPr>
          <w:cantSplit/>
        </w:trPr>
        <w:tc>
          <w:tcPr>
            <w:tcW w:type="dxa" w:w="316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Material substitution</w:t>
            </w:r>
          </w:p>
        </w:tc>
        <w:tc>
          <w:tcPr>
            <w:tcW w:type="dxa" w:w="374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Material dominates product footprint</w:t>
            </w:r>
          </w:p>
        </w:tc>
        <w:tc>
          <w:tcPr>
            <w:tcW w:type="dxa" w:w="345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Scenario PCF comparing alternate materials</w:t>
            </w:r>
          </w:p>
        </w:tc>
      </w:tr>
      <w:tr>
        <w:trPr>
          <w:cantSplit/>
        </w:trPr>
        <w:tc>
          <w:tcPr>
            <w:tcW w:type="dxa" w:w="3168"/>
            <w:vAlign w:val="center"/>
            <w:tcMar>
              <w:top w:w="80" w:type="dxa"/>
              <w:start w:w="100" w:type="dxa"/>
              <w:bottom w:w="80" w:type="dxa"/>
              <w:end w:w="100" w:type="dxa"/>
            </w:tcMar>
          </w:tcPr>
          <w:p>
            <w:pPr>
              <w:spacing w:after="40" w:line="240" w:lineRule="auto"/>
            </w:pPr>
            <w:r/>
            <w:r>
              <w:rPr>
                <w:rFonts w:ascii="Aptos" w:hAnsi="Aptos"/>
                <w:b w:val="0"/>
                <w:color w:val="22313F"/>
                <w:sz w:val="16"/>
              </w:rPr>
              <w:t>Recycled content</w:t>
            </w:r>
          </w:p>
        </w:tc>
        <w:tc>
          <w:tcPr>
            <w:tcW w:type="dxa" w:w="3744"/>
            <w:vAlign w:val="center"/>
            <w:tcMar>
              <w:top w:w="80" w:type="dxa"/>
              <w:start w:w="100" w:type="dxa"/>
              <w:bottom w:w="80" w:type="dxa"/>
              <w:end w:w="100" w:type="dxa"/>
            </w:tcMar>
          </w:tcPr>
          <w:p>
            <w:pPr>
              <w:spacing w:after="40" w:line="240" w:lineRule="auto"/>
            </w:pPr>
            <w:r/>
            <w:r>
              <w:rPr>
                <w:rFonts w:ascii="Aptos" w:hAnsi="Aptos"/>
                <w:b w:val="0"/>
                <w:color w:val="22313F"/>
                <w:sz w:val="16"/>
              </w:rPr>
              <w:t>Virgin input emission intensity high</w:t>
            </w:r>
          </w:p>
        </w:tc>
        <w:tc>
          <w:tcPr>
            <w:tcW w:type="dxa" w:w="3456"/>
            <w:vAlign w:val="center"/>
            <w:tcMar>
              <w:top w:w="80" w:type="dxa"/>
              <w:start w:w="100" w:type="dxa"/>
              <w:bottom w:w="80" w:type="dxa"/>
              <w:end w:w="100" w:type="dxa"/>
            </w:tcMar>
          </w:tcPr>
          <w:p>
            <w:pPr>
              <w:spacing w:after="40" w:line="240" w:lineRule="auto"/>
            </w:pPr>
            <w:r/>
            <w:r>
              <w:rPr>
                <w:rFonts w:ascii="Aptos" w:hAnsi="Aptos"/>
                <w:b w:val="0"/>
                <w:color w:val="22313F"/>
                <w:sz w:val="16"/>
              </w:rPr>
              <w:t>Track recycled % and supplier evidence</w:t>
            </w:r>
          </w:p>
        </w:tc>
      </w:tr>
      <w:tr>
        <w:trPr>
          <w:cantSplit/>
        </w:trPr>
        <w:tc>
          <w:tcPr>
            <w:tcW w:type="dxa" w:w="316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Logistics optimization</w:t>
            </w:r>
          </w:p>
        </w:tc>
        <w:tc>
          <w:tcPr>
            <w:tcW w:type="dxa" w:w="374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Air/road freight dominates</w:t>
            </w:r>
          </w:p>
        </w:tc>
        <w:tc>
          <w:tcPr>
            <w:tcW w:type="dxa" w:w="345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Mode, route, load-factor scenarios</w:t>
            </w:r>
          </w:p>
        </w:tc>
      </w:tr>
      <w:tr>
        <w:trPr>
          <w:cantSplit/>
        </w:trPr>
        <w:tc>
          <w:tcPr>
            <w:tcW w:type="dxa" w:w="3168"/>
            <w:vAlign w:val="center"/>
            <w:tcMar>
              <w:top w:w="80" w:type="dxa"/>
              <w:start w:w="100" w:type="dxa"/>
              <w:bottom w:w="80" w:type="dxa"/>
              <w:end w:w="100" w:type="dxa"/>
            </w:tcMar>
          </w:tcPr>
          <w:p>
            <w:pPr>
              <w:spacing w:after="40" w:line="240" w:lineRule="auto"/>
            </w:pPr>
            <w:r/>
            <w:r>
              <w:rPr>
                <w:rFonts w:ascii="Aptos" w:hAnsi="Aptos"/>
                <w:b w:val="0"/>
                <w:color w:val="22313F"/>
                <w:sz w:val="16"/>
              </w:rPr>
              <w:t>Packaging redesign</w:t>
            </w:r>
          </w:p>
        </w:tc>
        <w:tc>
          <w:tcPr>
            <w:tcW w:type="dxa" w:w="3744"/>
            <w:vAlign w:val="center"/>
            <w:tcMar>
              <w:top w:w="80" w:type="dxa"/>
              <w:start w:w="100" w:type="dxa"/>
              <w:bottom w:w="80" w:type="dxa"/>
              <w:end w:w="100" w:type="dxa"/>
            </w:tcMar>
          </w:tcPr>
          <w:p>
            <w:pPr>
              <w:spacing w:after="40" w:line="240" w:lineRule="auto"/>
            </w:pPr>
            <w:r/>
            <w:r>
              <w:rPr>
                <w:rFonts w:ascii="Aptos" w:hAnsi="Aptos"/>
                <w:b w:val="0"/>
                <w:color w:val="22313F"/>
                <w:sz w:val="16"/>
              </w:rPr>
              <w:t>Packaging intensity or waste high</w:t>
            </w:r>
          </w:p>
        </w:tc>
        <w:tc>
          <w:tcPr>
            <w:tcW w:type="dxa" w:w="3456"/>
            <w:vAlign w:val="center"/>
            <w:tcMar>
              <w:top w:w="80" w:type="dxa"/>
              <w:start w:w="100" w:type="dxa"/>
              <w:bottom w:w="80" w:type="dxa"/>
              <w:end w:w="100" w:type="dxa"/>
            </w:tcMar>
          </w:tcPr>
          <w:p>
            <w:pPr>
              <w:spacing w:after="40" w:line="240" w:lineRule="auto"/>
            </w:pPr>
            <w:r/>
            <w:r>
              <w:rPr>
                <w:rFonts w:ascii="Aptos" w:hAnsi="Aptos"/>
                <w:b w:val="0"/>
                <w:color w:val="22313F"/>
                <w:sz w:val="16"/>
              </w:rPr>
              <w:t>Reduced material weight and PCF</w:t>
            </w:r>
          </w:p>
        </w:tc>
      </w:tr>
      <w:tr>
        <w:trPr>
          <w:cantSplit/>
        </w:trPr>
        <w:tc>
          <w:tcPr>
            <w:tcW w:type="dxa" w:w="316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Yield/scrap improvement</w:t>
            </w:r>
          </w:p>
        </w:tc>
        <w:tc>
          <w:tcPr>
            <w:tcW w:type="dxa" w:w="3744"/>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High scrap/rework rate</w:t>
            </w:r>
          </w:p>
        </w:tc>
        <w:tc>
          <w:tcPr>
            <w:tcW w:type="dxa" w:w="345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Reduced input per saleable unit</w:t>
            </w:r>
          </w:p>
        </w:tc>
      </w:tr>
      <w:tr>
        <w:trPr>
          <w:cantSplit/>
        </w:trPr>
        <w:tc>
          <w:tcPr>
            <w:tcW w:type="dxa" w:w="3168"/>
            <w:vAlign w:val="center"/>
            <w:tcMar>
              <w:top w:w="80" w:type="dxa"/>
              <w:start w:w="100" w:type="dxa"/>
              <w:bottom w:w="80" w:type="dxa"/>
              <w:end w:w="100" w:type="dxa"/>
            </w:tcMar>
          </w:tcPr>
          <w:p>
            <w:pPr>
              <w:spacing w:after="40" w:line="240" w:lineRule="auto"/>
            </w:pPr>
            <w:r/>
            <w:r>
              <w:rPr>
                <w:rFonts w:ascii="Aptos" w:hAnsi="Aptos"/>
                <w:b w:val="0"/>
                <w:color w:val="22313F"/>
                <w:sz w:val="16"/>
              </w:rPr>
              <w:t>Circular/reuse model</w:t>
            </w:r>
          </w:p>
        </w:tc>
        <w:tc>
          <w:tcPr>
            <w:tcW w:type="dxa" w:w="3744"/>
            <w:vAlign w:val="center"/>
            <w:tcMar>
              <w:top w:w="80" w:type="dxa"/>
              <w:start w:w="100" w:type="dxa"/>
              <w:bottom w:w="80" w:type="dxa"/>
              <w:end w:w="100" w:type="dxa"/>
            </w:tcMar>
          </w:tcPr>
          <w:p>
            <w:pPr>
              <w:spacing w:after="40" w:line="240" w:lineRule="auto"/>
            </w:pPr>
            <w:r/>
            <w:r>
              <w:rPr>
                <w:rFonts w:ascii="Aptos" w:hAnsi="Aptos"/>
                <w:b w:val="0"/>
                <w:color w:val="22313F"/>
                <w:sz w:val="16"/>
              </w:rPr>
              <w:t>Product/material suitable for recovery</w:t>
            </w:r>
          </w:p>
        </w:tc>
        <w:tc>
          <w:tcPr>
            <w:tcW w:type="dxa" w:w="3456"/>
            <w:vAlign w:val="center"/>
            <w:tcMar>
              <w:top w:w="80" w:type="dxa"/>
              <w:start w:w="100" w:type="dxa"/>
              <w:bottom w:w="80" w:type="dxa"/>
              <w:end w:w="100" w:type="dxa"/>
            </w:tcMar>
          </w:tcPr>
          <w:p>
            <w:pPr>
              <w:spacing w:after="40" w:line="240" w:lineRule="auto"/>
            </w:pPr>
            <w:r/>
            <w:r>
              <w:rPr>
                <w:rFonts w:ascii="Aptos" w:hAnsi="Aptos"/>
                <w:b w:val="0"/>
                <w:color w:val="22313F"/>
                <w:sz w:val="16"/>
              </w:rPr>
              <w:t>Avoided virgin input; report carefully and separately from inventory claims</w:t>
            </w:r>
          </w:p>
        </w:tc>
      </w:tr>
    </w:tbl>
    <w:p>
      <w:pPr>
        <w:spacing w:after="40"/>
      </w:pPr>
    </w:p>
    <w:p>
      <w:pPr>
        <w:pStyle w:val="Heading2"/>
      </w:pPr>
      <w:r>
        <w:t>7.4 Corporate Offices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Area</w:t>
            </w:r>
          </w:p>
        </w:tc>
        <w:tc>
          <w:tcPr>
            <w:tcW w:type="dxa" w:w="7488"/>
            <w:vAlign w:val="center"/>
            <w:tcMar>
              <w:top w:w="80" w:type="dxa"/>
              <w:start w:w="100" w:type="dxa"/>
              <w:bottom w:w="80" w:type="dxa"/>
              <w:end w:w="100" w:type="dxa"/>
            </w:tcMar>
            <w:shd w:fill="153A5B"/>
          </w:tcPr>
          <w:p>
            <w:pPr>
              <w:spacing w:after="40" w:line="240" w:lineRule="auto"/>
            </w:pPr>
            <w:r/>
            <w:r>
              <w:rPr>
                <w:rFonts w:ascii="Aptos" w:hAnsi="Aptos"/>
                <w:b/>
                <w:color w:val="FFFFFF"/>
                <w:sz w:val="16"/>
              </w:rPr>
              <w:t>Recommendations Carbon Passport can surface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HVAC</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Set-point optimization, scheduling, zoning, preventive maintenance, chiller efficiency, fresh-air control</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Lighting</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LED, daylight control, occupancy sensors, after-hours shutdown</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Plug loads</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PC/laptop power policies, pantry equipment schedules, smart plugs, printer consolidation</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UPS / server rooms</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UPS loading/efficiency, cooling optimization, virtualization/cloud workload review</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Pumps / water</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Pump scheduling, VFDs, leak detection</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Renewables</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Rooftop solar or eligible renewable procurement</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Employee travel</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Business-travel policy, rail substitution, virtual meeting policy, EV commuting programs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Waste</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Segregation, food-waste reduction, recycling, vendor evidence</w:t>
            </w:r>
          </w:p>
        </w:tc>
      </w:tr>
    </w:tbl>
    <w:p>
      <w:pPr>
        <w:spacing w:after="40"/>
      </w:pPr>
    </w:p>
    <w:p>
      <w:pPr>
        <w:pStyle w:val="Heading1"/>
      </w:pPr>
      <w:r>
        <w:t>8. Worked Examples for the Decision Engine</w:t>
      </w:r>
    </w:p>
    <w:p>
      <w:pPr>
        <w:pStyle w:val="Heading2"/>
      </w:pPr>
      <w:r>
        <w:t>Example A - Corporate office overnight baseload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Field</w:t>
            </w:r>
          </w:p>
        </w:tc>
        <w:tc>
          <w:tcPr>
            <w:tcW w:type="dxa" w:w="7488"/>
            <w:vAlign w:val="center"/>
            <w:tcMar>
              <w:top w:w="80" w:type="dxa"/>
              <w:start w:w="100" w:type="dxa"/>
              <w:bottom w:w="80" w:type="dxa"/>
              <w:end w:w="100" w:type="dxa"/>
            </w:tcMar>
            <w:shd w:fill="153A5B"/>
          </w:tcPr>
          <w:p>
            <w:pPr>
              <w:spacing w:after="40" w:line="240" w:lineRule="auto"/>
            </w:pPr>
            <w:r/>
            <w:r>
              <w:rPr>
                <w:rFonts w:ascii="Aptos" w:hAnsi="Aptos"/>
                <w:b/>
                <w:color w:val="FFFFFF"/>
                <w:sz w:val="16"/>
              </w:rPr>
              <w:t>Example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Detected condition</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Average 10 PM-5 AM load = 24 kW; occupied-hours average = 70 kW</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Trigger</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Overnight baseload = 34% of occupied-hours average; threshold configured at 25%</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Diagnosis candidates</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HVAC left on, UPS/server load, lighting, pantry loads, pumps, signage</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Recommendation</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Run 7-day circuit-level audit; implement shutdown schedules for controllable loads</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Estimated saving</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Low 6%, Base 10%, High 14% of relevant electricity segment</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Evidence required</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Operating schedule, BMS/controls settings, before/after interval data</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Verification</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Compare normalized after-hours kWh before vs after; exclude approved 24x7 loads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Decision output</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P1 if payback &lt;12 months and data confidence ≥80</w:t>
            </w:r>
          </w:p>
        </w:tc>
      </w:tr>
    </w:tbl>
    <w:p>
      <w:pPr>
        <w:spacing w:after="40"/>
      </w:pPr>
    </w:p>
    <w:p>
      <w:pPr>
        <w:pStyle w:val="Heading2"/>
      </w:pPr>
      <w:r>
        <w:t>Example B - Factory compressed-air system</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Field</w:t>
            </w:r>
          </w:p>
        </w:tc>
        <w:tc>
          <w:tcPr>
            <w:tcW w:type="dxa" w:w="7488"/>
            <w:vAlign w:val="center"/>
            <w:tcMar>
              <w:top w:w="80" w:type="dxa"/>
              <w:start w:w="100" w:type="dxa"/>
              <w:bottom w:w="80" w:type="dxa"/>
              <w:end w:w="100" w:type="dxa"/>
            </w:tcMar>
            <w:shd w:fill="153A5B"/>
          </w:tcPr>
          <w:p>
            <w:pPr>
              <w:spacing w:after="40" w:line="240" w:lineRule="auto"/>
            </w:pPr>
            <w:r/>
            <w:r>
              <w:rPr>
                <w:rFonts w:ascii="Aptos" w:hAnsi="Aptos"/>
                <w:b/>
                <w:color w:val="FFFFFF"/>
                <w:sz w:val="16"/>
              </w:rPr>
              <w:t>Example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Detected condition</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Compressor consumes 18% of plant electricity and maintains high load during non-production hours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Trigger</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Share &gt;10% + idle consumption &gt;configured threshold</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Recommendation stack</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Leak survey → pressure optimization → sequence control → VFD/efficient compressor assessment</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Scenario</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Base-case reduction = 12% of compressor electricity</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Financial output</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Annual kWh saved × tariff; CAPEX from user/vendor estimate; simple payback displayed</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MRV</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Compressor kWh normalized by production output, operating hours and pressure set-point</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Verification</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Maintenance evidence + telemetry + reviewer approval</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Passport effect</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Allocate verified process-energy reduction to affected product batches by defined allocation rule</w:t>
            </w:r>
          </w:p>
        </w:tc>
      </w:tr>
    </w:tbl>
    <w:p>
      <w:pPr>
        <w:spacing w:after="40"/>
      </w:pPr>
    </w:p>
    <w:p>
      <w:pPr>
        <w:pStyle w:val="Heading2"/>
      </w:pPr>
      <w:r>
        <w:t>Example C - Rooftop solar</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Field</w:t>
            </w:r>
          </w:p>
        </w:tc>
        <w:tc>
          <w:tcPr>
            <w:tcW w:type="dxa" w:w="7488"/>
            <w:vAlign w:val="center"/>
            <w:tcMar>
              <w:top w:w="80" w:type="dxa"/>
              <w:start w:w="100" w:type="dxa"/>
              <w:bottom w:w="80" w:type="dxa"/>
              <w:end w:w="100" w:type="dxa"/>
            </w:tcMar>
            <w:shd w:fill="153A5B"/>
          </w:tcPr>
          <w:p>
            <w:pPr>
              <w:spacing w:after="40" w:line="240" w:lineRule="auto"/>
            </w:pPr>
            <w:r/>
            <w:r>
              <w:rPr>
                <w:rFonts w:ascii="Aptos" w:hAnsi="Aptos"/>
                <w:b/>
                <w:color w:val="FFFFFF"/>
                <w:sz w:val="16"/>
              </w:rPr>
              <w:t>Example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Hotspot</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Scope 2 = 68% of organization footprint</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Eligibility</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Daytime load exists; roof/land feasibility unknown</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Engine behavior</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Do not claim exact reduction until system size and generation estimate are provided</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Recommendation</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Solar feasibility assessment with 100/250/500 kWp scenarios</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Scenario outputs</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Annual generation, self-consumption, exported electricity, avoided grid electricity, CAPEX, savings, payback</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MRV</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Inverter + import/export meter + monthly reconciliation</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Accounting control</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Apply current Scope 2 accounting rules; preserve instrument/source evidence and prevent double counting</w:t>
            </w:r>
          </w:p>
        </w:tc>
      </w:tr>
    </w:tbl>
    <w:p>
      <w:pPr>
        <w:spacing w:after="40"/>
      </w:pPr>
    </w:p>
    <w:p>
      <w:pPr>
        <w:pStyle w:val="Heading2"/>
      </w:pPr>
      <w:r>
        <w:t>Example D - Product-level material change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Field</w:t>
            </w:r>
          </w:p>
        </w:tc>
        <w:tc>
          <w:tcPr>
            <w:tcW w:type="dxa" w:w="7488"/>
            <w:vAlign w:val="center"/>
            <w:tcMar>
              <w:top w:w="80" w:type="dxa"/>
              <w:start w:w="100" w:type="dxa"/>
              <w:bottom w:w="80" w:type="dxa"/>
              <w:end w:w="100" w:type="dxa"/>
            </w:tcMar>
            <w:shd w:fill="153A5B"/>
          </w:tcPr>
          <w:p>
            <w:pPr>
              <w:spacing w:after="40" w:line="240" w:lineRule="auto"/>
            </w:pPr>
            <w:r/>
            <w:r>
              <w:rPr>
                <w:rFonts w:ascii="Aptos" w:hAnsi="Aptos"/>
                <w:b/>
                <w:color w:val="FFFFFF"/>
                <w:sz w:val="16"/>
              </w:rPr>
              <w:t>Example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Product</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Steel component, 1,000 kg batch</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Hotspot</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Purchased steel contributes 62% of PCF</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Recommendation</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Evaluate lower-emission steel supplier or higher recycled-content grade</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Calculation</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Quantity × supplier-specific PCF difference, adjusted for yield and specification</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Guardrail</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Engineering/specification approval required; do not assume functional equivalence</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Verification</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Supplier declaration/EPD/PCF evidence + procurement records</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Passport output</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Show previous PCF, new PCF, reduction %, mitigation action and verification status</w:t>
            </w:r>
          </w:p>
        </w:tc>
      </w:tr>
    </w:tbl>
    <w:p>
      <w:pPr>
        <w:spacing w:after="40"/>
      </w:pPr>
    </w:p>
    <w:p>
      <w:pPr>
        <w:pStyle w:val="Heading1"/>
      </w:pPr>
      <w:r>
        <w:t>9. Confidence &amp; Data Quality Model</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Confidence tier</w:t>
            </w:r>
          </w:p>
        </w:tc>
        <w:tc>
          <w:tcPr>
            <w:tcW w:type="dxa" w:w="4752"/>
            <w:vAlign w:val="center"/>
            <w:tcMar>
              <w:top w:w="80" w:type="dxa"/>
              <w:start w:w="100" w:type="dxa"/>
              <w:bottom w:w="80" w:type="dxa"/>
              <w:end w:w="100" w:type="dxa"/>
            </w:tcMar>
            <w:shd w:fill="153A5B"/>
          </w:tcPr>
          <w:p>
            <w:pPr>
              <w:spacing w:after="40" w:line="240" w:lineRule="auto"/>
            </w:pPr>
            <w:r/>
            <w:r>
              <w:rPr>
                <w:rFonts w:ascii="Aptos" w:hAnsi="Aptos"/>
                <w:b/>
                <w:color w:val="FFFFFF"/>
                <w:sz w:val="16"/>
              </w:rPr>
              <w:t>Typical evidence</w:t>
            </w:r>
          </w:p>
        </w:tc>
        <w:tc>
          <w:tcPr>
            <w:tcW w:type="dxa" w:w="2736"/>
            <w:vAlign w:val="center"/>
            <w:tcMar>
              <w:top w:w="80" w:type="dxa"/>
              <w:start w:w="100" w:type="dxa"/>
              <w:bottom w:w="80" w:type="dxa"/>
              <w:end w:w="100" w:type="dxa"/>
            </w:tcMar>
            <w:shd w:fill="153A5B"/>
          </w:tcPr>
          <w:p>
            <w:pPr>
              <w:spacing w:after="40" w:line="240" w:lineRule="auto"/>
            </w:pPr>
            <w:r/>
            <w:r>
              <w:rPr>
                <w:rFonts w:ascii="Aptos" w:hAnsi="Aptos"/>
                <w:b/>
                <w:color w:val="FFFFFF"/>
                <w:sz w:val="16"/>
              </w:rPr>
              <w:t>How UI should label it</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A - Verified telemetry</w:t>
            </w:r>
          </w:p>
        </w:tc>
        <w:tc>
          <w:tcPr>
            <w:tcW w:type="dxa" w:w="4752"/>
            <w:vAlign w:val="center"/>
            <w:tcMar>
              <w:top w:w="80" w:type="dxa"/>
              <w:start w:w="100" w:type="dxa"/>
              <w:bottom w:w="80" w:type="dxa"/>
              <w:end w:w="100" w:type="dxa"/>
            </w:tcMar>
          </w:tcPr>
          <w:p>
            <w:pPr>
              <w:spacing w:after="40" w:line="240" w:lineRule="auto"/>
            </w:pPr>
            <w:r/>
            <w:r>
              <w:rPr>
                <w:rFonts w:ascii="Aptos" w:hAnsi="Aptos"/>
                <w:b w:val="0"/>
                <w:color w:val="22313F"/>
                <w:sz w:val="16"/>
              </w:rPr>
              <w:t>Calibrated meter/SaurEdge + locked baseline + verified implementation evidence</w:t>
            </w:r>
          </w:p>
        </w:tc>
        <w:tc>
          <w:tcPr>
            <w:tcW w:type="dxa" w:w="2736"/>
            <w:vAlign w:val="center"/>
            <w:tcMar>
              <w:top w:w="80" w:type="dxa"/>
              <w:start w:w="100" w:type="dxa"/>
              <w:bottom w:w="80" w:type="dxa"/>
              <w:end w:w="100" w:type="dxa"/>
            </w:tcMar>
          </w:tcPr>
          <w:p>
            <w:pPr>
              <w:spacing w:after="40" w:line="240" w:lineRule="auto"/>
            </w:pPr>
            <w:r/>
            <w:r>
              <w:rPr>
                <w:rFonts w:ascii="Aptos" w:hAnsi="Aptos"/>
                <w:b w:val="0"/>
                <w:color w:val="22313F"/>
                <w:sz w:val="16"/>
              </w:rPr>
              <w:t>High confidence</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B - Direct measured</w:t>
            </w:r>
          </w:p>
        </w:tc>
        <w:tc>
          <w:tcPr>
            <w:tcW w:type="dxa" w:w="475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Interval meter or direct utility/fuel data with adequate baseline</w:t>
            </w:r>
          </w:p>
        </w:tc>
        <w:tc>
          <w:tcPr>
            <w:tcW w:type="dxa" w:w="273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Measured estimate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C - Engineering estimate</w:t>
            </w:r>
          </w:p>
        </w:tc>
        <w:tc>
          <w:tcPr>
            <w:tcW w:type="dxa" w:w="4752"/>
            <w:vAlign w:val="center"/>
            <w:tcMar>
              <w:top w:w="80" w:type="dxa"/>
              <w:start w:w="100" w:type="dxa"/>
              <w:bottom w:w="80" w:type="dxa"/>
              <w:end w:w="100" w:type="dxa"/>
            </w:tcMar>
          </w:tcPr>
          <w:p>
            <w:pPr>
              <w:spacing w:after="40" w:line="240" w:lineRule="auto"/>
            </w:pPr>
            <w:r/>
            <w:r>
              <w:rPr>
                <w:rFonts w:ascii="Aptos" w:hAnsi="Aptos"/>
                <w:b w:val="0"/>
                <w:color w:val="22313F"/>
                <w:sz w:val="16"/>
              </w:rPr>
              <w:t>Equipment specifications, operating hours and accepted engineering assumptions</w:t>
            </w:r>
          </w:p>
        </w:tc>
        <w:tc>
          <w:tcPr>
            <w:tcW w:type="dxa" w:w="2736"/>
            <w:vAlign w:val="center"/>
            <w:tcMar>
              <w:top w:w="80" w:type="dxa"/>
              <w:start w:w="100" w:type="dxa"/>
              <w:bottom w:w="80" w:type="dxa"/>
              <w:end w:w="100" w:type="dxa"/>
            </w:tcMar>
          </w:tcPr>
          <w:p>
            <w:pPr>
              <w:spacing w:after="40" w:line="240" w:lineRule="auto"/>
            </w:pPr>
            <w:r/>
            <w:r>
              <w:rPr>
                <w:rFonts w:ascii="Aptos" w:hAnsi="Aptos"/>
                <w:b w:val="0"/>
                <w:color w:val="22313F"/>
                <w:sz w:val="16"/>
              </w:rPr>
              <w:t>Engineering estimate</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D - Spend/benchmark proxy</w:t>
            </w:r>
          </w:p>
        </w:tc>
        <w:tc>
          <w:tcPr>
            <w:tcW w:type="dxa" w:w="475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Spend-based, generic benchmark or incomplete asset data</w:t>
            </w:r>
          </w:p>
        </w:tc>
        <w:tc>
          <w:tcPr>
            <w:tcW w:type="dxa" w:w="273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Screening estimate only</w:t>
            </w:r>
          </w:p>
        </w:tc>
      </w:tr>
    </w:tbl>
    <w:p>
      <w:pPr>
        <w:spacing w:after="40"/>
      </w:pPr>
    </w:p>
    <w:tbl>
      <w:tblPr>
        <w:tblW w:type="auto" w:w="0"/>
        <w:jc w:val="center"/>
        <w:tblLook w:firstColumn="1" w:firstRow="1" w:lastColumn="0" w:lastRow="0" w:noHBand="0" w:noVBand="1" w:val="04A0"/>
      </w:tblPr>
      <w:tblGrid>
        <w:gridCol w:w="10224"/>
      </w:tblGrid>
      <w:tr>
        <w:trPr>
          <w:cantSplit/>
        </w:trPr>
        <w:tc>
          <w:tcPr>
            <w:tcW w:type="dxa" w:w="10224"/>
            <w:shd w:fill="EAF3F9"/>
            <w:tcMar>
              <w:top w:w="120" w:type="dxa"/>
              <w:start w:w="140" w:type="dxa"/>
              <w:bottom w:w="120" w:type="dxa"/>
              <w:end w:w="140" w:type="dxa"/>
            </w:tcMar>
          </w:tcPr>
          <w:p>
            <w:pPr>
              <w:spacing w:after="40" w:line="240" w:lineRule="auto"/>
            </w:pPr>
            <w:r>
              <w:rPr>
                <w:b/>
                <w:color w:val="1F6EAA"/>
                <w:sz w:val="21"/>
              </w:rPr>
              <w:t>Important guardrail</w:t>
              <w:br/>
            </w:r>
            <w:r>
              <w:rPr>
                <w:color w:val="22313F"/>
                <w:sz w:val="18"/>
              </w:rPr>
              <w:t>A low-confidence recommendation may still be useful, but the engine must recommend the next data-collection action needed to improve confidence—for example “Install submeter”, “Capture compressor pressure/flow”, or “Request supplier PCF”.</w:t>
            </w:r>
          </w:p>
        </w:tc>
      </w:tr>
    </w:tbl>
    <w:p>
      <w:pPr>
        <w:spacing w:after="40"/>
      </w:pPr>
    </w:p>
    <w:p>
      <w:pPr>
        <w:pStyle w:val="Heading1"/>
      </w:pPr>
      <w:r>
        <w:t>10. MRV and Verification Workflow</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vAlign w:val="center"/>
            <w:tcMar>
              <w:top w:w="80" w:type="dxa"/>
              <w:start w:w="100" w:type="dxa"/>
              <w:bottom w:w="80" w:type="dxa"/>
              <w:end w:w="100" w:type="dxa"/>
            </w:tcMar>
            <w:shd w:fill="153A5B"/>
          </w:tcPr>
          <w:p>
            <w:pPr>
              <w:spacing w:after="40" w:line="240" w:lineRule="auto"/>
            </w:pPr>
            <w:r/>
            <w:r>
              <w:rPr>
                <w:rFonts w:ascii="Aptos" w:hAnsi="Aptos"/>
                <w:b/>
                <w:color w:val="FFFFFF"/>
                <w:sz w:val="16"/>
              </w:rPr>
              <w:t>Stage</w:t>
            </w:r>
          </w:p>
        </w:tc>
        <w:tc>
          <w:tcPr>
            <w:tcW w:type="dxa" w:w="4752"/>
            <w:vAlign w:val="center"/>
            <w:tcMar>
              <w:top w:w="80" w:type="dxa"/>
              <w:start w:w="100" w:type="dxa"/>
              <w:bottom w:w="80" w:type="dxa"/>
              <w:end w:w="100" w:type="dxa"/>
            </w:tcMar>
            <w:shd w:fill="153A5B"/>
          </w:tcPr>
          <w:p>
            <w:pPr>
              <w:spacing w:after="40" w:line="240" w:lineRule="auto"/>
            </w:pPr>
            <w:r/>
            <w:r>
              <w:rPr>
                <w:rFonts w:ascii="Aptos" w:hAnsi="Aptos"/>
                <w:b/>
                <w:color w:val="FFFFFF"/>
                <w:sz w:val="16"/>
              </w:rPr>
              <w:t>System behavior</w:t>
            </w:r>
          </w:p>
        </w:tc>
        <w:tc>
          <w:tcPr>
            <w:tcW w:type="dxa" w:w="3600"/>
            <w:vAlign w:val="center"/>
            <w:tcMar>
              <w:top w:w="80" w:type="dxa"/>
              <w:start w:w="100" w:type="dxa"/>
              <w:bottom w:w="80" w:type="dxa"/>
              <w:end w:w="100" w:type="dxa"/>
            </w:tcMar>
            <w:shd w:fill="153A5B"/>
          </w:tcPr>
          <w:p>
            <w:pPr>
              <w:spacing w:after="40" w:line="240" w:lineRule="auto"/>
            </w:pPr>
            <w:r/>
            <w:r>
              <w:rPr>
                <w:rFonts w:ascii="Aptos" w:hAnsi="Aptos"/>
                <w:b/>
                <w:color w:val="FFFFFF"/>
                <w:sz w:val="16"/>
              </w:rPr>
              <w:t>Required evidence</w:t>
            </w:r>
          </w:p>
        </w:tc>
      </w:tr>
      <w:tr>
        <w:trPr>
          <w:cantSplit/>
        </w:trPr>
        <w:tc>
          <w:tcPr>
            <w:tcW w:type="dxa" w:w="2016"/>
            <w:vAlign w:val="center"/>
            <w:tcMar>
              <w:top w:w="80" w:type="dxa"/>
              <w:start w:w="100" w:type="dxa"/>
              <w:bottom w:w="80" w:type="dxa"/>
              <w:end w:w="100" w:type="dxa"/>
            </w:tcMar>
          </w:tcPr>
          <w:p>
            <w:pPr>
              <w:spacing w:after="40" w:line="240" w:lineRule="auto"/>
            </w:pPr>
            <w:r/>
            <w:r>
              <w:rPr>
                <w:rFonts w:ascii="Aptos" w:hAnsi="Aptos"/>
                <w:b w:val="0"/>
                <w:color w:val="22313F"/>
                <w:sz w:val="16"/>
              </w:rPr>
              <w:t>1. Recommendation</w:t>
            </w:r>
          </w:p>
        </w:tc>
        <w:tc>
          <w:tcPr>
            <w:tcW w:type="dxa" w:w="4752"/>
            <w:vAlign w:val="center"/>
            <w:tcMar>
              <w:top w:w="80" w:type="dxa"/>
              <w:start w:w="100" w:type="dxa"/>
              <w:bottom w:w="80" w:type="dxa"/>
              <w:end w:w="100" w:type="dxa"/>
            </w:tcMar>
          </w:tcPr>
          <w:p>
            <w:pPr>
              <w:spacing w:after="40" w:line="240" w:lineRule="auto"/>
            </w:pPr>
            <w:r/>
            <w:r>
              <w:rPr>
                <w:rFonts w:ascii="Aptos" w:hAnsi="Aptos"/>
                <w:b w:val="0"/>
                <w:color w:val="22313F"/>
                <w:sz w:val="16"/>
              </w:rPr>
              <w:t>Create scenario; no reduction claim yet</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Data + assumptions</w:t>
            </w:r>
          </w:p>
        </w:tc>
      </w:tr>
      <w:tr>
        <w:trPr>
          <w:cantSplit/>
        </w:trPr>
        <w:tc>
          <w:tcPr>
            <w:tcW w:type="dxa" w:w="201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2. Approved</w:t>
            </w:r>
          </w:p>
        </w:tc>
        <w:tc>
          <w:tcPr>
            <w:tcW w:type="dxa" w:w="475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Freeze approved scenario/version</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Approval, budget, owner</w:t>
            </w:r>
          </w:p>
        </w:tc>
      </w:tr>
      <w:tr>
        <w:trPr>
          <w:cantSplit/>
        </w:trPr>
        <w:tc>
          <w:tcPr>
            <w:tcW w:type="dxa" w:w="2016"/>
            <w:vAlign w:val="center"/>
            <w:tcMar>
              <w:top w:w="80" w:type="dxa"/>
              <w:start w:w="100" w:type="dxa"/>
              <w:bottom w:w="80" w:type="dxa"/>
              <w:end w:w="100" w:type="dxa"/>
            </w:tcMar>
          </w:tcPr>
          <w:p>
            <w:pPr>
              <w:spacing w:after="40" w:line="240" w:lineRule="auto"/>
            </w:pPr>
            <w:r/>
            <w:r>
              <w:rPr>
                <w:rFonts w:ascii="Aptos" w:hAnsi="Aptos"/>
                <w:b w:val="0"/>
                <w:color w:val="22313F"/>
                <w:sz w:val="16"/>
              </w:rPr>
              <w:t>3. Implemented</w:t>
            </w:r>
          </w:p>
        </w:tc>
        <w:tc>
          <w:tcPr>
            <w:tcW w:type="dxa" w:w="4752"/>
            <w:vAlign w:val="center"/>
            <w:tcMar>
              <w:top w:w="80" w:type="dxa"/>
              <w:start w:w="100" w:type="dxa"/>
              <w:bottom w:w="80" w:type="dxa"/>
              <w:end w:w="100" w:type="dxa"/>
            </w:tcMar>
          </w:tcPr>
          <w:p>
            <w:pPr>
              <w:spacing w:after="40" w:line="240" w:lineRule="auto"/>
            </w:pPr>
            <w:r/>
            <w:r>
              <w:rPr>
                <w:rFonts w:ascii="Aptos" w:hAnsi="Aptos"/>
                <w:b w:val="0"/>
                <w:color w:val="22313F"/>
                <w:sz w:val="16"/>
              </w:rPr>
              <w:t>Record commissioning date</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Invoice/work order/photos/specs</w:t>
            </w:r>
          </w:p>
        </w:tc>
      </w:tr>
      <w:tr>
        <w:trPr>
          <w:cantSplit/>
        </w:trPr>
        <w:tc>
          <w:tcPr>
            <w:tcW w:type="dxa" w:w="201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4. Monitoring</w:t>
            </w:r>
          </w:p>
        </w:tc>
        <w:tc>
          <w:tcPr>
            <w:tcW w:type="dxa" w:w="475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Collect post-project data</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Telemetry/bills/production/weather as applicable</w:t>
            </w:r>
          </w:p>
        </w:tc>
      </w:tr>
      <w:tr>
        <w:trPr>
          <w:cantSplit/>
        </w:trPr>
        <w:tc>
          <w:tcPr>
            <w:tcW w:type="dxa" w:w="2016"/>
            <w:vAlign w:val="center"/>
            <w:tcMar>
              <w:top w:w="80" w:type="dxa"/>
              <w:start w:w="100" w:type="dxa"/>
              <w:bottom w:w="80" w:type="dxa"/>
              <w:end w:w="100" w:type="dxa"/>
            </w:tcMar>
          </w:tcPr>
          <w:p>
            <w:pPr>
              <w:spacing w:after="40" w:line="240" w:lineRule="auto"/>
            </w:pPr>
            <w:r/>
            <w:r>
              <w:rPr>
                <w:rFonts w:ascii="Aptos" w:hAnsi="Aptos"/>
                <w:b w:val="0"/>
                <w:color w:val="22313F"/>
                <w:sz w:val="16"/>
              </w:rPr>
              <w:t>5. Calculated</w:t>
            </w:r>
          </w:p>
        </w:tc>
        <w:tc>
          <w:tcPr>
            <w:tcW w:type="dxa" w:w="4752"/>
            <w:vAlign w:val="center"/>
            <w:tcMar>
              <w:top w:w="80" w:type="dxa"/>
              <w:start w:w="100" w:type="dxa"/>
              <w:bottom w:w="80" w:type="dxa"/>
              <w:end w:w="100" w:type="dxa"/>
            </w:tcMar>
          </w:tcPr>
          <w:p>
            <w:pPr>
              <w:spacing w:after="40" w:line="240" w:lineRule="auto"/>
            </w:pPr>
            <w:r/>
            <w:r>
              <w:rPr>
                <w:rFonts w:ascii="Aptos" w:hAnsi="Aptos"/>
                <w:b w:val="0"/>
                <w:color w:val="22313F"/>
                <w:sz w:val="16"/>
              </w:rPr>
              <w:t>Compute normalized counterfactual and realized saving</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Baseline model + monitoring dataset</w:t>
            </w:r>
          </w:p>
        </w:tc>
      </w:tr>
      <w:tr>
        <w:trPr>
          <w:cantSplit/>
        </w:trPr>
        <w:tc>
          <w:tcPr>
            <w:tcW w:type="dxa" w:w="201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6. Under verification</w:t>
            </w:r>
          </w:p>
        </w:tc>
        <w:tc>
          <w:tcPr>
            <w:tcW w:type="dxa" w:w="475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Freeze record; verifier reviews</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Complete evidence pack</w:t>
            </w:r>
          </w:p>
        </w:tc>
      </w:tr>
      <w:tr>
        <w:trPr>
          <w:cantSplit/>
        </w:trPr>
        <w:tc>
          <w:tcPr>
            <w:tcW w:type="dxa" w:w="2016"/>
            <w:vAlign w:val="center"/>
            <w:tcMar>
              <w:top w:w="80" w:type="dxa"/>
              <w:start w:w="100" w:type="dxa"/>
              <w:bottom w:w="80" w:type="dxa"/>
              <w:end w:w="100" w:type="dxa"/>
            </w:tcMar>
          </w:tcPr>
          <w:p>
            <w:pPr>
              <w:spacing w:after="40" w:line="240" w:lineRule="auto"/>
            </w:pPr>
            <w:r/>
            <w:r>
              <w:rPr>
                <w:rFonts w:ascii="Aptos" w:hAnsi="Aptos"/>
                <w:b w:val="0"/>
                <w:color w:val="22313F"/>
                <w:sz w:val="16"/>
              </w:rPr>
              <w:t>7. Verified</w:t>
            </w:r>
          </w:p>
        </w:tc>
        <w:tc>
          <w:tcPr>
            <w:tcW w:type="dxa" w:w="4752"/>
            <w:vAlign w:val="center"/>
            <w:tcMar>
              <w:top w:w="80" w:type="dxa"/>
              <w:start w:w="100" w:type="dxa"/>
              <w:bottom w:w="80" w:type="dxa"/>
              <w:end w:w="100" w:type="dxa"/>
            </w:tcMar>
          </w:tcPr>
          <w:p>
            <w:pPr>
              <w:spacing w:after="40" w:line="240" w:lineRule="auto"/>
            </w:pPr>
            <w:r/>
            <w:r>
              <w:rPr>
                <w:rFonts w:ascii="Aptos" w:hAnsi="Aptos"/>
                <w:b w:val="0"/>
                <w:color w:val="22313F"/>
                <w:sz w:val="16"/>
              </w:rPr>
              <w:t>Verifier approves reduction amount/period</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Verification statement/findings</w:t>
            </w:r>
          </w:p>
        </w:tc>
      </w:tr>
      <w:tr>
        <w:trPr>
          <w:cantSplit/>
        </w:trPr>
        <w:tc>
          <w:tcPr>
            <w:tcW w:type="dxa" w:w="201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8. Allocated</w:t>
            </w:r>
          </w:p>
        </w:tc>
        <w:tc>
          <w:tcPr>
            <w:tcW w:type="dxa" w:w="475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Apply reduction to reporting/product boundaries</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Allocation rule + anti-double-counting key</w:t>
            </w:r>
          </w:p>
        </w:tc>
      </w:tr>
      <w:tr>
        <w:trPr>
          <w:cantSplit/>
        </w:trPr>
        <w:tc>
          <w:tcPr>
            <w:tcW w:type="dxa" w:w="2016"/>
            <w:vAlign w:val="center"/>
            <w:tcMar>
              <w:top w:w="80" w:type="dxa"/>
              <w:start w:w="100" w:type="dxa"/>
              <w:bottom w:w="80" w:type="dxa"/>
              <w:end w:w="100" w:type="dxa"/>
            </w:tcMar>
          </w:tcPr>
          <w:p>
            <w:pPr>
              <w:spacing w:after="40" w:line="240" w:lineRule="auto"/>
            </w:pPr>
            <w:r/>
            <w:r>
              <w:rPr>
                <w:rFonts w:ascii="Aptos" w:hAnsi="Aptos"/>
                <w:b w:val="0"/>
                <w:color w:val="22313F"/>
                <w:sz w:val="16"/>
              </w:rPr>
              <w:t>9. Passport update</w:t>
            </w:r>
          </w:p>
        </w:tc>
        <w:tc>
          <w:tcPr>
            <w:tcW w:type="dxa" w:w="4752"/>
            <w:vAlign w:val="center"/>
            <w:tcMar>
              <w:top w:w="80" w:type="dxa"/>
              <w:start w:w="100" w:type="dxa"/>
              <w:bottom w:w="80" w:type="dxa"/>
              <w:end w:w="100" w:type="dxa"/>
            </w:tcMar>
          </w:tcPr>
          <w:p>
            <w:pPr>
              <w:spacing w:after="40" w:line="240" w:lineRule="auto"/>
            </w:pPr>
            <w:r/>
            <w:r>
              <w:rPr>
                <w:rFonts w:ascii="Aptos" w:hAnsi="Aptos"/>
                <w:b w:val="0"/>
                <w:color w:val="22313F"/>
                <w:sz w:val="16"/>
              </w:rPr>
              <w:t>New PCF/CCF version issued where applicable</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Version lineage + hash</w:t>
            </w:r>
          </w:p>
        </w:tc>
      </w:tr>
    </w:tbl>
    <w:p>
      <w:pPr>
        <w:spacing w:after="40"/>
      </w:pPr>
    </w:p>
    <w:p>
      <w:pPr>
        <w:pStyle w:val="Heading2"/>
      </w:pPr>
      <w:r>
        <w:t>Baseline rules</w:t>
      </w:r>
    </w:p>
    <w:p>
      <w:pPr>
        <w:pStyle w:val="ListBullet"/>
        <w:ind w:left="0"/>
      </w:pPr>
      <w:r>
        <w:t>Baseline period must be representative; flag shutdowns, abnormal production or temporary events.</w:t>
      </w:r>
    </w:p>
    <w:p>
      <w:pPr>
        <w:pStyle w:val="ListBullet"/>
        <w:ind w:left="0"/>
      </w:pPr>
      <w:r>
        <w:t>Normalize for relevant drivers such as production volume, weather, occupancy, operating hours, product mix or floor area.</w:t>
      </w:r>
    </w:p>
    <w:p>
      <w:pPr>
        <w:pStyle w:val="ListBullet"/>
        <w:ind w:left="0"/>
      </w:pPr>
      <w:r>
        <w:t>Never compare raw “before” and “after” totals when activity level materially changed.</w:t>
      </w:r>
    </w:p>
    <w:p>
      <w:pPr>
        <w:pStyle w:val="ListBullet"/>
        <w:ind w:left="0"/>
      </w:pPr>
      <w:r>
        <w:t>Lock baseline version when the project is approved; revisions require reason, authorization and audit history.</w:t>
      </w:r>
    </w:p>
    <w:p>
      <w:pPr>
        <w:pStyle w:val="ListBullet"/>
        <w:ind w:left="0"/>
      </w:pPr>
      <w:r>
        <w:t>Report uncertainty and data gaps; do not convert screening estimates directly into verified reductions.</w:t>
      </w:r>
    </w:p>
    <w:p>
      <w:pPr>
        <w:pStyle w:val="Heading1"/>
      </w:pPr>
      <w:r>
        <w:t>11. Recommended Product Screens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Screen</w:t>
            </w:r>
          </w:p>
        </w:tc>
        <w:tc>
          <w:tcPr>
            <w:tcW w:type="dxa" w:w="7488"/>
            <w:vAlign w:val="center"/>
            <w:tcMar>
              <w:top w:w="80" w:type="dxa"/>
              <w:start w:w="100" w:type="dxa"/>
              <w:bottom w:w="80" w:type="dxa"/>
              <w:end w:w="100" w:type="dxa"/>
            </w:tcMar>
            <w:shd w:fill="153A5B"/>
          </w:tcPr>
          <w:p>
            <w:pPr>
              <w:spacing w:after="40" w:line="240" w:lineRule="auto"/>
            </w:pPr>
            <w:r/>
            <w:r>
              <w:rPr>
                <w:rFonts w:ascii="Aptos" w:hAnsi="Aptos"/>
                <w:b/>
                <w:color w:val="FFFFFF"/>
                <w:sz w:val="16"/>
              </w:rPr>
              <w:t>Must show</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Mitigation Overview</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Baseline emissions, current emissions, target gap, identified potential, active projects, verified reductions, cost savings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Hotspot Explorer</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Scope/category/facility/process/product drill-down, contribution, intensity, trend, controllability</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Recommendations</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Rank, reason, reduction range, CAPEX, savings, payback, confidence, difficulty, create-project action</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Recommendation Detail</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Trigger, source data, assumptions, equations, prerequisites, risks, evidence, scenario controls</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Scenario Builder</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Low/base/high assumptions; energy/fuel/material/tariff inputs; sensitivity; compare scenarios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Mitigation Project</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Owner, milestones, vendor, budget, evidence, MRV plan, status</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MRV Dashboard</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Baseline vs expected vs actual, normalized metrics, telemetry trend, variance, realized tCO₂e</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Verifier Workspace</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Evidence pack, calculation trace, findings, approve/reject/request changes</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Verified Reductions Registry</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Unique reduction records, period, boundary, allocation, verifier, status, anti-double-counting identifiers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Passport Mitigation Tab</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Actions affecting the product, previous/current PCF, reduction %, evidence and verification status</w:t>
            </w:r>
          </w:p>
        </w:tc>
      </w:tr>
    </w:tbl>
    <w:p>
      <w:pPr>
        <w:spacing w:after="40"/>
      </w:pPr>
    </w:p>
    <w:p>
      <w:pPr>
        <w:pStyle w:val="Heading1"/>
      </w:pPr>
      <w:r>
        <w:t>12. Recommendation Card - Required Output Contract</w:t>
      </w:r>
    </w:p>
    <w:tbl>
      <w:tblPr>
        <w:tblW w:type="auto" w:w="0"/>
        <w:jc w:val="center"/>
        <w:tblLook w:firstColumn="1" w:firstRow="1" w:lastColumn="0" w:lastRow="0" w:noHBand="0" w:noVBand="1" w:val="04A0"/>
      </w:tblPr>
      <w:tblGrid>
        <w:gridCol w:w="10224"/>
      </w:tblGrid>
      <w:tr>
        <w:trPr>
          <w:cantSplit/>
        </w:trPr>
        <w:tc>
          <w:tcPr>
            <w:tcW w:type="dxa" w:w="10224"/>
            <w:shd w:fill="EAF6EF"/>
            <w:tcMar>
              <w:top w:w="120" w:type="dxa"/>
              <w:start w:w="140" w:type="dxa"/>
              <w:bottom w:w="120" w:type="dxa"/>
              <w:end w:w="140" w:type="dxa"/>
            </w:tcMar>
          </w:tcPr>
          <w:p>
            <w:pPr>
              <w:spacing w:after="40" w:line="240" w:lineRule="auto"/>
            </w:pPr>
            <w:r>
              <w:rPr>
                <w:b/>
                <w:color w:val="2E8B57"/>
                <w:sz w:val="21"/>
              </w:rPr>
              <w:t>UI example</w:t>
              <w:br/>
            </w:r>
            <w:r>
              <w:rPr>
                <w:color w:val="22313F"/>
                <w:sz w:val="18"/>
              </w:rPr>
              <w:t>COMPRESSOR OPTIMIZATION | Priority P1</w:t>
              <w:br/>
              <w:t>Why flagged: Compressor electricity = 18% of plant load; non-production baseload is 42 kW.</w:t>
              <w:br/>
              <w:t>Potential reduction: 24-41 tCO₂e/year (base: 32)</w:t>
              <w:br/>
              <w:t>Estimated annual saving: ₹4.6 lakh | CAPEX: ₹1.4 lakh | Payback: 3.7 months</w:t>
              <w:br/>
              <w:t>Confidence: 82% (Measured) | Complexity: Low-Medium</w:t>
              <w:br/>
              <w:t>Next step: Perform leak survey + pressure/sequence assessment</w:t>
              <w:br/>
              <w:t>Verification: Compressor kWh per tonne of production, 30-day pre/post normalized comparison</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600"/>
            <w:vAlign w:val="center"/>
            <w:tcMar>
              <w:top w:w="80" w:type="dxa"/>
              <w:start w:w="100" w:type="dxa"/>
              <w:bottom w:w="80" w:type="dxa"/>
              <w:end w:w="100" w:type="dxa"/>
            </w:tcMar>
            <w:shd w:fill="153A5B"/>
          </w:tcPr>
          <w:p>
            <w:pPr>
              <w:spacing w:after="40" w:line="240" w:lineRule="auto"/>
            </w:pPr>
            <w:r/>
            <w:r>
              <w:rPr>
                <w:rFonts w:ascii="Aptos" w:hAnsi="Aptos"/>
                <w:b/>
                <w:color w:val="FFFFFF"/>
                <w:sz w:val="16"/>
              </w:rPr>
              <w:t>API/UI field</w:t>
            </w:r>
          </w:p>
        </w:tc>
        <w:tc>
          <w:tcPr>
            <w:tcW w:type="dxa" w:w="1728"/>
            <w:vAlign w:val="center"/>
            <w:tcMar>
              <w:top w:w="80" w:type="dxa"/>
              <w:start w:w="100" w:type="dxa"/>
              <w:bottom w:w="80" w:type="dxa"/>
              <w:end w:w="100" w:type="dxa"/>
            </w:tcMar>
            <w:shd w:fill="153A5B"/>
          </w:tcPr>
          <w:p>
            <w:pPr>
              <w:spacing w:after="40" w:line="240" w:lineRule="auto"/>
            </w:pPr>
            <w:r/>
            <w:r>
              <w:rPr>
                <w:rFonts w:ascii="Aptos" w:hAnsi="Aptos"/>
                <w:b/>
                <w:color w:val="FFFFFF"/>
                <w:sz w:val="16"/>
              </w:rPr>
              <w:t>Mandatory?</w:t>
            </w:r>
          </w:p>
        </w:tc>
        <w:tc>
          <w:tcPr>
            <w:tcW w:type="dxa" w:w="5040"/>
            <w:vAlign w:val="center"/>
            <w:tcMar>
              <w:top w:w="80" w:type="dxa"/>
              <w:start w:w="100" w:type="dxa"/>
              <w:bottom w:w="80" w:type="dxa"/>
              <w:end w:w="100" w:type="dxa"/>
            </w:tcMar>
            <w:shd w:fill="153A5B"/>
          </w:tcPr>
          <w:p>
            <w:pPr>
              <w:spacing w:after="40" w:line="240" w:lineRule="auto"/>
            </w:pPr>
            <w:r/>
            <w:r>
              <w:rPr>
                <w:rFonts w:ascii="Aptos" w:hAnsi="Aptos"/>
                <w:b/>
                <w:color w:val="FFFFFF"/>
                <w:sz w:val="16"/>
              </w:rPr>
              <w:t>Notes</w:t>
            </w:r>
          </w:p>
        </w:tc>
      </w:tr>
      <w:tr>
        <w:trPr>
          <w:cantSplit/>
        </w:trPr>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recommendation_id</w:t>
            </w:r>
          </w:p>
        </w:tc>
        <w:tc>
          <w:tcPr>
            <w:tcW w:type="dxa" w:w="1728"/>
            <w:vAlign w:val="center"/>
            <w:tcMar>
              <w:top w:w="80" w:type="dxa"/>
              <w:start w:w="100" w:type="dxa"/>
              <w:bottom w:w="80" w:type="dxa"/>
              <w:end w:w="100" w:type="dxa"/>
            </w:tcMar>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tcPr>
          <w:p>
            <w:pPr>
              <w:spacing w:after="40" w:line="240" w:lineRule="auto"/>
            </w:pPr>
            <w:r/>
            <w:r>
              <w:rPr>
                <w:rFonts w:ascii="Aptos" w:hAnsi="Aptos"/>
                <w:b w:val="0"/>
                <w:color w:val="22313F"/>
                <w:sz w:val="16"/>
              </w:rPr>
              <w:t>Stable identifier</w:t>
            </w:r>
          </w:p>
        </w:tc>
      </w:tr>
      <w:tr>
        <w:trPr>
          <w:cantSplit/>
        </w:trPr>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title/category</w:t>
            </w:r>
          </w:p>
        </w:tc>
        <w:tc>
          <w:tcPr>
            <w:tcW w:type="dxa" w:w="172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Human-readable action</w:t>
            </w:r>
          </w:p>
        </w:tc>
      </w:tr>
      <w:tr>
        <w:trPr>
          <w:cantSplit/>
        </w:trPr>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hotspot_ids</w:t>
            </w:r>
          </w:p>
        </w:tc>
        <w:tc>
          <w:tcPr>
            <w:tcW w:type="dxa" w:w="1728"/>
            <w:vAlign w:val="center"/>
            <w:tcMar>
              <w:top w:w="80" w:type="dxa"/>
              <w:start w:w="100" w:type="dxa"/>
              <w:bottom w:w="80" w:type="dxa"/>
              <w:end w:w="100" w:type="dxa"/>
            </w:tcMar>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tcPr>
          <w:p>
            <w:pPr>
              <w:spacing w:after="40" w:line="240" w:lineRule="auto"/>
            </w:pPr>
            <w:r/>
            <w:r>
              <w:rPr>
                <w:rFonts w:ascii="Aptos" w:hAnsi="Aptos"/>
                <w:b w:val="0"/>
                <w:color w:val="22313F"/>
                <w:sz w:val="16"/>
              </w:rPr>
              <w:t>Traceability to emission sources</w:t>
            </w:r>
          </w:p>
        </w:tc>
      </w:tr>
      <w:tr>
        <w:trPr>
          <w:cantSplit/>
        </w:trPr>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trigger_explanation</w:t>
            </w:r>
          </w:p>
        </w:tc>
        <w:tc>
          <w:tcPr>
            <w:tcW w:type="dxa" w:w="172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Plain-language reason</w:t>
            </w:r>
          </w:p>
        </w:tc>
      </w:tr>
      <w:tr>
        <w:trPr>
          <w:cantSplit/>
        </w:trPr>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reduction_low/base/high_tco2e</w:t>
            </w:r>
          </w:p>
        </w:tc>
        <w:tc>
          <w:tcPr>
            <w:tcW w:type="dxa" w:w="1728"/>
            <w:vAlign w:val="center"/>
            <w:tcMar>
              <w:top w:w="80" w:type="dxa"/>
              <w:start w:w="100" w:type="dxa"/>
              <w:bottom w:w="80" w:type="dxa"/>
              <w:end w:w="100" w:type="dxa"/>
            </w:tcMar>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tcPr>
          <w:p>
            <w:pPr>
              <w:spacing w:after="40" w:line="240" w:lineRule="auto"/>
            </w:pPr>
            <w:r/>
            <w:r>
              <w:rPr>
                <w:rFonts w:ascii="Aptos" w:hAnsi="Aptos"/>
                <w:b w:val="0"/>
                <w:color w:val="22313F"/>
                <w:sz w:val="16"/>
              </w:rPr>
              <w:t>No single-point-only estimate</w:t>
            </w:r>
          </w:p>
        </w:tc>
      </w:tr>
      <w:tr>
        <w:trPr>
          <w:cantSplit/>
        </w:trPr>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baseline_value/unit</w:t>
            </w:r>
          </w:p>
        </w:tc>
        <w:tc>
          <w:tcPr>
            <w:tcW w:type="dxa" w:w="172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Calculation context</w:t>
            </w:r>
          </w:p>
        </w:tc>
      </w:tr>
      <w:tr>
        <w:trPr>
          <w:cantSplit/>
        </w:trPr>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capex/opex/savings/payback</w:t>
            </w:r>
          </w:p>
        </w:tc>
        <w:tc>
          <w:tcPr>
            <w:tcW w:type="dxa" w:w="1728"/>
            <w:vAlign w:val="center"/>
            <w:tcMar>
              <w:top w:w="80" w:type="dxa"/>
              <w:start w:w="100" w:type="dxa"/>
              <w:bottom w:w="80" w:type="dxa"/>
              <w:end w:w="100" w:type="dxa"/>
            </w:tcMar>
          </w:tcPr>
          <w:p>
            <w:pPr>
              <w:spacing w:after="40" w:line="240" w:lineRule="auto"/>
            </w:pPr>
            <w:r/>
            <w:r>
              <w:rPr>
                <w:rFonts w:ascii="Aptos" w:hAnsi="Aptos"/>
                <w:b w:val="0"/>
                <w:color w:val="22313F"/>
                <w:sz w:val="16"/>
              </w:rPr>
              <w:t>If available</w:t>
            </w:r>
          </w:p>
        </w:tc>
        <w:tc>
          <w:tcPr>
            <w:tcW w:type="dxa" w:w="5040"/>
            <w:vAlign w:val="center"/>
            <w:tcMar>
              <w:top w:w="80" w:type="dxa"/>
              <w:start w:w="100" w:type="dxa"/>
              <w:bottom w:w="80" w:type="dxa"/>
              <w:end w:w="100" w:type="dxa"/>
            </w:tcMar>
          </w:tcPr>
          <w:p>
            <w:pPr>
              <w:spacing w:after="40" w:line="240" w:lineRule="auto"/>
            </w:pPr>
            <w:r/>
            <w:r>
              <w:rPr>
                <w:rFonts w:ascii="Aptos" w:hAnsi="Aptos"/>
                <w:b w:val="0"/>
                <w:color w:val="22313F"/>
                <w:sz w:val="16"/>
              </w:rPr>
              <w:t>Clearly mark user/vendor/benchmark assumptions</w:t>
            </w:r>
          </w:p>
        </w:tc>
      </w:tr>
      <w:tr>
        <w:trPr>
          <w:cantSplit/>
        </w:trPr>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confidence_score/tier</w:t>
            </w:r>
          </w:p>
        </w:tc>
        <w:tc>
          <w:tcPr>
            <w:tcW w:type="dxa" w:w="172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Expose data quality</w:t>
            </w:r>
          </w:p>
        </w:tc>
      </w:tr>
      <w:tr>
        <w:trPr>
          <w:cantSplit/>
        </w:trPr>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priority_score/band</w:t>
            </w:r>
          </w:p>
        </w:tc>
        <w:tc>
          <w:tcPr>
            <w:tcW w:type="dxa" w:w="1728"/>
            <w:vAlign w:val="center"/>
            <w:tcMar>
              <w:top w:w="80" w:type="dxa"/>
              <w:start w:w="100" w:type="dxa"/>
              <w:bottom w:w="80" w:type="dxa"/>
              <w:end w:w="100" w:type="dxa"/>
            </w:tcMar>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tcPr>
          <w:p>
            <w:pPr>
              <w:spacing w:after="40" w:line="240" w:lineRule="auto"/>
            </w:pPr>
            <w:r/>
            <w:r>
              <w:rPr>
                <w:rFonts w:ascii="Aptos" w:hAnsi="Aptos"/>
                <w:b w:val="0"/>
                <w:color w:val="22313F"/>
                <w:sz w:val="16"/>
              </w:rPr>
              <w:t>Include scoring breakdown</w:t>
            </w:r>
          </w:p>
        </w:tc>
      </w:tr>
      <w:tr>
        <w:trPr>
          <w:cantSplit/>
        </w:trPr>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assumptions</w:t>
            </w:r>
          </w:p>
        </w:tc>
        <w:tc>
          <w:tcPr>
            <w:tcW w:type="dxa" w:w="172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Editable/versioned</w:t>
            </w:r>
          </w:p>
        </w:tc>
      </w:tr>
      <w:tr>
        <w:trPr>
          <w:cantSplit/>
        </w:trPr>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prerequisites/risks</w:t>
            </w:r>
          </w:p>
        </w:tc>
        <w:tc>
          <w:tcPr>
            <w:tcW w:type="dxa" w:w="1728"/>
            <w:vAlign w:val="center"/>
            <w:tcMar>
              <w:top w:w="80" w:type="dxa"/>
              <w:start w:w="100" w:type="dxa"/>
              <w:bottom w:w="80" w:type="dxa"/>
              <w:end w:w="100" w:type="dxa"/>
            </w:tcMar>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tcPr>
          <w:p>
            <w:pPr>
              <w:spacing w:after="40" w:line="240" w:lineRule="auto"/>
            </w:pPr>
            <w:r/>
            <w:r>
              <w:rPr>
                <w:rFonts w:ascii="Aptos" w:hAnsi="Aptos"/>
                <w:b w:val="0"/>
                <w:color w:val="22313F"/>
                <w:sz w:val="16"/>
              </w:rPr>
              <w:t>Safety/engineering/policy gates</w:t>
            </w:r>
          </w:p>
        </w:tc>
      </w:tr>
      <w:tr>
        <w:trPr>
          <w:cantSplit/>
        </w:trPr>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evidence_requirements</w:t>
            </w:r>
          </w:p>
        </w:tc>
        <w:tc>
          <w:tcPr>
            <w:tcW w:type="dxa" w:w="172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For implementation and verification</w:t>
            </w:r>
          </w:p>
        </w:tc>
      </w:tr>
      <w:tr>
        <w:trPr>
          <w:cantSplit/>
        </w:trPr>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mrv_method</w:t>
            </w:r>
          </w:p>
        </w:tc>
        <w:tc>
          <w:tcPr>
            <w:tcW w:type="dxa" w:w="1728"/>
            <w:vAlign w:val="center"/>
            <w:tcMar>
              <w:top w:w="80" w:type="dxa"/>
              <w:start w:w="100" w:type="dxa"/>
              <w:bottom w:w="80" w:type="dxa"/>
              <w:end w:w="100" w:type="dxa"/>
            </w:tcMar>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tcPr>
          <w:p>
            <w:pPr>
              <w:spacing w:after="40" w:line="240" w:lineRule="auto"/>
            </w:pPr>
            <w:r/>
            <w:r>
              <w:rPr>
                <w:rFonts w:ascii="Aptos" w:hAnsi="Aptos"/>
                <w:b w:val="0"/>
                <w:color w:val="22313F"/>
                <w:sz w:val="16"/>
              </w:rPr>
              <w:t>How actual reduction will be measured</w:t>
            </w:r>
          </w:p>
        </w:tc>
      </w:tr>
      <w:tr>
        <w:trPr>
          <w:cantSplit/>
        </w:trPr>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status</w:t>
            </w:r>
          </w:p>
        </w:tc>
        <w:tc>
          <w:tcPr>
            <w:tcW w:type="dxa" w:w="172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Yes</w:t>
            </w:r>
          </w:p>
        </w:tc>
        <w:tc>
          <w:tcPr>
            <w:tcW w:type="dxa" w:w="50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Recommended/approved/implemented/etc.</w:t>
            </w:r>
          </w:p>
        </w:tc>
      </w:tr>
    </w:tbl>
    <w:p>
      <w:pPr>
        <w:spacing w:after="40"/>
      </w:pPr>
    </w:p>
    <w:p>
      <w:pPr>
        <w:pStyle w:val="Heading1"/>
      </w:pPr>
      <w:r>
        <w:t>13. Starter Rules for V1 Decision Engine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440"/>
            <w:vAlign w:val="center"/>
            <w:tcMar>
              <w:top w:w="80" w:type="dxa"/>
              <w:start w:w="100" w:type="dxa"/>
              <w:bottom w:w="80" w:type="dxa"/>
              <w:end w:w="100" w:type="dxa"/>
            </w:tcMar>
            <w:shd w:fill="153A5B"/>
          </w:tcPr>
          <w:p>
            <w:pPr>
              <w:spacing w:after="40" w:line="240" w:lineRule="auto"/>
            </w:pPr>
            <w:r/>
            <w:r>
              <w:rPr>
                <w:rFonts w:ascii="Aptos" w:hAnsi="Aptos"/>
                <w:b/>
                <w:color w:val="FFFFFF"/>
                <w:sz w:val="16"/>
              </w:rPr>
              <w:t>Rule ID</w:t>
            </w:r>
          </w:p>
        </w:tc>
        <w:tc>
          <w:tcPr>
            <w:tcW w:type="dxa" w:w="3600"/>
            <w:vAlign w:val="center"/>
            <w:tcMar>
              <w:top w:w="80" w:type="dxa"/>
              <w:start w:w="100" w:type="dxa"/>
              <w:bottom w:w="80" w:type="dxa"/>
              <w:end w:w="100" w:type="dxa"/>
            </w:tcMar>
            <w:shd w:fill="153A5B"/>
          </w:tcPr>
          <w:p>
            <w:pPr>
              <w:spacing w:after="40" w:line="240" w:lineRule="auto"/>
            </w:pPr>
            <w:r/>
            <w:r>
              <w:rPr>
                <w:rFonts w:ascii="Aptos" w:hAnsi="Aptos"/>
                <w:b/>
                <w:color w:val="FFFFFF"/>
                <w:sz w:val="16"/>
              </w:rPr>
              <w:t>IF condition</w:t>
            </w:r>
          </w:p>
        </w:tc>
        <w:tc>
          <w:tcPr>
            <w:tcW w:type="dxa" w:w="3168"/>
            <w:vAlign w:val="center"/>
            <w:tcMar>
              <w:top w:w="80" w:type="dxa"/>
              <w:start w:w="100" w:type="dxa"/>
              <w:bottom w:w="80" w:type="dxa"/>
              <w:end w:w="100" w:type="dxa"/>
            </w:tcMar>
            <w:shd w:fill="153A5B"/>
          </w:tcPr>
          <w:p>
            <w:pPr>
              <w:spacing w:after="40" w:line="240" w:lineRule="auto"/>
            </w:pPr>
            <w:r/>
            <w:r>
              <w:rPr>
                <w:rFonts w:ascii="Aptos" w:hAnsi="Aptos"/>
                <w:b/>
                <w:color w:val="FFFFFF"/>
                <w:sz w:val="16"/>
              </w:rPr>
              <w:t>THEN action</w:t>
            </w:r>
          </w:p>
        </w:tc>
        <w:tc>
          <w:tcPr>
            <w:tcW w:type="dxa" w:w="2592"/>
            <w:vAlign w:val="center"/>
            <w:tcMar>
              <w:top w:w="80" w:type="dxa"/>
              <w:start w:w="100" w:type="dxa"/>
              <w:bottom w:w="80" w:type="dxa"/>
              <w:end w:w="100" w:type="dxa"/>
            </w:tcMar>
            <w:shd w:fill="153A5B"/>
          </w:tcPr>
          <w:p>
            <w:pPr>
              <w:spacing w:after="40" w:line="240" w:lineRule="auto"/>
            </w:pPr>
            <w:r/>
            <w:r>
              <w:rPr>
                <w:rFonts w:ascii="Aptos" w:hAnsi="Aptos"/>
                <w:b/>
                <w:color w:val="FFFFFF"/>
                <w:sz w:val="16"/>
              </w:rPr>
              <w:t>Guardrail</w:t>
            </w:r>
          </w:p>
        </w:tc>
      </w:tr>
      <w:tr>
        <w:trPr>
          <w:cantSplit/>
        </w:trPr>
        <w:tc>
          <w:tcPr>
            <w:tcW w:type="dxa" w:w="1440"/>
            <w:vAlign w:val="center"/>
            <w:tcMar>
              <w:top w:w="80" w:type="dxa"/>
              <w:start w:w="100" w:type="dxa"/>
              <w:bottom w:w="80" w:type="dxa"/>
              <w:end w:w="100" w:type="dxa"/>
            </w:tcMar>
          </w:tcPr>
          <w:p>
            <w:pPr>
              <w:spacing w:after="40" w:line="240" w:lineRule="auto"/>
            </w:pPr>
            <w:r/>
            <w:r>
              <w:rPr>
                <w:rFonts w:ascii="Aptos" w:hAnsi="Aptos"/>
                <w:b w:val="0"/>
                <w:color w:val="22313F"/>
                <w:sz w:val="16"/>
              </w:rPr>
              <w:t>ELEC-001</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After-hours baseload &gt;25% of occupied average for ≥5 days</w:t>
            </w:r>
          </w:p>
        </w:tc>
        <w:tc>
          <w:tcPr>
            <w:tcW w:type="dxa" w:w="3168"/>
            <w:vAlign w:val="center"/>
            <w:tcMar>
              <w:top w:w="80" w:type="dxa"/>
              <w:start w:w="100" w:type="dxa"/>
              <w:bottom w:w="80" w:type="dxa"/>
              <w:end w:w="100" w:type="dxa"/>
            </w:tcMar>
          </w:tcPr>
          <w:p>
            <w:pPr>
              <w:spacing w:after="40" w:line="240" w:lineRule="auto"/>
            </w:pPr>
            <w:r/>
            <w:r>
              <w:rPr>
                <w:rFonts w:ascii="Aptos" w:hAnsi="Aptos"/>
                <w:b w:val="0"/>
                <w:color w:val="22313F"/>
                <w:sz w:val="16"/>
              </w:rPr>
              <w:t>Recommend after-hours load audit</w:t>
            </w:r>
          </w:p>
        </w:tc>
        <w:tc>
          <w:tcPr>
            <w:tcW w:type="dxa" w:w="2592"/>
            <w:vAlign w:val="center"/>
            <w:tcMar>
              <w:top w:w="80" w:type="dxa"/>
              <w:start w:w="100" w:type="dxa"/>
              <w:bottom w:w="80" w:type="dxa"/>
              <w:end w:w="100" w:type="dxa"/>
            </w:tcMar>
          </w:tcPr>
          <w:p>
            <w:pPr>
              <w:spacing w:after="40" w:line="240" w:lineRule="auto"/>
            </w:pPr>
            <w:r/>
            <w:r>
              <w:rPr>
                <w:rFonts w:ascii="Aptos" w:hAnsi="Aptos"/>
                <w:b w:val="0"/>
                <w:color w:val="22313F"/>
                <w:sz w:val="16"/>
              </w:rPr>
              <w:t>Exclude declared 24x7 critical loads</w:t>
            </w:r>
          </w:p>
        </w:tc>
      </w:tr>
      <w:tr>
        <w:trPr>
          <w:cantSplit/>
        </w:trPr>
        <w:tc>
          <w:tcPr>
            <w:tcW w:type="dxa" w:w="14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ELEC-002</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Power factor &lt;0.90 for configured share of intervals</w:t>
            </w:r>
          </w:p>
        </w:tc>
        <w:tc>
          <w:tcPr>
            <w:tcW w:type="dxa" w:w="316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Assess PF correction</w:t>
            </w:r>
          </w:p>
        </w:tc>
        <w:tc>
          <w:tcPr>
            <w:tcW w:type="dxa" w:w="259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Financial claim depends on tariff/demand structure</w:t>
            </w:r>
          </w:p>
        </w:tc>
      </w:tr>
      <w:tr>
        <w:trPr>
          <w:cantSplit/>
        </w:trPr>
        <w:tc>
          <w:tcPr>
            <w:tcW w:type="dxa" w:w="1440"/>
            <w:vAlign w:val="center"/>
            <w:tcMar>
              <w:top w:w="80" w:type="dxa"/>
              <w:start w:w="100" w:type="dxa"/>
              <w:bottom w:w="80" w:type="dxa"/>
              <w:end w:w="100" w:type="dxa"/>
            </w:tcMar>
          </w:tcPr>
          <w:p>
            <w:pPr>
              <w:spacing w:after="40" w:line="240" w:lineRule="auto"/>
            </w:pPr>
            <w:r/>
            <w:r>
              <w:rPr>
                <w:rFonts w:ascii="Aptos" w:hAnsi="Aptos"/>
                <w:b w:val="0"/>
                <w:color w:val="22313F"/>
                <w:sz w:val="16"/>
              </w:rPr>
              <w:t>ELEC-003</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Electricity &gt;40% of footprint and daytime load material</w:t>
            </w:r>
          </w:p>
        </w:tc>
        <w:tc>
          <w:tcPr>
            <w:tcW w:type="dxa" w:w="3168"/>
            <w:vAlign w:val="center"/>
            <w:tcMar>
              <w:top w:w="80" w:type="dxa"/>
              <w:start w:w="100" w:type="dxa"/>
              <w:bottom w:w="80" w:type="dxa"/>
              <w:end w:w="100" w:type="dxa"/>
            </w:tcMar>
          </w:tcPr>
          <w:p>
            <w:pPr>
              <w:spacing w:after="40" w:line="240" w:lineRule="auto"/>
            </w:pPr>
            <w:r/>
            <w:r>
              <w:rPr>
                <w:rFonts w:ascii="Aptos" w:hAnsi="Aptos"/>
                <w:b w:val="0"/>
                <w:color w:val="22313F"/>
                <w:sz w:val="16"/>
              </w:rPr>
              <w:t>Run solar/renewable scenario</w:t>
            </w:r>
          </w:p>
        </w:tc>
        <w:tc>
          <w:tcPr>
            <w:tcW w:type="dxa" w:w="2592"/>
            <w:vAlign w:val="center"/>
            <w:tcMar>
              <w:top w:w="80" w:type="dxa"/>
              <w:start w:w="100" w:type="dxa"/>
              <w:bottom w:w="80" w:type="dxa"/>
              <w:end w:w="100" w:type="dxa"/>
            </w:tcMar>
          </w:tcPr>
          <w:p>
            <w:pPr>
              <w:spacing w:after="40" w:line="240" w:lineRule="auto"/>
            </w:pPr>
            <w:r/>
            <w:r>
              <w:rPr>
                <w:rFonts w:ascii="Aptos" w:hAnsi="Aptos"/>
                <w:b w:val="0"/>
                <w:color w:val="22313F"/>
                <w:sz w:val="16"/>
              </w:rPr>
              <w:t>Requires feasibility and accounting eligibility</w:t>
            </w:r>
          </w:p>
        </w:tc>
      </w:tr>
      <w:tr>
        <w:trPr>
          <w:cantSplit/>
        </w:trPr>
        <w:tc>
          <w:tcPr>
            <w:tcW w:type="dxa" w:w="14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HVAC-001</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Cooling electricity intensity &gt;benchmark or rises &gt;10% normalized</w:t>
            </w:r>
          </w:p>
        </w:tc>
        <w:tc>
          <w:tcPr>
            <w:tcW w:type="dxa" w:w="316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HVAC/chiller optimization assessment</w:t>
            </w:r>
          </w:p>
        </w:tc>
        <w:tc>
          <w:tcPr>
            <w:tcW w:type="dxa" w:w="259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Normalize for weather/occupancy</w:t>
            </w:r>
          </w:p>
        </w:tc>
      </w:tr>
      <w:tr>
        <w:trPr>
          <w:cantSplit/>
        </w:trPr>
        <w:tc>
          <w:tcPr>
            <w:tcW w:type="dxa" w:w="1440"/>
            <w:vAlign w:val="center"/>
            <w:tcMar>
              <w:top w:w="80" w:type="dxa"/>
              <w:start w:w="100" w:type="dxa"/>
              <w:bottom w:w="80" w:type="dxa"/>
              <w:end w:w="100" w:type="dxa"/>
            </w:tcMar>
          </w:tcPr>
          <w:p>
            <w:pPr>
              <w:spacing w:after="40" w:line="240" w:lineRule="auto"/>
            </w:pPr>
            <w:r/>
            <w:r>
              <w:rPr>
                <w:rFonts w:ascii="Aptos" w:hAnsi="Aptos"/>
                <w:b w:val="0"/>
                <w:color w:val="22313F"/>
                <w:sz w:val="16"/>
              </w:rPr>
              <w:t>AIR-001</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Compressor non-production load &gt;20% of production-period average</w:t>
            </w:r>
          </w:p>
        </w:tc>
        <w:tc>
          <w:tcPr>
            <w:tcW w:type="dxa" w:w="3168"/>
            <w:vAlign w:val="center"/>
            <w:tcMar>
              <w:top w:w="80" w:type="dxa"/>
              <w:start w:w="100" w:type="dxa"/>
              <w:bottom w:w="80" w:type="dxa"/>
              <w:end w:w="100" w:type="dxa"/>
            </w:tcMar>
          </w:tcPr>
          <w:p>
            <w:pPr>
              <w:spacing w:after="40" w:line="240" w:lineRule="auto"/>
            </w:pPr>
            <w:r/>
            <w:r>
              <w:rPr>
                <w:rFonts w:ascii="Aptos" w:hAnsi="Aptos"/>
                <w:b w:val="0"/>
                <w:color w:val="22313F"/>
                <w:sz w:val="16"/>
              </w:rPr>
              <w:t>Leak/pressure/sequence optimization</w:t>
            </w:r>
          </w:p>
        </w:tc>
        <w:tc>
          <w:tcPr>
            <w:tcW w:type="dxa" w:w="2592"/>
            <w:vAlign w:val="center"/>
            <w:tcMar>
              <w:top w:w="80" w:type="dxa"/>
              <w:start w:w="100" w:type="dxa"/>
              <w:bottom w:w="80" w:type="dxa"/>
              <w:end w:w="100" w:type="dxa"/>
            </w:tcMar>
          </w:tcPr>
          <w:p>
            <w:pPr>
              <w:spacing w:after="40" w:line="240" w:lineRule="auto"/>
            </w:pPr>
            <w:r/>
            <w:r>
              <w:rPr>
                <w:rFonts w:ascii="Aptos" w:hAnsi="Aptos"/>
                <w:b w:val="0"/>
                <w:color w:val="22313F"/>
                <w:sz w:val="16"/>
              </w:rPr>
              <w:t>Need schedule and compressor-meter confidence</w:t>
            </w:r>
          </w:p>
        </w:tc>
      </w:tr>
      <w:tr>
        <w:trPr>
          <w:cantSplit/>
        </w:trPr>
        <w:tc>
          <w:tcPr>
            <w:tcW w:type="dxa" w:w="14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FUEL-001</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Stationary combustion &gt;15% of footprint</w:t>
            </w:r>
          </w:p>
        </w:tc>
        <w:tc>
          <w:tcPr>
            <w:tcW w:type="dxa" w:w="316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Boiler/burner/heat-recovery assessment</w:t>
            </w:r>
          </w:p>
        </w:tc>
        <w:tc>
          <w:tcPr>
            <w:tcW w:type="dxa" w:w="259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Engineering/safety review required</w:t>
            </w:r>
          </w:p>
        </w:tc>
      </w:tr>
      <w:tr>
        <w:trPr>
          <w:cantSplit/>
        </w:trPr>
        <w:tc>
          <w:tcPr>
            <w:tcW w:type="dxa" w:w="1440"/>
            <w:vAlign w:val="center"/>
            <w:tcMar>
              <w:top w:w="80" w:type="dxa"/>
              <w:start w:w="100" w:type="dxa"/>
              <w:bottom w:w="80" w:type="dxa"/>
              <w:end w:w="100" w:type="dxa"/>
            </w:tcMar>
          </w:tcPr>
          <w:p>
            <w:pPr>
              <w:spacing w:after="40" w:line="240" w:lineRule="auto"/>
            </w:pPr>
            <w:r/>
            <w:r>
              <w:rPr>
                <w:rFonts w:ascii="Aptos" w:hAnsi="Aptos"/>
                <w:b w:val="0"/>
                <w:color w:val="22313F"/>
                <w:sz w:val="16"/>
              </w:rPr>
              <w:t>REF-001</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Refrigerant emissions material or leak events detected</w:t>
            </w:r>
          </w:p>
        </w:tc>
        <w:tc>
          <w:tcPr>
            <w:tcW w:type="dxa" w:w="3168"/>
            <w:vAlign w:val="center"/>
            <w:tcMar>
              <w:top w:w="80" w:type="dxa"/>
              <w:start w:w="100" w:type="dxa"/>
              <w:bottom w:w="80" w:type="dxa"/>
              <w:end w:w="100" w:type="dxa"/>
            </w:tcMar>
          </w:tcPr>
          <w:p>
            <w:pPr>
              <w:spacing w:after="40" w:line="240" w:lineRule="auto"/>
            </w:pPr>
            <w:r/>
            <w:r>
              <w:rPr>
                <w:rFonts w:ascii="Aptos" w:hAnsi="Aptos"/>
                <w:b w:val="0"/>
                <w:color w:val="22313F"/>
                <w:sz w:val="16"/>
              </w:rPr>
              <w:t>Leak management / refrigerant transition</w:t>
            </w:r>
          </w:p>
        </w:tc>
        <w:tc>
          <w:tcPr>
            <w:tcW w:type="dxa" w:w="2592"/>
            <w:vAlign w:val="center"/>
            <w:tcMar>
              <w:top w:w="80" w:type="dxa"/>
              <w:start w:w="100" w:type="dxa"/>
              <w:bottom w:w="80" w:type="dxa"/>
              <w:end w:w="100" w:type="dxa"/>
            </w:tcMar>
          </w:tcPr>
          <w:p>
            <w:pPr>
              <w:spacing w:after="40" w:line="240" w:lineRule="auto"/>
            </w:pPr>
            <w:r/>
            <w:r>
              <w:rPr>
                <w:rFonts w:ascii="Aptos" w:hAnsi="Aptos"/>
                <w:b w:val="0"/>
                <w:color w:val="22313F"/>
                <w:sz w:val="16"/>
              </w:rPr>
              <w:t>Use refrigerant mass-balance records</w:t>
            </w:r>
          </w:p>
        </w:tc>
      </w:tr>
      <w:tr>
        <w:trPr>
          <w:cantSplit/>
        </w:trPr>
        <w:tc>
          <w:tcPr>
            <w:tcW w:type="dxa" w:w="14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LOG-001</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Air freight &gt;configured % of Scope 3 transport</w:t>
            </w:r>
          </w:p>
        </w:tc>
        <w:tc>
          <w:tcPr>
            <w:tcW w:type="dxa" w:w="316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Mode-shift scenario</w:t>
            </w:r>
          </w:p>
        </w:tc>
        <w:tc>
          <w:tcPr>
            <w:tcW w:type="dxa" w:w="259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Check service/lead-time constraints</w:t>
            </w:r>
          </w:p>
        </w:tc>
      </w:tr>
      <w:tr>
        <w:trPr>
          <w:cantSplit/>
        </w:trPr>
        <w:tc>
          <w:tcPr>
            <w:tcW w:type="dxa" w:w="1440"/>
            <w:vAlign w:val="center"/>
            <w:tcMar>
              <w:top w:w="80" w:type="dxa"/>
              <w:start w:w="100" w:type="dxa"/>
              <w:bottom w:w="80" w:type="dxa"/>
              <w:end w:w="100" w:type="dxa"/>
            </w:tcMar>
          </w:tcPr>
          <w:p>
            <w:pPr>
              <w:spacing w:after="40" w:line="240" w:lineRule="auto"/>
            </w:pPr>
            <w:r/>
            <w:r>
              <w:rPr>
                <w:rFonts w:ascii="Aptos" w:hAnsi="Aptos"/>
                <w:b w:val="0"/>
                <w:color w:val="22313F"/>
                <w:sz w:val="16"/>
              </w:rPr>
              <w:t>MAT-001</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One material &gt;30% of PCF</w:t>
            </w:r>
          </w:p>
        </w:tc>
        <w:tc>
          <w:tcPr>
            <w:tcW w:type="dxa" w:w="3168"/>
            <w:vAlign w:val="center"/>
            <w:tcMar>
              <w:top w:w="80" w:type="dxa"/>
              <w:start w:w="100" w:type="dxa"/>
              <w:bottom w:w="80" w:type="dxa"/>
              <w:end w:w="100" w:type="dxa"/>
            </w:tcMar>
          </w:tcPr>
          <w:p>
            <w:pPr>
              <w:spacing w:after="40" w:line="240" w:lineRule="auto"/>
            </w:pPr>
            <w:r/>
            <w:r>
              <w:rPr>
                <w:rFonts w:ascii="Aptos" w:hAnsi="Aptos"/>
                <w:b w:val="0"/>
                <w:color w:val="22313F"/>
                <w:sz w:val="16"/>
              </w:rPr>
              <w:t>Supplier/material-substitution scenario</w:t>
            </w:r>
          </w:p>
        </w:tc>
        <w:tc>
          <w:tcPr>
            <w:tcW w:type="dxa" w:w="2592"/>
            <w:vAlign w:val="center"/>
            <w:tcMar>
              <w:top w:w="80" w:type="dxa"/>
              <w:start w:w="100" w:type="dxa"/>
              <w:bottom w:w="80" w:type="dxa"/>
              <w:end w:w="100" w:type="dxa"/>
            </w:tcMar>
          </w:tcPr>
          <w:p>
            <w:pPr>
              <w:spacing w:after="40" w:line="240" w:lineRule="auto"/>
            </w:pPr>
            <w:r/>
            <w:r>
              <w:rPr>
                <w:rFonts w:ascii="Aptos" w:hAnsi="Aptos"/>
                <w:b w:val="0"/>
                <w:color w:val="22313F"/>
                <w:sz w:val="16"/>
              </w:rPr>
              <w:t>Functional/spec equivalence required</w:t>
            </w:r>
          </w:p>
        </w:tc>
      </w:tr>
      <w:tr>
        <w:trPr>
          <w:cantSplit/>
        </w:trPr>
        <w:tc>
          <w:tcPr>
            <w:tcW w:type="dxa" w:w="14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SUP-001</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Supplier PCF &gt;category benchmark by &gt;20%</w:t>
            </w:r>
          </w:p>
        </w:tc>
        <w:tc>
          <w:tcPr>
            <w:tcW w:type="dxa" w:w="316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Engage/substitute supplier</w:t>
            </w:r>
          </w:p>
        </w:tc>
        <w:tc>
          <w:tcPr>
            <w:tcW w:type="dxa" w:w="259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Benchmark must be versioned and comparable</w:t>
            </w:r>
          </w:p>
        </w:tc>
      </w:tr>
      <w:tr>
        <w:trPr>
          <w:cantSplit/>
        </w:trPr>
        <w:tc>
          <w:tcPr>
            <w:tcW w:type="dxa" w:w="1440"/>
            <w:vAlign w:val="center"/>
            <w:tcMar>
              <w:top w:w="80" w:type="dxa"/>
              <w:start w:w="100" w:type="dxa"/>
              <w:bottom w:w="80" w:type="dxa"/>
              <w:end w:w="100" w:type="dxa"/>
            </w:tcMar>
          </w:tcPr>
          <w:p>
            <w:pPr>
              <w:spacing w:after="40" w:line="240" w:lineRule="auto"/>
            </w:pPr>
            <w:r/>
            <w:r>
              <w:rPr>
                <w:rFonts w:ascii="Aptos" w:hAnsi="Aptos"/>
                <w:b w:val="0"/>
                <w:color w:val="22313F"/>
                <w:sz w:val="16"/>
              </w:rPr>
              <w:t>WASTE-001</w:t>
            </w:r>
          </w:p>
        </w:tc>
        <w:tc>
          <w:tcPr>
            <w:tcW w:type="dxa" w:w="3600"/>
            <w:vAlign w:val="center"/>
            <w:tcMar>
              <w:top w:w="80" w:type="dxa"/>
              <w:start w:w="100" w:type="dxa"/>
              <w:bottom w:w="80" w:type="dxa"/>
              <w:end w:w="100" w:type="dxa"/>
            </w:tcMar>
          </w:tcPr>
          <w:p>
            <w:pPr>
              <w:spacing w:after="40" w:line="240" w:lineRule="auto"/>
            </w:pPr>
            <w:r/>
            <w:r>
              <w:rPr>
                <w:rFonts w:ascii="Aptos" w:hAnsi="Aptos"/>
                <w:b w:val="0"/>
                <w:color w:val="22313F"/>
                <w:sz w:val="16"/>
              </w:rPr>
              <w:t>Scrap rate exceeds target by &gt;X%</w:t>
            </w:r>
          </w:p>
        </w:tc>
        <w:tc>
          <w:tcPr>
            <w:tcW w:type="dxa" w:w="3168"/>
            <w:vAlign w:val="center"/>
            <w:tcMar>
              <w:top w:w="80" w:type="dxa"/>
              <w:start w:w="100" w:type="dxa"/>
              <w:bottom w:w="80" w:type="dxa"/>
              <w:end w:w="100" w:type="dxa"/>
            </w:tcMar>
          </w:tcPr>
          <w:p>
            <w:pPr>
              <w:spacing w:after="40" w:line="240" w:lineRule="auto"/>
            </w:pPr>
            <w:r/>
            <w:r>
              <w:rPr>
                <w:rFonts w:ascii="Aptos" w:hAnsi="Aptos"/>
                <w:b w:val="0"/>
                <w:color w:val="22313F"/>
                <w:sz w:val="16"/>
              </w:rPr>
              <w:t>Yield/scrap-reduction project</w:t>
            </w:r>
          </w:p>
        </w:tc>
        <w:tc>
          <w:tcPr>
            <w:tcW w:type="dxa" w:w="2592"/>
            <w:vAlign w:val="center"/>
            <w:tcMar>
              <w:top w:w="80" w:type="dxa"/>
              <w:start w:w="100" w:type="dxa"/>
              <w:bottom w:w="80" w:type="dxa"/>
              <w:end w:w="100" w:type="dxa"/>
            </w:tcMar>
          </w:tcPr>
          <w:p>
            <w:pPr>
              <w:spacing w:after="40" w:line="240" w:lineRule="auto"/>
            </w:pPr>
            <w:r/>
            <w:r>
              <w:rPr>
                <w:rFonts w:ascii="Aptos" w:hAnsi="Aptos"/>
                <w:b w:val="0"/>
                <w:color w:val="22313F"/>
                <w:sz w:val="16"/>
              </w:rPr>
              <w:t>Normalize for product mix</w:t>
            </w:r>
          </w:p>
        </w:tc>
      </w:tr>
      <w:tr>
        <w:trPr>
          <w:cantSplit/>
        </w:trPr>
        <w:tc>
          <w:tcPr>
            <w:tcW w:type="dxa" w:w="144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DATA-001</w:t>
            </w:r>
          </w:p>
        </w:tc>
        <w:tc>
          <w:tcPr>
            <w:tcW w:type="dxa" w:w="360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Hotspot material but data confidence &lt;50%</w:t>
            </w:r>
          </w:p>
        </w:tc>
        <w:tc>
          <w:tcPr>
            <w:tcW w:type="dxa" w:w="316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Recommend data-improvement action first</w:t>
            </w:r>
          </w:p>
        </w:tc>
        <w:tc>
          <w:tcPr>
            <w:tcW w:type="dxa" w:w="259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No investment recommendation until minimum data gate</w:t>
            </w:r>
          </w:p>
        </w:tc>
      </w:tr>
    </w:tbl>
    <w:p>
      <w:pPr>
        <w:spacing w:after="40"/>
      </w:pPr>
    </w:p>
    <w:p>
      <w:pPr>
        <w:pStyle w:val="Heading1"/>
      </w:pPr>
      <w:r>
        <w:t>14. Developer Implementation Checklist</w:t>
      </w:r>
    </w:p>
    <w:p>
      <w:pPr>
        <w:pStyle w:val="Heading2"/>
      </w:pPr>
      <w:r>
        <w:t>14.1 Foundation &amp; Data</w:t>
      </w:r>
    </w:p>
    <w:p>
      <w:pPr>
        <w:ind w:left="0"/>
      </w:pPr>
      <w:r>
        <w:t>☐  Define canonical emission-source taxonomy across Scope 1/2/3, facility, asset, process, supplier, product and batch.</w:t>
      </w:r>
    </w:p>
    <w:p>
      <w:pPr>
        <w:ind w:left="0"/>
      </w:pPr>
      <w:r>
        <w:t>☐  Create versioned emission-factor registry with geography, year, source and unit conversions.</w:t>
      </w:r>
    </w:p>
    <w:p>
      <w:pPr>
        <w:ind w:left="0"/>
      </w:pPr>
      <w:r>
        <w:t>☐  Normalize all activity data to canonical units and retain original source/value.</w:t>
      </w:r>
    </w:p>
    <w:p>
      <w:pPr>
        <w:ind w:left="0"/>
      </w:pPr>
      <w:r>
        <w:t>☐  Implement source-to-emission lineage and immutable calculation version IDs.</w:t>
      </w:r>
    </w:p>
    <w:p>
      <w:pPr>
        <w:ind w:left="0"/>
      </w:pPr>
      <w:r>
        <w:t>☐  Add asset/equipment metadata required by mitigation rules.</w:t>
      </w:r>
    </w:p>
    <w:p>
      <w:pPr>
        <w:ind w:left="0"/>
      </w:pPr>
      <w:r>
        <w:t>☐  Add production/occupancy/weather/operating-hours adjustment variables.</w:t>
      </w:r>
    </w:p>
    <w:p>
      <w:pPr>
        <w:ind w:left="0"/>
      </w:pPr>
      <w:r>
        <w:t>☐  Implement telemetry quality checks: gaps, flatlines, outliers, clock drift and missing intervals.</w:t>
      </w:r>
    </w:p>
    <w:p>
      <w:pPr>
        <w:pStyle w:val="Heading2"/>
      </w:pPr>
      <w:r>
        <w:t>14.2 Hotspot Engine</w:t>
      </w:r>
    </w:p>
    <w:p>
      <w:pPr>
        <w:ind w:left="0"/>
      </w:pPr>
      <w:r>
        <w:t>☐  Calculate absolute tCO₂e, share %, intensity and trend for every hierarchy level.</w:t>
      </w:r>
    </w:p>
    <w:p>
      <w:pPr>
        <w:ind w:left="0"/>
      </w:pPr>
      <w:r>
        <w:t>☐  Allow configurable materiality thresholds by customer/sector.</w:t>
      </w:r>
    </w:p>
    <w:p>
      <w:pPr>
        <w:ind w:left="0"/>
      </w:pPr>
      <w:r>
        <w:t>☐  Calculate controllability and strategic relevance tags.</w:t>
      </w:r>
    </w:p>
    <w:p>
      <w:pPr>
        <w:ind w:left="0"/>
      </w:pPr>
      <w:r>
        <w:t>☐  Detect abnormal increases on normalized data.</w:t>
      </w:r>
    </w:p>
    <w:p>
      <w:pPr>
        <w:ind w:left="0"/>
      </w:pPr>
      <w:r>
        <w:t>☐  Provide a plain-language “why this is a hotspot” explanation.</w:t>
      </w:r>
    </w:p>
    <w:p>
      <w:pPr>
        <w:pStyle w:val="Heading2"/>
      </w:pPr>
      <w:r>
        <w:t>14.3 Mitigation Library</w:t>
      </w:r>
    </w:p>
    <w:p>
      <w:pPr>
        <w:ind w:left="0"/>
      </w:pPr>
      <w:r>
        <w:t>☐  Create MitigationMeasure master table and taxonomy.</w:t>
      </w:r>
    </w:p>
    <w:p>
      <w:pPr>
        <w:ind w:left="0"/>
      </w:pPr>
      <w:r>
        <w:t>☐  Add eligibility criteria, exclusions, prerequisites and safety/engineering gates.</w:t>
      </w:r>
    </w:p>
    <w:p>
      <w:pPr>
        <w:ind w:left="0"/>
      </w:pPr>
      <w:r>
        <w:t>☐  Add calculation templates for energy efficiency, fuel switch, renewable, logistics and material measures.</w:t>
      </w:r>
    </w:p>
    <w:p>
      <w:pPr>
        <w:ind w:left="0"/>
      </w:pPr>
      <w:r>
        <w:t>☐  Add evidence checklist and MRV method for every measure.</w:t>
      </w:r>
    </w:p>
    <w:p>
      <w:pPr>
        <w:ind w:left="0"/>
      </w:pPr>
      <w:r>
        <w:t>☐  Add geography/sector applicability and implementation complexity.</w:t>
      </w:r>
    </w:p>
    <w:p>
      <w:pPr>
        <w:ind w:left="0"/>
      </w:pPr>
      <w:r>
        <w:t>☐  Version mitigation rules and assumptions.</w:t>
      </w:r>
    </w:p>
    <w:p>
      <w:pPr>
        <w:pStyle w:val="Heading2"/>
      </w:pPr>
      <w:r>
        <w:t>14.4 Scenario &amp; Financial Engine</w:t>
      </w:r>
    </w:p>
    <w:p>
      <w:pPr>
        <w:ind w:left="0"/>
      </w:pPr>
      <w:r>
        <w:t>☐  Support Low/Base/High reduction scenarios.</w:t>
      </w:r>
    </w:p>
    <w:p>
      <w:pPr>
        <w:ind w:left="0"/>
      </w:pPr>
      <w:r>
        <w:t>☐  Allow user override with justification and audit history.</w:t>
      </w:r>
    </w:p>
    <w:p>
      <w:pPr>
        <w:ind w:left="0"/>
      </w:pPr>
      <w:r>
        <w:t>☐  Calculate annual tCO₂e reduction, kWh/fuel/material saving, CAPEX, OPEX change, annual saving and simple payback.</w:t>
      </w:r>
    </w:p>
    <w:p>
      <w:pPr>
        <w:ind w:left="0"/>
      </w:pPr>
      <w:r>
        <w:t>☐  Calculate marginal abatement cost (currency/tCO₂e) where inputs allow.</w:t>
      </w:r>
    </w:p>
    <w:p>
      <w:pPr>
        <w:ind w:left="0"/>
      </w:pPr>
      <w:r>
        <w:t>☐  Add sensitivity variables such as tariff, production growth, emission factor and equipment life.</w:t>
      </w:r>
    </w:p>
    <w:p>
      <w:pPr>
        <w:ind w:left="0"/>
      </w:pPr>
      <w:r>
        <w:t>☐  Separate estimated savings from verified realized savings.</w:t>
      </w:r>
    </w:p>
    <w:p>
      <w:pPr>
        <w:pStyle w:val="Heading2"/>
      </w:pPr>
      <w:r>
        <w:t>14.5 Priority Engine</w:t>
      </w:r>
    </w:p>
    <w:p>
      <w:pPr>
        <w:ind w:left="0"/>
      </w:pPr>
      <w:r>
        <w:t>☐  Implement configurable weighted priority scoring.</w:t>
      </w:r>
    </w:p>
    <w:p>
      <w:pPr>
        <w:ind w:left="0"/>
      </w:pPr>
      <w:r>
        <w:t>☐  Expose scoring breakdown in UI/API.</w:t>
      </w:r>
    </w:p>
    <w:p>
      <w:pPr>
        <w:ind w:left="0"/>
      </w:pPr>
      <w:r>
        <w:t>☐  Implement hard gates for insufficient data, safety, technical incompatibility and policy/accounting conflicts.</w:t>
      </w:r>
    </w:p>
    <w:p>
      <w:pPr>
        <w:ind w:left="0"/>
      </w:pPr>
      <w:r>
        <w:t>☐  Prevent “AI confidence” from overriding data-quality confidence.</w:t>
      </w:r>
    </w:p>
    <w:p>
      <w:pPr>
        <w:ind w:left="0"/>
      </w:pPr>
      <w:r>
        <w:t>☐  Allow enterprise administrators to tune weights without modifying code.</w:t>
      </w:r>
    </w:p>
    <w:p>
      <w:pPr>
        <w:pStyle w:val="Heading2"/>
      </w:pPr>
      <w:r>
        <w:t>14.6 Project Workflow</w:t>
      </w:r>
    </w:p>
    <w:p>
      <w:pPr>
        <w:ind w:left="0"/>
      </w:pPr>
      <w:r>
        <w:t>☐  Convert approved recommendation into project without retyping data.</w:t>
      </w:r>
    </w:p>
    <w:p>
      <w:pPr>
        <w:ind w:left="0"/>
      </w:pPr>
      <w:r>
        <w:t>☐  Assign owner, target, budget, dates, vendor, milestones and site.</w:t>
      </w:r>
    </w:p>
    <w:p>
      <w:pPr>
        <w:ind w:left="0"/>
      </w:pPr>
      <w:r>
        <w:t>☐  Lock approved scenario/version as project target.</w:t>
      </w:r>
    </w:p>
    <w:p>
      <w:pPr>
        <w:ind w:left="0"/>
      </w:pPr>
      <w:r>
        <w:t>☐  Create evidence upload checklist and status tracking.</w:t>
      </w:r>
    </w:p>
    <w:p>
      <w:pPr>
        <w:ind w:left="0"/>
      </w:pPr>
      <w:r>
        <w:t>☐  Generate reminders for missing monitoring data or milestones.</w:t>
      </w:r>
    </w:p>
    <w:p>
      <w:pPr>
        <w:pStyle w:val="Heading2"/>
      </w:pPr>
      <w:r>
        <w:t>14.7 MRV &amp; Verification</w:t>
      </w:r>
    </w:p>
    <w:p>
      <w:pPr>
        <w:ind w:left="0"/>
      </w:pPr>
      <w:r>
        <w:t>☐  Create baseline object with boundary, period, normalization variables and hash.</w:t>
      </w:r>
    </w:p>
    <w:p>
      <w:pPr>
        <w:ind w:left="0"/>
      </w:pPr>
      <w:r>
        <w:t>☐  Implement pre/post and counterfactual calculation methods.</w:t>
      </w:r>
    </w:p>
    <w:p>
      <w:pPr>
        <w:ind w:left="0"/>
      </w:pPr>
      <w:r>
        <w:t>☐  Calculate realized reduction and uncertainty/confidence.</w:t>
      </w:r>
    </w:p>
    <w:p>
      <w:pPr>
        <w:ind w:left="0"/>
      </w:pPr>
      <w:r>
        <w:t>☐  Freeze records when submitted for verification.</w:t>
      </w:r>
    </w:p>
    <w:p>
      <w:pPr>
        <w:ind w:left="0"/>
      </w:pPr>
      <w:r>
        <w:t>☐  Provide verifier approve/reject/request-change workflow.</w:t>
      </w:r>
    </w:p>
    <w:p>
      <w:pPr>
        <w:ind w:left="0"/>
      </w:pPr>
      <w:r>
        <w:t>☐  Create immutable verified-reduction record with unique identifier.</w:t>
      </w:r>
    </w:p>
    <w:p>
      <w:pPr>
        <w:ind w:left="0"/>
      </w:pPr>
      <w:r>
        <w:t>☐  Prevent duplicate allocation of the same reduction across overlapping claims.</w:t>
      </w:r>
    </w:p>
    <w:p>
      <w:pPr>
        <w:pStyle w:val="Heading2"/>
      </w:pPr>
      <w:r>
        <w:t>14.8 Passport &amp; Reporting</w:t>
      </w:r>
    </w:p>
    <w:p>
      <w:pPr>
        <w:ind w:left="0"/>
      </w:pPr>
      <w:r>
        <w:t>☐  Link verified reductions to affected CCF/PCF calculation versions.</w:t>
      </w:r>
    </w:p>
    <w:p>
      <w:pPr>
        <w:ind w:left="0"/>
      </w:pPr>
      <w:r>
        <w:t>☐  Show previous and current footprint with change attribution.</w:t>
      </w:r>
    </w:p>
    <w:p>
      <w:pPr>
        <w:ind w:left="0"/>
      </w:pPr>
      <w:r>
        <w:t>☐  Show reduction actions separately from offsets/removals/credits.</w:t>
      </w:r>
    </w:p>
    <w:p>
      <w:pPr>
        <w:ind w:left="0"/>
      </w:pPr>
      <w:r>
        <w:t>☐  Include evidence/verification status in passport view without exposing confidential documents publicly.</w:t>
      </w:r>
    </w:p>
    <w:p>
      <w:pPr>
        <w:ind w:left="0"/>
      </w:pPr>
      <w:r>
        <w:t>☐  Keep full audit trail for every change.</w:t>
      </w:r>
    </w:p>
    <w:p>
      <w:pPr>
        <w:pStyle w:val="Heading1"/>
      </w:pPr>
      <w:r>
        <w:t>15. Minimum Acceptance Criteria for V1</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Capability</w:t>
            </w:r>
          </w:p>
        </w:tc>
        <w:tc>
          <w:tcPr>
            <w:tcW w:type="dxa" w:w="7488"/>
            <w:vAlign w:val="center"/>
            <w:tcMar>
              <w:top w:w="80" w:type="dxa"/>
              <w:start w:w="100" w:type="dxa"/>
              <w:bottom w:w="80" w:type="dxa"/>
              <w:end w:w="100" w:type="dxa"/>
            </w:tcMar>
            <w:shd w:fill="153A5B"/>
          </w:tcPr>
          <w:p>
            <w:pPr>
              <w:spacing w:after="40" w:line="240" w:lineRule="auto"/>
            </w:pPr>
            <w:r/>
            <w:r>
              <w:rPr>
                <w:rFonts w:ascii="Aptos" w:hAnsi="Aptos"/>
                <w:b/>
                <w:color w:val="FFFFFF"/>
                <w:sz w:val="16"/>
              </w:rPr>
              <w:t>V1 acceptance test</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Hotspot detection</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Given sample facility data, engine ranks top emission sources and explains why.</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Rule matching</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At least 20 curated mitigation rules work across office + industrial electricity/fuel.</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Scenario calculation</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Every matched measure produces low/base/high reduction with assumptions.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Financial output</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CAPEX/savings/payback available where inputs exist; unknowns are explicitly marked.</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Explainability</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User can view trigger rule, source data, equation and confidence.</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Project conversion</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Recommendation becomes project with locked target and evidence checklist.</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MRV</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One telemetry-based and one invoice/engineering-based project can calculate realized reduction.</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Verification</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Verifier can approve/reject and approved reduction is frozen.</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Anti-double-counting</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System rejects duplicate allocation of same verified-reduction record.</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Passport update</w:t>
            </w:r>
          </w:p>
        </w:tc>
        <w:tc>
          <w:tcPr>
            <w:tcW w:type="dxa" w:w="748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Verified reduction can update a product/facility footprint with version lineage.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Audit export</w:t>
            </w:r>
          </w:p>
        </w:tc>
        <w:tc>
          <w:tcPr>
            <w:tcW w:type="dxa" w:w="7488"/>
            <w:vAlign w:val="center"/>
            <w:tcMar>
              <w:top w:w="80" w:type="dxa"/>
              <w:start w:w="100" w:type="dxa"/>
              <w:bottom w:w="80" w:type="dxa"/>
              <w:end w:w="100" w:type="dxa"/>
            </w:tcMar>
          </w:tcPr>
          <w:p>
            <w:pPr>
              <w:spacing w:after="40" w:line="240" w:lineRule="auto"/>
            </w:pPr>
            <w:r/>
            <w:r>
              <w:rPr>
                <w:rFonts w:ascii="Aptos" w:hAnsi="Aptos"/>
                <w:b w:val="0"/>
                <w:color w:val="22313F"/>
                <w:sz w:val="16"/>
              </w:rPr>
              <w:t>Export shows source data, assumptions, formulas, project evidence index, verification and allocation.</w:t>
            </w:r>
          </w:p>
        </w:tc>
      </w:tr>
    </w:tbl>
    <w:p>
      <w:pPr>
        <w:spacing w:after="40"/>
      </w:pPr>
    </w:p>
    <w:p>
      <w:pPr>
        <w:pStyle w:val="Heading1"/>
      </w:pPr>
      <w:r>
        <w:t>16. Suggested Product Roadmap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vAlign w:val="center"/>
            <w:tcMar>
              <w:top w:w="80" w:type="dxa"/>
              <w:start w:w="100" w:type="dxa"/>
              <w:bottom w:w="80" w:type="dxa"/>
              <w:end w:w="100" w:type="dxa"/>
            </w:tcMar>
            <w:shd w:fill="153A5B"/>
          </w:tcPr>
          <w:p>
            <w:pPr>
              <w:spacing w:after="40" w:line="240" w:lineRule="auto"/>
            </w:pPr>
            <w:r/>
            <w:r>
              <w:rPr>
                <w:rFonts w:ascii="Aptos" w:hAnsi="Aptos"/>
                <w:b/>
                <w:color w:val="FFFFFF"/>
                <w:sz w:val="16"/>
              </w:rPr>
              <w:t>Phase</w:t>
            </w:r>
          </w:p>
        </w:tc>
        <w:tc>
          <w:tcPr>
            <w:tcW w:type="dxa" w:w="4752"/>
            <w:vAlign w:val="center"/>
            <w:tcMar>
              <w:top w:w="80" w:type="dxa"/>
              <w:start w:w="100" w:type="dxa"/>
              <w:bottom w:w="80" w:type="dxa"/>
              <w:end w:w="100" w:type="dxa"/>
            </w:tcMar>
            <w:shd w:fill="153A5B"/>
          </w:tcPr>
          <w:p>
            <w:pPr>
              <w:spacing w:after="40" w:line="240" w:lineRule="auto"/>
            </w:pPr>
            <w:r/>
            <w:r>
              <w:rPr>
                <w:rFonts w:ascii="Aptos" w:hAnsi="Aptos"/>
                <w:b/>
                <w:color w:val="FFFFFF"/>
                <w:sz w:val="16"/>
              </w:rPr>
              <w:t>Scope</w:t>
            </w:r>
          </w:p>
        </w:tc>
        <w:tc>
          <w:tcPr>
            <w:tcW w:type="dxa" w:w="2736"/>
            <w:vAlign w:val="center"/>
            <w:tcMar>
              <w:top w:w="80" w:type="dxa"/>
              <w:start w:w="100" w:type="dxa"/>
              <w:bottom w:w="80" w:type="dxa"/>
              <w:end w:w="100" w:type="dxa"/>
            </w:tcMar>
            <w:shd w:fill="153A5B"/>
          </w:tcPr>
          <w:p>
            <w:pPr>
              <w:spacing w:after="40" w:line="240" w:lineRule="auto"/>
            </w:pPr>
            <w:r/>
            <w:r>
              <w:rPr>
                <w:rFonts w:ascii="Aptos" w:hAnsi="Aptos"/>
                <w:b/>
                <w:color w:val="FFFFFF"/>
                <w:sz w:val="16"/>
              </w:rPr>
              <w:t>Outcome</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Phase 1 - Rules &amp; scenarios</w:t>
            </w:r>
          </w:p>
        </w:tc>
        <w:tc>
          <w:tcPr>
            <w:tcW w:type="dxa" w:w="4752"/>
            <w:vAlign w:val="center"/>
            <w:tcMar>
              <w:top w:w="80" w:type="dxa"/>
              <w:start w:w="100" w:type="dxa"/>
              <w:bottom w:w="80" w:type="dxa"/>
              <w:end w:w="100" w:type="dxa"/>
            </w:tcMar>
          </w:tcPr>
          <w:p>
            <w:pPr>
              <w:spacing w:after="40" w:line="240" w:lineRule="auto"/>
            </w:pPr>
            <w:r/>
            <w:r>
              <w:rPr>
                <w:rFonts w:ascii="Aptos" w:hAnsi="Aptos"/>
                <w:b w:val="0"/>
                <w:color w:val="22313F"/>
                <w:sz w:val="16"/>
              </w:rPr>
              <w:t>Hotspots, 20-30 curated measures, scoring, scenario/financial model</w:t>
            </w:r>
          </w:p>
        </w:tc>
        <w:tc>
          <w:tcPr>
            <w:tcW w:type="dxa" w:w="2736"/>
            <w:vAlign w:val="center"/>
            <w:tcMar>
              <w:top w:w="80" w:type="dxa"/>
              <w:start w:w="100" w:type="dxa"/>
              <w:bottom w:w="80" w:type="dxa"/>
              <w:end w:w="100" w:type="dxa"/>
            </w:tcMar>
          </w:tcPr>
          <w:p>
            <w:pPr>
              <w:spacing w:after="40" w:line="240" w:lineRule="auto"/>
            </w:pPr>
            <w:r/>
            <w:r>
              <w:rPr>
                <w:rFonts w:ascii="Aptos" w:hAnsi="Aptos"/>
                <w:b w:val="0"/>
                <w:color w:val="22313F"/>
                <w:sz w:val="16"/>
              </w:rPr>
              <w:t>Actionable recommendations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Phase 2 - Projects &amp; MRV</w:t>
            </w:r>
          </w:p>
        </w:tc>
        <w:tc>
          <w:tcPr>
            <w:tcW w:type="dxa" w:w="475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Project workflow, baselines, SaurEdge/interval data, realized savings</w:t>
            </w:r>
          </w:p>
        </w:tc>
        <w:tc>
          <w:tcPr>
            <w:tcW w:type="dxa" w:w="273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Closed-loop mitigation</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Phase 3 - Verification &amp; passport</w:t>
            </w:r>
          </w:p>
        </w:tc>
        <w:tc>
          <w:tcPr>
            <w:tcW w:type="dxa" w:w="4752"/>
            <w:vAlign w:val="center"/>
            <w:tcMar>
              <w:top w:w="80" w:type="dxa"/>
              <w:start w:w="100" w:type="dxa"/>
              <w:bottom w:w="80" w:type="dxa"/>
              <w:end w:w="100" w:type="dxa"/>
            </w:tcMar>
          </w:tcPr>
          <w:p>
            <w:pPr>
              <w:spacing w:after="40" w:line="240" w:lineRule="auto"/>
            </w:pPr>
            <w:r/>
            <w:r>
              <w:rPr>
                <w:rFonts w:ascii="Aptos" w:hAnsi="Aptos"/>
                <w:b w:val="0"/>
                <w:color w:val="22313F"/>
                <w:sz w:val="16"/>
              </w:rPr>
              <w:t>Verifier workflow, verified-reduction registry, PCF/CCF propagation</w:t>
            </w:r>
          </w:p>
        </w:tc>
        <w:tc>
          <w:tcPr>
            <w:tcW w:type="dxa" w:w="2736"/>
            <w:vAlign w:val="center"/>
            <w:tcMar>
              <w:top w:w="80" w:type="dxa"/>
              <w:start w:w="100" w:type="dxa"/>
              <w:bottom w:w="80" w:type="dxa"/>
              <w:end w:w="100" w:type="dxa"/>
            </w:tcMar>
          </w:tcPr>
          <w:p>
            <w:pPr>
              <w:spacing w:after="40" w:line="240" w:lineRule="auto"/>
            </w:pPr>
            <w:r/>
            <w:r>
              <w:rPr>
                <w:rFonts w:ascii="Aptos" w:hAnsi="Aptos"/>
                <w:b w:val="0"/>
                <w:color w:val="22313F"/>
                <w:sz w:val="16"/>
              </w:rPr>
              <w:t>Auditable verified reductions</w:t>
            </w:r>
          </w:p>
        </w:tc>
      </w:tr>
      <w:tr>
        <w:trPr>
          <w:cantSplit/>
        </w:trPr>
        <w:tc>
          <w:tcPr>
            <w:tcW w:type="dxa" w:w="2880"/>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Phase 4 - AI advisor</w:t>
            </w:r>
          </w:p>
        </w:tc>
        <w:tc>
          <w:tcPr>
            <w:tcW w:type="dxa" w:w="475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Natural-language explanations, root-cause suggestions, scenario copilot</w:t>
            </w:r>
          </w:p>
        </w:tc>
        <w:tc>
          <w:tcPr>
            <w:tcW w:type="dxa" w:w="273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Faster user decision-making</w:t>
            </w:r>
          </w:p>
        </w:tc>
      </w:tr>
      <w:tr>
        <w:trPr>
          <w:cantSplit/>
        </w:trPr>
        <w:tc>
          <w:tcPr>
            <w:tcW w:type="dxa" w:w="2880"/>
            <w:vAlign w:val="center"/>
            <w:tcMar>
              <w:top w:w="80" w:type="dxa"/>
              <w:start w:w="100" w:type="dxa"/>
              <w:bottom w:w="80" w:type="dxa"/>
              <w:end w:w="100" w:type="dxa"/>
            </w:tcMar>
          </w:tcPr>
          <w:p>
            <w:pPr>
              <w:spacing w:after="40" w:line="240" w:lineRule="auto"/>
            </w:pPr>
            <w:r/>
            <w:r>
              <w:rPr>
                <w:rFonts w:ascii="Aptos" w:hAnsi="Aptos"/>
                <w:b w:val="0"/>
                <w:color w:val="22313F"/>
                <w:sz w:val="16"/>
              </w:rPr>
              <w:t>Phase 5 - Ecosystem</w:t>
            </w:r>
          </w:p>
        </w:tc>
        <w:tc>
          <w:tcPr>
            <w:tcW w:type="dxa" w:w="4752"/>
            <w:vAlign w:val="center"/>
            <w:tcMar>
              <w:top w:w="80" w:type="dxa"/>
              <w:start w:w="100" w:type="dxa"/>
              <w:bottom w:w="80" w:type="dxa"/>
              <w:end w:w="100" w:type="dxa"/>
            </w:tcMar>
          </w:tcPr>
          <w:p>
            <w:pPr>
              <w:spacing w:after="40" w:line="240" w:lineRule="auto"/>
            </w:pPr>
            <w:r/>
            <w:r>
              <w:rPr>
                <w:rFonts w:ascii="Aptos" w:hAnsi="Aptos"/>
                <w:b w:val="0"/>
                <w:color w:val="22313F"/>
                <w:sz w:val="16"/>
              </w:rPr>
              <w:t>Vendor/ESCO/solar/engineering partner marketplace, APIs, sector packs</w:t>
            </w:r>
          </w:p>
        </w:tc>
        <w:tc>
          <w:tcPr>
            <w:tcW w:type="dxa" w:w="2736"/>
            <w:vAlign w:val="center"/>
            <w:tcMar>
              <w:top w:w="80" w:type="dxa"/>
              <w:start w:w="100" w:type="dxa"/>
              <w:bottom w:w="80" w:type="dxa"/>
              <w:end w:w="100" w:type="dxa"/>
            </w:tcMar>
          </w:tcPr>
          <w:p>
            <w:pPr>
              <w:spacing w:after="40" w:line="240" w:lineRule="auto"/>
            </w:pPr>
            <w:r/>
            <w:r>
              <w:rPr>
                <w:rFonts w:ascii="Aptos" w:hAnsi="Aptos"/>
                <w:b w:val="0"/>
                <w:color w:val="22313F"/>
                <w:sz w:val="16"/>
              </w:rPr>
              <w:t>Execution marketplace and scale</w:t>
            </w:r>
          </w:p>
        </w:tc>
      </w:tr>
    </w:tbl>
    <w:p>
      <w:pPr>
        <w:spacing w:after="40"/>
      </w:pPr>
    </w:p>
    <w:p>
      <w:pPr>
        <w:pStyle w:val="Heading1"/>
      </w:pPr>
      <w:r>
        <w:t>17. AI Mitigation Advisor - Safe Product Boundary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Mar>
              <w:top w:w="80" w:type="dxa"/>
              <w:start w:w="100" w:type="dxa"/>
              <w:bottom w:w="80" w:type="dxa"/>
              <w:end w:w="100" w:type="dxa"/>
            </w:tcMar>
            <w:shd w:fill="153A5B"/>
          </w:tcPr>
          <w:p>
            <w:pPr>
              <w:spacing w:after="40" w:line="240" w:lineRule="auto"/>
            </w:pPr>
            <w:r/>
            <w:r>
              <w:rPr>
                <w:rFonts w:ascii="Aptos" w:hAnsi="Aptos"/>
                <w:b/>
                <w:color w:val="FFFFFF"/>
                <w:sz w:val="16"/>
              </w:rPr>
              <w:t>AI should</w:t>
            </w:r>
          </w:p>
        </w:tc>
        <w:tc>
          <w:tcPr>
            <w:tcW w:type="dxa" w:w="5112"/>
            <w:vAlign w:val="center"/>
            <w:tcMar>
              <w:top w:w="80" w:type="dxa"/>
              <w:start w:w="100" w:type="dxa"/>
              <w:bottom w:w="80" w:type="dxa"/>
              <w:end w:w="100" w:type="dxa"/>
            </w:tcMar>
            <w:shd w:fill="153A5B"/>
          </w:tcPr>
          <w:p>
            <w:pPr>
              <w:spacing w:after="40" w:line="240" w:lineRule="auto"/>
            </w:pPr>
            <w:r/>
            <w:r>
              <w:rPr>
                <w:rFonts w:ascii="Aptos" w:hAnsi="Aptos"/>
                <w:b/>
                <w:color w:val="FFFFFF"/>
                <w:sz w:val="16"/>
              </w:rPr>
              <w:t>AI should NOT</w:t>
            </w:r>
          </w:p>
        </w:tc>
      </w:tr>
      <w:tr>
        <w:trPr>
          <w:cantSplit/>
        </w:trPr>
        <w:tc>
          <w:tcPr>
            <w:tcW w:type="dxa" w:w="5112"/>
            <w:vAlign w:val="center"/>
            <w:tcMar>
              <w:top w:w="80" w:type="dxa"/>
              <w:start w:w="100" w:type="dxa"/>
              <w:bottom w:w="80" w:type="dxa"/>
              <w:end w:w="100" w:type="dxa"/>
            </w:tcMar>
          </w:tcPr>
          <w:p>
            <w:pPr>
              <w:spacing w:after="40" w:line="240" w:lineRule="auto"/>
            </w:pPr>
            <w:r/>
            <w:r>
              <w:rPr>
                <w:rFonts w:ascii="Aptos" w:hAnsi="Aptos"/>
                <w:b w:val="0"/>
                <w:color w:val="22313F"/>
                <w:sz w:val="16"/>
              </w:rPr>
              <w:t>Explain hotspots and rules in simple language</w:t>
            </w:r>
          </w:p>
        </w:tc>
        <w:tc>
          <w:tcPr>
            <w:tcW w:type="dxa" w:w="5112"/>
            <w:vAlign w:val="center"/>
            <w:tcMar>
              <w:top w:w="80" w:type="dxa"/>
              <w:start w:w="100" w:type="dxa"/>
              <w:bottom w:w="80" w:type="dxa"/>
              <w:end w:w="100" w:type="dxa"/>
            </w:tcMar>
          </w:tcPr>
          <w:p>
            <w:pPr>
              <w:spacing w:after="40" w:line="240" w:lineRule="auto"/>
            </w:pPr>
            <w:r/>
            <w:r>
              <w:rPr>
                <w:rFonts w:ascii="Aptos" w:hAnsi="Aptos"/>
                <w:b w:val="0"/>
                <w:color w:val="22313F"/>
                <w:sz w:val="16"/>
              </w:rPr>
              <w:t>Invent equipment specs, prices or savings</w:t>
            </w:r>
          </w:p>
        </w:tc>
      </w:tr>
      <w:tr>
        <w:trPr>
          <w:cantSplit/>
        </w:trPr>
        <w:tc>
          <w:tcPr>
            <w:tcW w:type="dxa" w:w="511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Suggest candidate investigations/actions</w:t>
            </w:r>
          </w:p>
        </w:tc>
        <w:tc>
          <w:tcPr>
            <w:tcW w:type="dxa" w:w="511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Approve engineering/safety-critical changes</w:t>
            </w:r>
          </w:p>
        </w:tc>
      </w:tr>
      <w:tr>
        <w:trPr>
          <w:cantSplit/>
        </w:trPr>
        <w:tc>
          <w:tcPr>
            <w:tcW w:type="dxa" w:w="5112"/>
            <w:vAlign w:val="center"/>
            <w:tcMar>
              <w:top w:w="80" w:type="dxa"/>
              <w:start w:w="100" w:type="dxa"/>
              <w:bottom w:w="80" w:type="dxa"/>
              <w:end w:w="100" w:type="dxa"/>
            </w:tcMar>
          </w:tcPr>
          <w:p>
            <w:pPr>
              <w:spacing w:after="40" w:line="240" w:lineRule="auto"/>
            </w:pPr>
            <w:r/>
            <w:r>
              <w:rPr>
                <w:rFonts w:ascii="Aptos" w:hAnsi="Aptos"/>
                <w:b w:val="0"/>
                <w:color w:val="22313F"/>
                <w:sz w:val="16"/>
              </w:rPr>
              <w:t>Summarize scenarios and trade-offs</w:t>
            </w:r>
          </w:p>
        </w:tc>
        <w:tc>
          <w:tcPr>
            <w:tcW w:type="dxa" w:w="5112"/>
            <w:vAlign w:val="center"/>
            <w:tcMar>
              <w:top w:w="80" w:type="dxa"/>
              <w:start w:w="100" w:type="dxa"/>
              <w:bottom w:w="80" w:type="dxa"/>
              <w:end w:w="100" w:type="dxa"/>
            </w:tcMar>
          </w:tcPr>
          <w:p>
            <w:pPr>
              <w:spacing w:after="40" w:line="240" w:lineRule="auto"/>
            </w:pPr>
            <w:r/>
            <w:r>
              <w:rPr>
                <w:rFonts w:ascii="Aptos" w:hAnsi="Aptos"/>
                <w:b w:val="0"/>
                <w:color w:val="22313F"/>
                <w:sz w:val="16"/>
              </w:rPr>
              <w:t>Label an estimated saving as verified</w:t>
            </w:r>
          </w:p>
        </w:tc>
      </w:tr>
      <w:tr>
        <w:trPr>
          <w:cantSplit/>
        </w:trPr>
        <w:tc>
          <w:tcPr>
            <w:tcW w:type="dxa" w:w="511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Draft mitigation plans and evidence requests</w:t>
            </w:r>
          </w:p>
        </w:tc>
        <w:tc>
          <w:tcPr>
            <w:tcW w:type="dxa" w:w="511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Change locked baselines or verified records silently</w:t>
            </w:r>
          </w:p>
        </w:tc>
      </w:tr>
      <w:tr>
        <w:trPr>
          <w:cantSplit/>
        </w:trPr>
        <w:tc>
          <w:tcPr>
            <w:tcW w:type="dxa" w:w="5112"/>
            <w:vAlign w:val="center"/>
            <w:tcMar>
              <w:top w:w="80" w:type="dxa"/>
              <w:start w:w="100" w:type="dxa"/>
              <w:bottom w:w="80" w:type="dxa"/>
              <w:end w:w="100" w:type="dxa"/>
            </w:tcMar>
          </w:tcPr>
          <w:p>
            <w:pPr>
              <w:spacing w:after="40" w:line="240" w:lineRule="auto"/>
            </w:pPr>
            <w:r/>
            <w:r>
              <w:rPr>
                <w:rFonts w:ascii="Aptos" w:hAnsi="Aptos"/>
                <w:b w:val="0"/>
                <w:color w:val="22313F"/>
                <w:sz w:val="16"/>
              </w:rPr>
              <w:t>Detect missing data and recommend next measurements</w:t>
            </w:r>
          </w:p>
        </w:tc>
        <w:tc>
          <w:tcPr>
            <w:tcW w:type="dxa" w:w="5112"/>
            <w:vAlign w:val="center"/>
            <w:tcMar>
              <w:top w:w="80" w:type="dxa"/>
              <w:start w:w="100" w:type="dxa"/>
              <w:bottom w:w="80" w:type="dxa"/>
              <w:end w:w="100" w:type="dxa"/>
            </w:tcMar>
          </w:tcPr>
          <w:p>
            <w:pPr>
              <w:spacing w:after="40" w:line="240" w:lineRule="auto"/>
            </w:pPr>
            <w:r/>
            <w:r>
              <w:rPr>
                <w:rFonts w:ascii="Aptos" w:hAnsi="Aptos"/>
                <w:b w:val="0"/>
                <w:color w:val="22313F"/>
                <w:sz w:val="16"/>
              </w:rPr>
              <w:t>Hide uncertainty or assumptions</w:t>
            </w:r>
          </w:p>
        </w:tc>
      </w:tr>
      <w:tr>
        <w:trPr>
          <w:cantSplit/>
        </w:trPr>
        <w:tc>
          <w:tcPr>
            <w:tcW w:type="dxa" w:w="511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Help compare options</w:t>
            </w:r>
          </w:p>
        </w:tc>
        <w:tc>
          <w:tcPr>
            <w:tcW w:type="dxa" w:w="511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Count offsets as operational reductions</w:t>
            </w:r>
          </w:p>
        </w:tc>
      </w:tr>
    </w:tbl>
    <w:p>
      <w:pPr>
        <w:spacing w:after="40"/>
      </w:pPr>
    </w:p>
    <w:p>
      <w:pPr>
        <w:pStyle w:val="Heading1"/>
      </w:pPr>
      <w:r>
        <w:t>18. Final Carbon Passport Mitigation Operating Model</w:t>
      </w:r>
    </w:p>
    <w:tbl>
      <w:tblPr>
        <w:tblW w:type="auto" w:w="0"/>
        <w:jc w:val="center"/>
        <w:tblLook w:firstColumn="1" w:firstRow="1" w:lastColumn="0" w:lastRow="0" w:noHBand="0" w:noVBand="1" w:val="04A0"/>
      </w:tblPr>
      <w:tblGrid>
        <w:gridCol w:w="10224"/>
      </w:tblGrid>
      <w:tr>
        <w:trPr>
          <w:cantSplit/>
        </w:trPr>
        <w:tc>
          <w:tcPr>
            <w:tcW w:type="dxa" w:w="10224"/>
            <w:shd w:fill="EAF6EF"/>
            <w:tcMar>
              <w:top w:w="120" w:type="dxa"/>
              <w:start w:w="140" w:type="dxa"/>
              <w:bottom w:w="120" w:type="dxa"/>
              <w:end w:w="140" w:type="dxa"/>
            </w:tcMar>
          </w:tcPr>
          <w:p>
            <w:pPr>
              <w:spacing w:after="40" w:line="240" w:lineRule="auto"/>
            </w:pPr>
            <w:r>
              <w:rPr>
                <w:b/>
                <w:color w:val="2E8B57"/>
                <w:sz w:val="21"/>
              </w:rPr>
              <w:t>The product promise</w:t>
              <w:br/>
            </w:r>
            <w:r>
              <w:rPr>
                <w:color w:val="22313F"/>
                <w:sz w:val="18"/>
              </w:rPr>
              <w:t>Carbon Passport should answer five questions for every material emission: (1) Where did it come from? (2) Why is it high? (3) What can we realistically do about it? (4) What will the action cost and save? (5) Can we prove the reduction actually happened?</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728"/>
            <w:vAlign w:val="center"/>
            <w:tcMar>
              <w:top w:w="80" w:type="dxa"/>
              <w:start w:w="100" w:type="dxa"/>
              <w:bottom w:w="80" w:type="dxa"/>
              <w:end w:w="100" w:type="dxa"/>
            </w:tcMar>
            <w:shd w:fill="153A5B"/>
          </w:tcPr>
          <w:p>
            <w:pPr>
              <w:spacing w:after="40" w:line="240" w:lineRule="auto"/>
            </w:pPr>
            <w:r/>
            <w:r>
              <w:rPr>
                <w:rFonts w:ascii="Aptos" w:hAnsi="Aptos"/>
                <w:b/>
                <w:color w:val="FFFFFF"/>
                <w:sz w:val="16"/>
              </w:rPr>
              <w:t>Stage</w:t>
            </w:r>
          </w:p>
        </w:tc>
        <w:tc>
          <w:tcPr>
            <w:tcW w:type="dxa" w:w="3456"/>
            <w:vAlign w:val="center"/>
            <w:tcMar>
              <w:top w:w="80" w:type="dxa"/>
              <w:start w:w="100" w:type="dxa"/>
              <w:bottom w:w="80" w:type="dxa"/>
              <w:end w:w="100" w:type="dxa"/>
            </w:tcMar>
            <w:shd w:fill="153A5B"/>
          </w:tcPr>
          <w:p>
            <w:pPr>
              <w:spacing w:after="40" w:line="240" w:lineRule="auto"/>
            </w:pPr>
            <w:r/>
            <w:r>
              <w:rPr>
                <w:rFonts w:ascii="Aptos" w:hAnsi="Aptos"/>
                <w:b/>
                <w:color w:val="FFFFFF"/>
                <w:sz w:val="16"/>
              </w:rPr>
              <w:t>User question</w:t>
            </w:r>
          </w:p>
        </w:tc>
        <w:tc>
          <w:tcPr>
            <w:tcW w:type="dxa" w:w="5472"/>
            <w:vAlign w:val="center"/>
            <w:tcMar>
              <w:top w:w="80" w:type="dxa"/>
              <w:start w:w="100" w:type="dxa"/>
              <w:bottom w:w="80" w:type="dxa"/>
              <w:end w:w="100" w:type="dxa"/>
            </w:tcMar>
            <w:shd w:fill="153A5B"/>
          </w:tcPr>
          <w:p>
            <w:pPr>
              <w:spacing w:after="40" w:line="240" w:lineRule="auto"/>
            </w:pPr>
            <w:r/>
            <w:r>
              <w:rPr>
                <w:rFonts w:ascii="Aptos" w:hAnsi="Aptos"/>
                <w:b/>
                <w:color w:val="FFFFFF"/>
                <w:sz w:val="16"/>
              </w:rPr>
              <w:t>Carbon Passport response</w:t>
            </w:r>
          </w:p>
        </w:tc>
      </w:tr>
      <w:tr>
        <w:trPr>
          <w:cantSplit/>
        </w:trPr>
        <w:tc>
          <w:tcPr>
            <w:tcW w:type="dxa" w:w="1728"/>
            <w:vAlign w:val="center"/>
            <w:tcMar>
              <w:top w:w="80" w:type="dxa"/>
              <w:start w:w="100" w:type="dxa"/>
              <w:bottom w:w="80" w:type="dxa"/>
              <w:end w:w="100" w:type="dxa"/>
            </w:tcMar>
          </w:tcPr>
          <w:p>
            <w:pPr>
              <w:spacing w:after="40" w:line="240" w:lineRule="auto"/>
            </w:pPr>
            <w:r/>
            <w:r>
              <w:rPr>
                <w:rFonts w:ascii="Aptos" w:hAnsi="Aptos"/>
                <w:b w:val="0"/>
                <w:color w:val="22313F"/>
                <w:sz w:val="16"/>
              </w:rPr>
              <w:t>Measure</w:t>
            </w:r>
          </w:p>
        </w:tc>
        <w:tc>
          <w:tcPr>
            <w:tcW w:type="dxa" w:w="3456"/>
            <w:vAlign w:val="center"/>
            <w:tcMar>
              <w:top w:w="80" w:type="dxa"/>
              <w:start w:w="100" w:type="dxa"/>
              <w:bottom w:w="80" w:type="dxa"/>
              <w:end w:w="100" w:type="dxa"/>
            </w:tcMar>
          </w:tcPr>
          <w:p>
            <w:pPr>
              <w:spacing w:after="40" w:line="240" w:lineRule="auto"/>
            </w:pPr>
            <w:r/>
            <w:r>
              <w:rPr>
                <w:rFonts w:ascii="Aptos" w:hAnsi="Aptos"/>
                <w:b w:val="0"/>
                <w:color w:val="22313F"/>
                <w:sz w:val="16"/>
              </w:rPr>
              <w:t>What are we emitting?</w:t>
            </w:r>
          </w:p>
        </w:tc>
        <w:tc>
          <w:tcPr>
            <w:tcW w:type="dxa" w:w="5472"/>
            <w:vAlign w:val="center"/>
            <w:tcMar>
              <w:top w:w="80" w:type="dxa"/>
              <w:start w:w="100" w:type="dxa"/>
              <w:bottom w:w="80" w:type="dxa"/>
              <w:end w:w="100" w:type="dxa"/>
            </w:tcMar>
          </w:tcPr>
          <w:p>
            <w:pPr>
              <w:spacing w:after="40" w:line="240" w:lineRule="auto"/>
            </w:pPr>
            <w:r/>
            <w:r>
              <w:rPr>
                <w:rFonts w:ascii="Aptos" w:hAnsi="Aptos"/>
                <w:b w:val="0"/>
                <w:color w:val="22313F"/>
                <w:sz w:val="16"/>
              </w:rPr>
              <w:t>Scopes, PCF/CCF, telemetry, evidence</w:t>
            </w:r>
          </w:p>
        </w:tc>
      </w:tr>
      <w:tr>
        <w:trPr>
          <w:cantSplit/>
        </w:trPr>
        <w:tc>
          <w:tcPr>
            <w:tcW w:type="dxa" w:w="172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Understand</w:t>
            </w:r>
          </w:p>
        </w:tc>
        <w:tc>
          <w:tcPr>
            <w:tcW w:type="dxa" w:w="345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Where is the problem?</w:t>
            </w:r>
          </w:p>
        </w:tc>
        <w:tc>
          <w:tcPr>
            <w:tcW w:type="dxa" w:w="547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Hotspots, intensity, anomalies, drivers</w:t>
            </w:r>
          </w:p>
        </w:tc>
      </w:tr>
      <w:tr>
        <w:trPr>
          <w:cantSplit/>
        </w:trPr>
        <w:tc>
          <w:tcPr>
            <w:tcW w:type="dxa" w:w="1728"/>
            <w:vAlign w:val="center"/>
            <w:tcMar>
              <w:top w:w="80" w:type="dxa"/>
              <w:start w:w="100" w:type="dxa"/>
              <w:bottom w:w="80" w:type="dxa"/>
              <w:end w:w="100" w:type="dxa"/>
            </w:tcMar>
          </w:tcPr>
          <w:p>
            <w:pPr>
              <w:spacing w:after="40" w:line="240" w:lineRule="auto"/>
            </w:pPr>
            <w:r/>
            <w:r>
              <w:rPr>
                <w:rFonts w:ascii="Aptos" w:hAnsi="Aptos"/>
                <w:b w:val="0"/>
                <w:color w:val="22313F"/>
                <w:sz w:val="16"/>
              </w:rPr>
              <w:t>Decide</w:t>
            </w:r>
          </w:p>
        </w:tc>
        <w:tc>
          <w:tcPr>
            <w:tcW w:type="dxa" w:w="3456"/>
            <w:vAlign w:val="center"/>
            <w:tcMar>
              <w:top w:w="80" w:type="dxa"/>
              <w:start w:w="100" w:type="dxa"/>
              <w:bottom w:w="80" w:type="dxa"/>
              <w:end w:w="100" w:type="dxa"/>
            </w:tcMar>
          </w:tcPr>
          <w:p>
            <w:pPr>
              <w:spacing w:after="40" w:line="240" w:lineRule="auto"/>
            </w:pPr>
            <w:r/>
            <w:r>
              <w:rPr>
                <w:rFonts w:ascii="Aptos" w:hAnsi="Aptos"/>
                <w:b w:val="0"/>
                <w:color w:val="22313F"/>
                <w:sz w:val="16"/>
              </w:rPr>
              <w:t>What should we do first?</w:t>
            </w:r>
          </w:p>
        </w:tc>
        <w:tc>
          <w:tcPr>
            <w:tcW w:type="dxa" w:w="5472"/>
            <w:vAlign w:val="center"/>
            <w:tcMar>
              <w:top w:w="80" w:type="dxa"/>
              <w:start w:w="100" w:type="dxa"/>
              <w:bottom w:w="80" w:type="dxa"/>
              <w:end w:w="100" w:type="dxa"/>
            </w:tcMar>
          </w:tcPr>
          <w:p>
            <w:pPr>
              <w:spacing w:after="40" w:line="240" w:lineRule="auto"/>
            </w:pPr>
            <w:r/>
            <w:r>
              <w:rPr>
                <w:rFonts w:ascii="Aptos" w:hAnsi="Aptos"/>
                <w:b w:val="0"/>
                <w:color w:val="22313F"/>
                <w:sz w:val="16"/>
              </w:rPr>
              <w:t>Ranked mitigations + scenarios + economics</w:t>
            </w:r>
          </w:p>
        </w:tc>
      </w:tr>
      <w:tr>
        <w:trPr>
          <w:cantSplit/>
        </w:trPr>
        <w:tc>
          <w:tcPr>
            <w:tcW w:type="dxa" w:w="172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Execute</w:t>
            </w:r>
          </w:p>
        </w:tc>
        <w:tc>
          <w:tcPr>
            <w:tcW w:type="dxa" w:w="345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How do we manage the action?</w:t>
            </w:r>
          </w:p>
        </w:tc>
        <w:tc>
          <w:tcPr>
            <w:tcW w:type="dxa" w:w="547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Project workflow, owner, vendor, milestones</w:t>
            </w:r>
          </w:p>
        </w:tc>
      </w:tr>
      <w:tr>
        <w:trPr>
          <w:cantSplit/>
        </w:trPr>
        <w:tc>
          <w:tcPr>
            <w:tcW w:type="dxa" w:w="1728"/>
            <w:vAlign w:val="center"/>
            <w:tcMar>
              <w:top w:w="80" w:type="dxa"/>
              <w:start w:w="100" w:type="dxa"/>
              <w:bottom w:w="80" w:type="dxa"/>
              <w:end w:w="100" w:type="dxa"/>
            </w:tcMar>
          </w:tcPr>
          <w:p>
            <w:pPr>
              <w:spacing w:after="40" w:line="240" w:lineRule="auto"/>
            </w:pPr>
            <w:r/>
            <w:r>
              <w:rPr>
                <w:rFonts w:ascii="Aptos" w:hAnsi="Aptos"/>
                <w:b w:val="0"/>
                <w:color w:val="22313F"/>
                <w:sz w:val="16"/>
              </w:rPr>
              <w:t>Verify</w:t>
            </w:r>
          </w:p>
        </w:tc>
        <w:tc>
          <w:tcPr>
            <w:tcW w:type="dxa" w:w="3456"/>
            <w:vAlign w:val="center"/>
            <w:tcMar>
              <w:top w:w="80" w:type="dxa"/>
              <w:start w:w="100" w:type="dxa"/>
              <w:bottom w:w="80" w:type="dxa"/>
              <w:end w:w="100" w:type="dxa"/>
            </w:tcMar>
          </w:tcPr>
          <w:p>
            <w:pPr>
              <w:spacing w:after="40" w:line="240" w:lineRule="auto"/>
            </w:pPr>
            <w:r/>
            <w:r>
              <w:rPr>
                <w:rFonts w:ascii="Aptos" w:hAnsi="Aptos"/>
                <w:b w:val="0"/>
                <w:color w:val="22313F"/>
                <w:sz w:val="16"/>
              </w:rPr>
              <w:t>Did it really reduce emissions?</w:t>
            </w:r>
          </w:p>
        </w:tc>
        <w:tc>
          <w:tcPr>
            <w:tcW w:type="dxa" w:w="5472"/>
            <w:vAlign w:val="center"/>
            <w:tcMar>
              <w:top w:w="80" w:type="dxa"/>
              <w:start w:w="100" w:type="dxa"/>
              <w:bottom w:w="80" w:type="dxa"/>
              <w:end w:w="100" w:type="dxa"/>
            </w:tcMar>
          </w:tcPr>
          <w:p>
            <w:pPr>
              <w:spacing w:after="40" w:line="240" w:lineRule="auto"/>
            </w:pPr>
            <w:r/>
            <w:r>
              <w:rPr>
                <w:rFonts w:ascii="Aptos" w:hAnsi="Aptos"/>
                <w:b w:val="0"/>
                <w:color w:val="22313F"/>
                <w:sz w:val="16"/>
              </w:rPr>
              <w:t>MRV, normalized baseline, verifier approval</w:t>
            </w:r>
          </w:p>
        </w:tc>
      </w:tr>
      <w:tr>
        <w:trPr>
          <w:cantSplit/>
        </w:trPr>
        <w:tc>
          <w:tcPr>
            <w:tcW w:type="dxa" w:w="1728"/>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Prove</w:t>
            </w:r>
          </w:p>
        </w:tc>
        <w:tc>
          <w:tcPr>
            <w:tcW w:type="dxa" w:w="3456"/>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How do we communicate it?</w:t>
            </w:r>
          </w:p>
        </w:tc>
        <w:tc>
          <w:tcPr>
            <w:tcW w:type="dxa" w:w="5472"/>
            <w:vAlign w:val="center"/>
            <w:tcMar>
              <w:top w:w="80" w:type="dxa"/>
              <w:start w:w="100" w:type="dxa"/>
              <w:bottom w:w="80" w:type="dxa"/>
              <w:end w:w="100" w:type="dxa"/>
            </w:tcMar>
            <w:shd w:fill="F8FAFC"/>
          </w:tcPr>
          <w:p>
            <w:pPr>
              <w:spacing w:after="40" w:line="240" w:lineRule="auto"/>
            </w:pPr>
            <w:r/>
            <w:r>
              <w:rPr>
                <w:rFonts w:ascii="Aptos" w:hAnsi="Aptos"/>
                <w:b w:val="0"/>
                <w:color w:val="22313F"/>
                <w:sz w:val="16"/>
              </w:rPr>
              <w:t>Verified reduction registry + updated Carbon Passport</w:t>
            </w:r>
          </w:p>
        </w:tc>
      </w:tr>
    </w:tbl>
    <w:p>
      <w:pPr>
        <w:spacing w:after="40"/>
      </w:pPr>
    </w:p>
    <w:p>
      <w:pPr>
        <w:spacing w:before="360"/>
        <w:jc w:val="center"/>
      </w:pPr>
      <w:r>
        <w:rPr>
          <w:b/>
          <w:color w:val="2E8B57"/>
          <w:sz w:val="32"/>
        </w:rPr>
        <w:t>MEASURE → UNDERSTAND → REDUCE → VERIFY → PASSPORT</w:t>
      </w:r>
    </w:p>
    <w:p>
      <w:pPr>
        <w:pStyle w:val="Heading1"/>
      </w:pPr>
      <w:r>
        <w:t>19. Reference Frameworks</w:t>
      </w:r>
    </w:p>
    <w:p>
      <w:pPr>
        <w:pStyle w:val="ListBullet"/>
      </w:pPr>
      <w:r>
        <w:t>GHG Protocol - Standards &amp; Guidance, including Corporate Value Chain (Scope 3) Standard and Scope 2 Guidance. https://ghgprotocol.org/standards-guidance</w:t>
      </w:r>
    </w:p>
    <w:p>
      <w:pPr>
        <w:pStyle w:val="ListBullet"/>
      </w:pPr>
      <w:r>
        <w:t>Science Based Targets initiative - Corporate Net-Zero Standard V2.0, Target Implementation hierarchy (2026). https://standards.sciencebasedtargets.org/chapter/4-target-implementation</w:t>
      </w:r>
    </w:p>
    <w:p>
      <w:pPr>
        <w:pStyle w:val="ListBullet"/>
      </w:pPr>
      <w:r>
        <w:t>ISO 14064-1:2018 - Greenhouse gases - Part 1: Specification with guidance at the organization level for quantification and reporting of greenhouse gas emissions and removals (confirmed current in 2024). https://www.iso.org/standard/66453.html</w:t>
      </w:r>
    </w:p>
    <w:p>
      <w:pPr>
        <w:pStyle w:val="ListBullet"/>
      </w:pPr>
      <w:r>
        <w:t>ISO/TS 14064-4:2025 - Guidance for the application of ISO 14064-1. https://www.iso.org/standard/86109.html</w:t>
      </w:r>
    </w:p>
    <w:p>
      <w:r>
        <w:t>Note: The numerical thresholds and savings percentages in this blueprint are illustrative defaults for product design. Production deployment should allow sector/site configuration and should not present an engineering estimate as a verified result.</w:t>
      </w:r>
    </w:p>
    <w:sectPr w:rsidR="00FC693F" w:rsidRPr="0006063C" w:rsidSect="00034616">
      <w:footerReference w:type="default" r:id="rId9"/>
      <w:head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3"/>
        <w:sz w:val="15"/>
      </w:rPr>
      <w:t>Saurient AI Labs | Carbon Passport - Mitigation &amp; Decarbonization Intelligence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53A5B"/>
        <w:sz w:val="15"/>
      </w:rPr>
      <w:t>CARBON PASSPORT | MITIGATION DECISION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31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A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EA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8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A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PSubtitle">
    <w:name w:val="CP Subtitle"/>
    <w:rPr>
      <w:rFonts w:ascii="Aptos" w:hAnsi="Aptos"/>
      <w:b w:val="0"/>
      <w:color w:val="5A6B7B"/>
      <w:sz w:val="24"/>
    </w:rPr>
  </w:style>
  <w:style w:type="paragraph" w:customStyle="1" w:styleId="CPCallout">
    <w:name w:val="CP Callout"/>
    <w:rPr>
      <w:rFonts w:ascii="Aptos" w:hAnsi="Aptos"/>
      <w:b/>
      <w:color w:val="153A5B"/>
      <w:sz w:val="20"/>
    </w:rPr>
  </w:style>
  <w:style w:type="paragraph" w:customStyle="1" w:styleId="CPSmall">
    <w:name w:val="CP Small"/>
    <w:rPr>
      <w:rFonts w:ascii="Aptos" w:hAnsi="Aptos"/>
      <w:b w:val="0"/>
      <w:color w:val="66778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Passport Mitigation &amp; Decarbonization Decision Engine Blueprint</dc:title>
  <dc:subject>Developer-ready mitigation decision engine architecture, examples and implementation checklist</dc:subject>
  <dc:creator>Saurient AI Labs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