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Carbon Passport</w:t>
      </w:r>
    </w:p>
    <w:p>
      <w:r>
        <w:t>DEMO ONLY — Fictional company and figures. Verification, signatures and accreditation below are simulated. No real assurance or agency acceptance is claimed.</w:t>
      </w:r>
    </w:p>
    <w:p>
      <w:pPr>
        <w:pStyle w:val="Heading2"/>
      </w:pPr>
      <w:r>
        <w:t>Passport identity</w:t>
      </w:r>
    </w:p>
    <w:tbl>
      <w:tblPr>
        <w:tblW w:type="auto" w:w="0"/>
        <w:tblLayout w:type="fixed"/>
        <w:tblLook w:firstColumn="1" w:firstRow="1" w:lastColumn="0" w:lastRow="0" w:noHBand="0" w:noVBand="1" w:val="04A0"/>
      </w:tblPr>
      <w:tblGrid>
        <w:gridCol w:w="2592"/>
        <w:gridCol w:w="7632"/>
      </w:tblGrid>
      <w:tr>
        <w:trPr>
          <w:cantSplit/>
          <w:tblHeader/>
        </w:trPr>
        <w:tc>
          <w:tcPr>
            <w:tcW w:type="dxa" w:w="2592"/>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Field</w:t>
            </w:r>
          </w:p>
        </w:tc>
        <w:tc>
          <w:tcPr>
            <w:tcW w:type="dxa" w:w="7632"/>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Sample value</w:t>
            </w:r>
          </w:p>
        </w:tc>
      </w:tr>
      <w:tr>
        <w:trPr>
          <w:cantSplit/>
        </w:trPr>
        <w:tc>
          <w:tcPr>
            <w:tcW w:type="dxa" w:w="25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Passport ID and version</w:t>
            </w:r>
          </w:p>
        </w:tc>
        <w:tc>
          <w:tcPr>
            <w:tcW w:type="dxa" w:w="76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SCP-DEMO-STEEL-0001  |  Version 1</w:t>
            </w:r>
          </w:p>
        </w:tc>
      </w:tr>
      <w:tr>
        <w:trPr>
          <w:cantSplit/>
        </w:trPr>
        <w:tc>
          <w:tcPr>
            <w:tcW w:type="dxa" w:w="25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Issued on and record status</w:t>
            </w:r>
          </w:p>
        </w:tc>
        <w:tc>
          <w:tcPr>
            <w:tcW w:type="dxa" w:w="76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7 October 2026  |  Issued demo record</w:t>
            </w:r>
          </w:p>
        </w:tc>
      </w:tr>
      <w:tr>
        <w:trPr>
          <w:cantSplit/>
        </w:trPr>
        <w:tc>
          <w:tcPr>
            <w:tcW w:type="dxa" w:w="25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Platform issuer</w:t>
            </w:r>
          </w:p>
        </w:tc>
        <w:tc>
          <w:tcPr>
            <w:tcW w:type="dxa" w:w="76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Saurient Carbon Passport Platform</w:t>
            </w:r>
          </w:p>
        </w:tc>
      </w:tr>
      <w:tr>
        <w:trPr>
          <w:cantSplit/>
        </w:trPr>
        <w:tc>
          <w:tcPr>
            <w:tcW w:type="dxa" w:w="25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Company and registration</w:t>
            </w:r>
          </w:p>
        </w:tc>
        <w:tc>
          <w:tcPr>
            <w:tcW w:type="dxa" w:w="76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Saurient Demo Steel Manufacturing Ltd  |  DEMO-ORG-001</w:t>
            </w:r>
          </w:p>
        </w:tc>
      </w:tr>
      <w:tr>
        <w:trPr>
          <w:cantSplit/>
        </w:trPr>
        <w:tc>
          <w:tcPr>
            <w:tcW w:type="dxa" w:w="25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Country and facility</w:t>
            </w:r>
          </w:p>
        </w:tc>
        <w:tc>
          <w:tcPr>
            <w:tcW w:type="dxa" w:w="76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India  |  Hyderabad Demo Steel Plant  |  FAC-DEMO-001</w:t>
            </w:r>
          </w:p>
        </w:tc>
      </w:tr>
      <w:tr>
        <w:trPr>
          <w:cantSplit/>
        </w:trPr>
        <w:tc>
          <w:tcPr>
            <w:tcW w:type="dxa" w:w="25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Product</w:t>
            </w:r>
          </w:p>
        </w:tc>
        <w:tc>
          <w:tcPr>
            <w:tcW w:type="dxa" w:w="76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Hot rolled steel coil  |  Demo grade S235JR  |  PROD-DEMO-001</w:t>
            </w:r>
          </w:p>
        </w:tc>
      </w:tr>
      <w:tr>
        <w:trPr>
          <w:cantSplit/>
        </w:trPr>
        <w:tc>
          <w:tcPr>
            <w:tcW w:type="dxa" w:w="25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Batch and quantity</w:t>
            </w:r>
          </w:p>
        </w:tc>
        <w:tc>
          <w:tcPr>
            <w:tcW w:type="dxa" w:w="76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BATCH-DEMO-2026-001  |  100 tonnes</w:t>
            </w:r>
          </w:p>
        </w:tc>
      </w:tr>
      <w:tr>
        <w:trPr>
          <w:cantSplit/>
        </w:trPr>
        <w:tc>
          <w:tcPr>
            <w:tcW w:type="dxa" w:w="25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Production and reporting period</w:t>
            </w:r>
          </w:p>
        </w:tc>
        <w:tc>
          <w:tcPr>
            <w:tcW w:type="dxa" w:w="76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1 to 30 September 2026</w:t>
            </w:r>
          </w:p>
        </w:tc>
      </w:tr>
      <w:tr>
        <w:trPr>
          <w:cantSplit/>
        </w:trPr>
        <w:tc>
          <w:tcPr>
            <w:tcW w:type="dxa" w:w="25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Coverage</w:t>
            </w:r>
          </w:p>
        </w:tc>
        <w:tc>
          <w:tcPr>
            <w:tcW w:type="dxa" w:w="76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Illustrative cradle to factory gate product footprint; excludes downstream delivery, use and end of life.</w:t>
            </w:r>
          </w:p>
        </w:tc>
      </w:tr>
    </w:tbl>
    <w:p>
      <w:pPr>
        <w:spacing w:after="0"/>
      </w:pPr>
    </w:p>
    <w:p>
      <w:pPr>
        <w:pStyle w:val="Heading2"/>
      </w:pPr>
      <w:r>
        <w:t>Carbon result</w:t>
      </w:r>
    </w:p>
    <w:tbl>
      <w:tblPr>
        <w:tblW w:type="auto" w:w="0"/>
        <w:tblLayout w:type="fixed"/>
        <w:tblLook w:firstColumn="1" w:firstRow="1" w:lastColumn="0" w:lastRow="0" w:noHBand="0" w:noVBand="1" w:val="04A0"/>
      </w:tblPr>
      <w:tblGrid>
        <w:gridCol w:w="5472"/>
        <w:gridCol w:w="4752"/>
      </w:tblGrid>
      <w:tr>
        <w:trPr>
          <w:cantSplit/>
          <w:tblHeader/>
        </w:trPr>
        <w:tc>
          <w:tcPr>
            <w:tcW w:type="dxa" w:w="5472"/>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Metric</w:t>
            </w:r>
          </w:p>
        </w:tc>
        <w:tc>
          <w:tcPr>
            <w:tcW w:type="dxa" w:w="4752"/>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Illustrative value</w:t>
            </w:r>
          </w:p>
        </w:tc>
      </w:tr>
      <w:tr>
        <w:trPr>
          <w:cantSplit/>
        </w:trPr>
        <w:tc>
          <w:tcPr>
            <w:tcW w:type="dxa" w:w="54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Total product footprint</w:t>
            </w:r>
          </w:p>
        </w:tc>
        <w:tc>
          <w:tcPr>
            <w:tcW w:type="dxa" w:w="475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170.00 tCO2e for 100 tonnes</w:t>
            </w:r>
          </w:p>
        </w:tc>
      </w:tr>
      <w:tr>
        <w:trPr>
          <w:cantSplit/>
        </w:trPr>
        <w:tc>
          <w:tcPr>
            <w:tcW w:type="dxa" w:w="54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Product intensity</w:t>
            </w:r>
          </w:p>
        </w:tc>
        <w:tc>
          <w:tcPr>
            <w:tcW w:type="dxa" w:w="475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1.70 tCO2e per tonne of steel coil</w:t>
            </w:r>
          </w:p>
        </w:tc>
      </w:tr>
      <w:tr>
        <w:trPr>
          <w:cantSplit/>
        </w:trPr>
        <w:tc>
          <w:tcPr>
            <w:tcW w:type="dxa" w:w="54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Manufacturing direct emissions</w:t>
            </w:r>
          </w:p>
        </w:tc>
        <w:tc>
          <w:tcPr>
            <w:tcW w:type="dxa" w:w="475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40.00 tCO2e</w:t>
            </w:r>
          </w:p>
        </w:tc>
      </w:tr>
      <w:tr>
        <w:trPr>
          <w:cantSplit/>
        </w:trPr>
        <w:tc>
          <w:tcPr>
            <w:tcW w:type="dxa" w:w="54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Purchased electricity allocated to batch</w:t>
            </w:r>
          </w:p>
        </w:tc>
        <w:tc>
          <w:tcPr>
            <w:tcW w:type="dxa" w:w="475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30.00 tCO2e</w:t>
            </w:r>
          </w:p>
        </w:tc>
      </w:tr>
      <w:tr>
        <w:trPr>
          <w:cantSplit/>
        </w:trPr>
        <w:tc>
          <w:tcPr>
            <w:tcW w:type="dxa" w:w="54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Upstream materials and inbound transport</w:t>
            </w:r>
          </w:p>
        </w:tc>
        <w:tc>
          <w:tcPr>
            <w:tcW w:type="dxa" w:w="475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100.00 tCO2e</w:t>
            </w:r>
          </w:p>
        </w:tc>
      </w:tr>
    </w:tbl>
    <w:p>
      <w:pPr>
        <w:spacing w:after="0"/>
      </w:pPr>
    </w:p>
    <w:p>
      <w:r>
        <w:t>Method: DEMO-PCF-STEEL v1.0. These components are allocated product inputs, not a complete corporate Scope 1/2/3 inventory. Factors are synthetic and not approved regulatory factors. CBAM embedded emissions have not been calculated or verified for this sample.</w:t>
      </w:r>
    </w:p>
    <w:p>
      <w:pPr>
        <w:pStyle w:val="Heading2"/>
      </w:pPr>
      <w:r>
        <w:t>Simulated verification</w:t>
      </w:r>
    </w:p>
    <w:p>
      <w:r>
        <w:t>Fictional agency: Demo Independent Verification Services. Mock accreditation: DEMO-ACC-001. Report: VR-DEMO-001 dated 6 October 2026. Simulated favourable opinion for SNAP-DEMO-001 under the demo PCF method. No real assurance level. Operator acknowledgement and verifier/reviewer sign-offs are simulated.</w:t>
      </w:r>
    </w:p>
    <w:p>
      <w:r>
        <w:t>Public lookup token: DEMO-PASSPORT-0001. Prototype reference only; no live URL or operational QR supplied.</w:t>
      </w:r>
    </w:p>
    <w:p>
      <w:pPr>
        <w:pStyle w:val="Heading1"/>
        <w:pageBreakBefore/>
      </w:pPr>
      <w:r>
        <w:t>Evidence and Submission Readiness</w:t>
      </w:r>
    </w:p>
    <w:p>
      <w:r>
        <w:t>DEMO ONLY — Every evidence reference below is a fixture identifier. The underlying invoices, readings and signed reports have not been supplied or independently checked.</w:t>
      </w:r>
    </w:p>
    <w:p>
      <w:pPr>
        <w:pStyle w:val="Heading2"/>
      </w:pPr>
      <w:r>
        <w:t>Illustrative calculation trace</w:t>
      </w:r>
    </w:p>
    <w:tbl>
      <w:tblPr>
        <w:tblW w:type="auto" w:w="0"/>
        <w:tblLayout w:type="fixed"/>
        <w:tblLook w:firstColumn="1" w:firstRow="1" w:lastColumn="0" w:lastRow="0" w:noHBand="0" w:noVBand="1" w:val="04A0"/>
      </w:tblPr>
      <w:tblGrid>
        <w:gridCol w:w="5616"/>
        <w:gridCol w:w="1584"/>
        <w:gridCol w:w="3024"/>
      </w:tblGrid>
      <w:tr>
        <w:trPr>
          <w:cantSplit/>
          <w:tblHeader/>
        </w:trPr>
        <w:tc>
          <w:tcPr>
            <w:tcW w:type="dxa" w:w="5616"/>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Input and formula</w:t>
            </w:r>
          </w:p>
        </w:tc>
        <w:tc>
          <w:tcPr>
            <w:tcW w:type="dxa" w:w="158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Result</w:t>
            </w:r>
          </w:p>
        </w:tc>
        <w:tc>
          <w:tcPr>
            <w:tcW w:type="dxa" w:w="302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Evidence fixture</w:t>
            </w:r>
          </w:p>
        </w:tc>
      </w:tr>
      <w:tr>
        <w:trPr>
          <w:cantSplit/>
        </w:trPr>
        <w:tc>
          <w:tcPr>
            <w:tcW w:type="dxa" w:w="56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20,000 L fuel × 2.00 kgCO2e/L ÷ 1,000</w:t>
            </w:r>
          </w:p>
        </w:tc>
        <w:tc>
          <w:tcPr>
            <w:tcW w:type="dxa" w:w="158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40.00 tCO2e</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EV-FUEL-001</w:t>
            </w:r>
          </w:p>
        </w:tc>
      </w:tr>
      <w:tr>
        <w:trPr>
          <w:cantSplit/>
        </w:trPr>
        <w:tc>
          <w:tcPr>
            <w:tcW w:type="dxa" w:w="56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50,000 kWh × 0.60 kgCO2e/kWh ÷ 1,000</w:t>
            </w:r>
          </w:p>
        </w:tc>
        <w:tc>
          <w:tcPr>
            <w:tcW w:type="dxa" w:w="158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30.00 tCO2e</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EV-ELEC-001</w:t>
            </w:r>
          </w:p>
        </w:tc>
      </w:tr>
      <w:tr>
        <w:trPr>
          <w:cantSplit/>
        </w:trPr>
        <w:tc>
          <w:tcPr>
            <w:tcW w:type="dxa" w:w="56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110 t material × 0.85 tCO2e/t</w:t>
            </w:r>
          </w:p>
        </w:tc>
        <w:tc>
          <w:tcPr>
            <w:tcW w:type="dxa" w:w="158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93.50 tCO2e</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EV-SUP-001</w:t>
            </w:r>
          </w:p>
        </w:tc>
      </w:tr>
      <w:tr>
        <w:trPr>
          <w:cantSplit/>
        </w:trPr>
        <w:tc>
          <w:tcPr>
            <w:tcW w:type="dxa" w:w="56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100,000 tonne-km × 0.065 kgCO2e/tonne-km ÷ 1,000</w:t>
            </w:r>
          </w:p>
        </w:tc>
        <w:tc>
          <w:tcPr>
            <w:tcW w:type="dxa" w:w="158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6.50 tCO2e</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EV-LOG-001</w:t>
            </w:r>
          </w:p>
        </w:tc>
      </w:tr>
      <w:tr>
        <w:trPr>
          <w:cantSplit/>
        </w:trPr>
        <w:tc>
          <w:tcPr>
            <w:tcW w:type="dxa" w:w="56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40.00 + 30.00 + 93.50 + 6.50</w:t>
            </w:r>
          </w:p>
        </w:tc>
        <w:tc>
          <w:tcPr>
            <w:tcW w:type="dxa" w:w="158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170.00 tCO2e</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CALC-DEMO-001</w:t>
            </w:r>
          </w:p>
        </w:tc>
      </w:tr>
      <w:tr>
        <w:trPr>
          <w:cantSplit/>
        </w:trPr>
        <w:tc>
          <w:tcPr>
            <w:tcW w:type="dxa" w:w="56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170.00 tCO2e ÷ 100 t output</w:t>
            </w:r>
          </w:p>
        </w:tc>
        <w:tc>
          <w:tcPr>
            <w:tcW w:type="dxa" w:w="158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1.70 tCO2e/t</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EV-PROD-001</w:t>
            </w:r>
          </w:p>
        </w:tc>
      </w:tr>
    </w:tbl>
    <w:p>
      <w:pPr>
        <w:spacing w:after="0"/>
      </w:pPr>
    </w:p>
    <w:p>
      <w:r>
        <w:t>Rulebook: RB-DEMO-PCF v1.0. Factor set: FS-SYNTHETIC v1.0. Input snapshot: SNAP-DEMO-001. Manifest: MAN-DEMO-001. Allocation assumption: all listed activity is assigned to this batch; 110 tonnes input yields 100 tonnes output and 10 tonnes recorded process loss. No co-products are represented.</w:t>
      </w:r>
    </w:p>
    <w:p>
      <w:pPr>
        <w:pStyle w:val="Heading2"/>
      </w:pPr>
      <w:r>
        <w:t>Data quality and limitations</w:t>
      </w:r>
    </w:p>
    <w:p>
      <w:r>
        <w:t>All values are synthetic. Real primary-data coverage and uncertainty are not assessed. No real evidence hash or digital signature is asserted. Document presence, authenticity, meter calibration, factor suitability and supplier accuracy require testing with real records. No offsets or credits are subtracted from the footprint.</w:t>
      </w:r>
    </w:p>
    <w:p>
      <w:pPr>
        <w:pStyle w:val="Heading2"/>
      </w:pPr>
      <w:r>
        <w:t>Checklist and submission states</w:t>
      </w:r>
    </w:p>
    <w:tbl>
      <w:tblPr>
        <w:tblW w:type="auto" w:w="0"/>
        <w:tblLayout w:type="fixed"/>
        <w:tblLook w:firstColumn="1" w:firstRow="1" w:lastColumn="0" w:lastRow="0" w:noHBand="0" w:noVBand="1" w:val="04A0"/>
      </w:tblPr>
      <w:tblGrid>
        <w:gridCol w:w="2736"/>
        <w:gridCol w:w="7488"/>
      </w:tblGrid>
      <w:tr>
        <w:trPr>
          <w:cantSplit/>
          <w:tblHeader/>
        </w:trPr>
        <w:tc>
          <w:tcPr>
            <w:tcW w:type="dxa" w:w="2736"/>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Status group</w:t>
            </w:r>
          </w:p>
        </w:tc>
        <w:tc>
          <w:tcPr>
            <w:tcW w:type="dxa" w:w="7488"/>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Sample state and reason</w:t>
            </w:r>
          </w:p>
        </w:tc>
      </w:tr>
      <w:tr>
        <w:trPr>
          <w:cantSplit/>
        </w:trPr>
        <w:tc>
          <w:tcPr>
            <w:tcW w:type="dxa" w:w="27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Automated checks</w:t>
            </w:r>
          </w:p>
        </w:tc>
        <w:tc>
          <w:tcPr>
            <w:tcW w:type="dxa" w:w="74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Expected to pass for the complete fixture; not executed in the platform.</w:t>
            </w:r>
          </w:p>
        </w:tc>
      </w:tr>
      <w:tr>
        <w:trPr>
          <w:cantSplit/>
        </w:trPr>
        <w:tc>
          <w:tcPr>
            <w:tcW w:type="dxa" w:w="27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Independent verification</w:t>
            </w:r>
          </w:p>
        </w:tc>
        <w:tc>
          <w:tcPr>
            <w:tcW w:type="dxa" w:w="74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Simulated only; no real verification opinion.</w:t>
            </w:r>
          </w:p>
        </w:tc>
      </w:tr>
      <w:tr>
        <w:trPr>
          <w:cantSplit/>
        </w:trPr>
        <w:tc>
          <w:tcPr>
            <w:tcW w:type="dxa" w:w="27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Demo PCF evidence pack</w:t>
            </w:r>
          </w:p>
        </w:tc>
        <w:tc>
          <w:tcPr>
            <w:tcW w:type="dxa" w:w="74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Preview only; referenced evidence fixtures are not attached.</w:t>
            </w:r>
          </w:p>
        </w:tc>
      </w:tr>
      <w:tr>
        <w:trPr>
          <w:cantSplit/>
        </w:trPr>
        <w:tc>
          <w:tcPr>
            <w:tcW w:type="dxa" w:w="27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EU CBAM readiness</w:t>
            </w:r>
          </w:p>
        </w:tc>
        <w:tc>
          <w:tcPr>
            <w:tcW w:type="dxa" w:w="74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Not ready: CBAM calculation, applicable checklist, qualified verifier report and recipient package are missing.</w:t>
            </w:r>
          </w:p>
        </w:tc>
      </w:tr>
      <w:tr>
        <w:trPr>
          <w:cantSplit/>
        </w:trPr>
        <w:tc>
          <w:tcPr>
            <w:tcW w:type="dxa" w:w="27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Submission and recipient response</w:t>
            </w:r>
          </w:p>
        </w:tc>
        <w:tc>
          <w:tcPr>
            <w:tcW w:type="dxa" w:w="74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Not submitted  |  No external response or receipt.</w:t>
            </w:r>
          </w:p>
        </w:tc>
      </w:tr>
      <w:tr>
        <w:trPr>
          <w:cantSplit/>
        </w:trPr>
        <w:tc>
          <w:tcPr>
            <w:tcW w:type="dxa" w:w="27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Carbon credits</w:t>
            </w:r>
          </w:p>
        </w:tc>
        <w:tc>
          <w:tcPr>
            <w:tcW w:type="dxa" w:w="74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Not assessed  |  No project registration, issuance or credit serial numbers.</w:t>
            </w:r>
          </w:p>
        </w:tc>
      </w:tr>
    </w:tbl>
    <w:p>
      <w:pPr>
        <w:spacing w:after="0"/>
      </w:pPr>
    </w:p>
    <w:p>
      <w:r>
        <w:t>Issued through Saurient Carbon Passport Platform. Verification applies only to the stated coverage and linked verification report. This passport is not government approval, a CBAM certificate or a carbon credit. This specimen is a demo record and is not for regulatory submission.</w:t>
      </w:r>
    </w:p>
    <w:p>
      <w:pPr>
        <w:pStyle w:val="Heading1"/>
        <w:pageBreakBefore/>
      </w:pPr>
      <w:r>
        <w:t>Developer Tests for Calculation and Evidence</w:t>
      </w:r>
    </w:p>
    <w:p>
      <w:r>
        <w:t>These are test cases and expected outcomes, not executed results. Dili should load the specimen as seed data, apply each mutation in an isolated test and record Actual result, Pass or Fail, evidence and test date. Restore the complete fixture between cases.</w:t>
      </w:r>
    </w:p>
    <w:tbl>
      <w:tblPr>
        <w:tblW w:type="auto" w:w="0"/>
        <w:tblLayout w:type="fixed"/>
        <w:tblLook w:firstColumn="1" w:firstRow="1" w:lastColumn="0" w:lastRow="0" w:noHBand="0" w:noVBand="1" w:val="04A0"/>
      </w:tblPr>
      <w:tblGrid>
        <w:gridCol w:w="1368"/>
        <w:gridCol w:w="3960"/>
        <w:gridCol w:w="4896"/>
      </w:tblGrid>
      <w:tr>
        <w:trPr>
          <w:cantSplit/>
          <w:tblHeader/>
        </w:trPr>
        <w:tc>
          <w:tcPr>
            <w:tcW w:type="dxa" w:w="1368"/>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Test</w:t>
            </w:r>
          </w:p>
        </w:tc>
        <w:tc>
          <w:tcPr>
            <w:tcW w:type="dxa" w:w="396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Mutation or action</w:t>
            </w:r>
          </w:p>
        </w:tc>
        <w:tc>
          <w:tcPr>
            <w:tcW w:type="dxa" w:w="4896"/>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Expected outcome</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T01 Complete fixture</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Load all fixture inputs and evidence metadata.</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170.00 tCO2e total and 1.70 tCO2e/t intensity; demo checks pass, with demo labels retained.</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T02 Missing supplier evidence</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Remove EV-SUP-001 while its evidence requirement is mandatory.</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Missing evidence; review submission blocked; no substitute evidence invented.</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T03 Meter versus invoice</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Set meter to 50,000 kWh and bill to 60,000 kWh; use 5 percent bill-relative tolerance.</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16.67 percent discrepancy raises a finding; neither input is silently overwritten.</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T04 Invalid unit</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Replace kWh with an unsupported unit on the electricity input.</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Calculation stops with an actionable unit error.</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T05 Zero production</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Set output quantity to 0 tonnes.</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Intensity calculation blocked; no infinity or zero intensity published.</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T06 Uncertain extraction</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AI proposes 50,000 kWh but flags uncertainty or conflicting source text.</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Source reference and uncertainty shown; operator confirmation required.</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T07 Supplier correction</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Change material factor from 0.85 to 0.80 tCO2e/t in a new approved factor revision.</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New draft total 164.50 tCO2e and intensity 1.645 tCO2e/t; old snapshot remains 170.00 and 1.70.</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T08 Permitted estimate</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Mark transport data as estimated and cite a permitted demo estimation rule.</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Estimate, source and assumptions visible; readiness follows the rule, not silent approval.</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T09 Duplicate input</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Import the same source record twice.</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Duplicate detected or idempotently ignored; total remains 170.00 tCO2e.</w:t>
            </w:r>
          </w:p>
        </w:tc>
      </w:tr>
    </w:tbl>
    <w:p>
      <w:pPr>
        <w:spacing w:after="0"/>
      </w:pPr>
    </w:p>
    <w:p>
      <w:pPr>
        <w:pStyle w:val="Heading2"/>
      </w:pPr>
      <w:r>
        <w:t>What to attach to test results</w:t>
      </w:r>
    </w:p>
    <w:p>
      <w:r>
        <w:t>Record case ID, build or commit, role, seed revision, changed field, expected result, actual result and screenshot or log reference. Compare numeric results before display rounding. None of these cases has been executed against the carbon-poc repository for this document.</w:t>
      </w:r>
    </w:p>
    <w:p>
      <w:pPr>
        <w:pStyle w:val="Heading1"/>
        <w:pageBreakBefore/>
      </w:pPr>
      <w:r>
        <w:t>Developer Tests for Issuance and Credit Claims</w:t>
      </w:r>
    </w:p>
    <w:p>
      <w:r>
        <w:t>Continue with the same base specimen. Use seeded roles only for PoC testing. A successful simulated test does not establish real accreditation, assurance or agency approval.</w:t>
      </w:r>
    </w:p>
    <w:tbl>
      <w:tblPr>
        <w:tblW w:type="auto" w:w="0"/>
        <w:tblLayout w:type="fixed"/>
        <w:tblLook w:firstColumn="1" w:firstRow="1" w:lastColumn="0" w:lastRow="0" w:noHBand="0" w:noVBand="1" w:val="04A0"/>
      </w:tblPr>
      <w:tblGrid>
        <w:gridCol w:w="1368"/>
        <w:gridCol w:w="3960"/>
        <w:gridCol w:w="4896"/>
      </w:tblGrid>
      <w:tr>
        <w:trPr>
          <w:cantSplit/>
          <w:tblHeader/>
        </w:trPr>
        <w:tc>
          <w:tcPr>
            <w:tcW w:type="dxa" w:w="1368"/>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Test</w:t>
            </w:r>
          </w:p>
        </w:tc>
        <w:tc>
          <w:tcPr>
            <w:tcW w:type="dxa" w:w="396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Mutation or action</w:t>
            </w:r>
          </w:p>
        </w:tc>
        <w:tc>
          <w:tcPr>
            <w:tcW w:type="dxa" w:w="4896"/>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Expected outcome</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T10 Approval missing</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Attempt issuance without required verifier or independent review sign-off.</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Server rejects issuance and lists unmet requirements.</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T11 Wrong report coverage</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Attach a report for another period or snapshot.</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Report cannot approve this passport; coverage mismatch shown.</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T12 Wrong accreditation</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Assign a verifier whose configured scope does not cover the selected framework.</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Framework-specific verification claim blocked.</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T13 Operator self approval</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Use the operator role to approve verification.</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Backend rejects action and logs attempted approval.</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T14 Duplicate issuance</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Send the same approved issuance request twice; retry after PDF failure.</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Only one passport exists; PDF retry uses the same snapshot and version.</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T15 Superseded version</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Approve T07 calculation and issue a replacement version.</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Old record remains unchanged and shows Superseded with replacement reference.</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T16 Revoked passport</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Authorised role revokes a specimen passport.</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Public lookup shows Revoked and its reason where publishable; no current validity claim.</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T17 Cross tenant access</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Another tenant requests protected evidence or export.</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Access denied; no evidence disclosure.</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T18 False agency acceptance</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Try setting Accepted without a supporting external response.</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Action blocked; export/download alone cannot mean submitted or accepted.</w:t>
            </w:r>
          </w:p>
        </w:tc>
      </w:tr>
      <w:tr>
        <w:trPr>
          <w:cantSplit/>
        </w:trPr>
        <w:tc>
          <w:tcPr>
            <w:tcW w:type="dxa" w:w="13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T19 Footprint to credits</w:t>
            </w:r>
          </w:p>
        </w:tc>
        <w:tc>
          <w:tcPr>
            <w:tcW w:type="dxa" w:w="39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Try converting the 0.30 tCO2e/t improvement from a 2.00 baseline into issued credits.</w:t>
            </w:r>
          </w:p>
        </w:tc>
        <w:tc>
          <w:tcPr>
            <w:tcW w:type="dxa" w:w="489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No credits issued; route to separate programme eligibility and project assessment.</w:t>
            </w:r>
          </w:p>
        </w:tc>
      </w:tr>
      <w:tr>
        <w:trPr>
          <w:cantSplit/>
        </w:trPr>
        <w:tc>
          <w:tcPr>
            <w:tcW w:type="dxa" w:w="13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T20 Credit serial duplication</w:t>
            </w:r>
          </w:p>
        </w:tc>
        <w:tc>
          <w:tcPr>
            <w:tcW w:type="dxa" w:w="39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Load the same external issuance serial range twice.</w:t>
            </w:r>
          </w:p>
        </w:tc>
        <w:tc>
          <w:tcPr>
            <w:tcW w:type="dxa" w:w="489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Duplicate registry credit record rejected or linked idempotently; no extra quantity.</w:t>
            </w:r>
          </w:p>
        </w:tc>
      </w:tr>
    </w:tbl>
    <w:p>
      <w:pPr>
        <w:spacing w:after="0"/>
      </w:pPr>
    </w:p>
    <w:p>
      <w:pPr>
        <w:pStyle w:val="Heading2"/>
      </w:pPr>
      <w:r>
        <w:t>PoC demonstration sequence</w:t>
      </w:r>
    </w:p>
    <w:p>
      <w:r>
        <w:t>Show the complete fixture, remove supplier evidence, resolve the finding, perform separate simulated verifier and reviewer approvals, issue once, correct an input and show a replacement. Finish with the old public token status and the separate credit-project preview. Keep the real CBAM readiness state Not ready until its specific requirements are satisfied.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data and simulated verification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SAURIENT  |  DEMO PASSPORT  |  NOT FOR REGULATORY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