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Verified Carbon Passport Implementation</w:t>
      </w:r>
    </w:p>
    <w:p>
      <w:r>
        <w:t>Saurient Carbon Passport Platform</w:t>
        <w:br/>
        <w:t>Developer specification for Dili</w:t>
        <w:br/>
        <w:t>Requested by Santhosh Samudrala  |  Version 1.0  |  7 October 2026</w:t>
      </w:r>
    </w:p>
    <w:p>
      <w:pPr>
        <w:pStyle w:val="Heading2"/>
      </w:pPr>
      <w:r>
        <w:t>Development objective</w:t>
      </w:r>
    </w:p>
    <w:p>
      <w:r>
        <w:t>Create a versioned carbon passport after a defined emissions calculation has completed its checks and received the required independent verification and review. Provide a two-page PDF, an online passport, a protected evidence pack and a public QR page. Keep verification, submission readiness and agency response separate.</w:t>
      </w:r>
    </w:p>
    <w:p>
      <w:r>
        <w:t>The passport summarises a verified record. It must not claim government approval, CBAM certificate issuance or carbon-credit issuance unless the relevant external process has produced an authoritative record. A generic product footprint verification must not be presented as CBAM verification.</w:t>
      </w:r>
    </w:p>
    <w:p>
      <w:pPr>
        <w:pStyle w:val="Heading2"/>
      </w:pPr>
      <w:r>
        <w:t>First release scope</w:t>
      </w:r>
    </w:p>
    <w:p>
      <w:r>
        <w:t>Implement one organisation, one facility, one product and one batch or declared reporting period. Use seeded operator and verifier accounts for the PoC; label simulated agency responses and demo signatures. Production signatures and accreditation checks require real authorised records.</w:t>
      </w:r>
    </w:p>
    <w:tbl>
      <w:tblPr>
        <w:tblW w:type="auto" w:w="0"/>
        <w:tblLayout w:type="fixed"/>
        <w:tblLook w:firstColumn="1" w:firstRow="1" w:lastColumn="0" w:lastRow="0" w:noHBand="0" w:noVBand="1" w:val="04A0"/>
      </w:tblPr>
      <w:tblGrid>
        <w:gridCol w:w="2232"/>
        <w:gridCol w:w="7992"/>
      </w:tblGrid>
      <w:tr>
        <w:trPr>
          <w:cantSplit/>
          <w:tblHeader/>
        </w:trPr>
        <w:tc>
          <w:tcPr>
            <w:tcW w:type="dxa" w:w="2232"/>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Deliverable</w:t>
            </w:r>
          </w:p>
        </w:tc>
        <w:tc>
          <w:tcPr>
            <w:tcW w:type="dxa" w:w="7992"/>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Purpose</w:t>
            </w:r>
          </w:p>
        </w:tc>
      </w:tr>
      <w:tr>
        <w:trPr>
          <w:cantSplit/>
        </w:trPr>
        <w:tc>
          <w:tcPr>
            <w:tcW w:type="dxa" w:w="22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Passport PDF</w:t>
            </w:r>
          </w:p>
        </w:tc>
        <w:tc>
          <w:tcPr>
            <w:tcW w:type="dxa" w:w="799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Two-page summary of identity, results, method, verification and readiness.</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Online passport</w:t>
            </w:r>
          </w:p>
        </w:tc>
        <w:tc>
          <w:tcPr>
            <w:tcW w:type="dxa" w:w="79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Authenticated detail with calculation trace and evidence access.</w:t>
            </w:r>
          </w:p>
        </w:tc>
      </w:tr>
      <w:tr>
        <w:trPr>
          <w:cantSplit/>
        </w:trPr>
        <w:tc>
          <w:tcPr>
            <w:tcW w:type="dxa" w:w="22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Public QR page</w:t>
            </w:r>
          </w:p>
        </w:tc>
        <w:tc>
          <w:tcPr>
            <w:tcW w:type="dxa" w:w="799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Minimal view of passport version, current status and verification coverage.</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Evidence pack</w:t>
            </w:r>
          </w:p>
        </w:tc>
        <w:tc>
          <w:tcPr>
            <w:tcW w:type="dxa" w:w="79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Protected manifest and authorised supporting documents for the recipient.</w:t>
            </w:r>
          </w:p>
        </w:tc>
      </w:tr>
      <w:tr>
        <w:trPr>
          <w:cantSplit/>
        </w:trPr>
        <w:tc>
          <w:tcPr>
            <w:tcW w:type="dxa" w:w="22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Submission record</w:t>
            </w:r>
          </w:p>
        </w:tc>
        <w:tc>
          <w:tcPr>
            <w:tcW w:type="dxa" w:w="799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Records export or submission, receipt and external response.</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Credit project preview</w:t>
            </w:r>
          </w:p>
        </w:tc>
        <w:tc>
          <w:tcPr>
            <w:tcW w:type="dxa" w:w="79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Separate workflow for potential reduction or removal projects.</w:t>
            </w:r>
          </w:p>
        </w:tc>
      </w:tr>
    </w:tbl>
    <w:p>
      <w:pPr>
        <w:spacing w:after="0"/>
      </w:pPr>
    </w:p>
    <w:p>
      <w:pPr>
        <w:pStyle w:val="Heading2"/>
      </w:pPr>
      <w:r>
        <w:t>Regulatory boundaries</w:t>
      </w:r>
    </w:p>
    <w:p>
      <w:r>
        <w:t>For EU CBAM, the European Commission describes a process in which an accredited verifier assesses monitoring, calculations and evidence, issues a verification report and the authorised CBAM declarant uses verified information in its declaration. Saurient must support the applicable process without replacing that declaration. [1]</w:t>
      </w:r>
    </w:p>
    <w:p>
      <w:r>
        <w:t>Store separate method profiles for PCF, organisational accounting and each regulatory framework. Reuse source evidence where valid, but do not equate their boundaries or totals. Check the verifier accreditation for the exact framework, sector and applicable period before making a verification claim.</w:t>
      </w:r>
    </w:p>
    <w:p>
      <w:pPr>
        <w:pStyle w:val="Heading2"/>
      </w:pPr>
      <w:r>
        <w:t>Status ownership</w:t>
      </w:r>
    </w:p>
    <w:p>
      <w:r>
        <w:t>Saurient owns preparation and record management. The verifier owns the signed verification conclusion. The recipient or authority owns its response. The crediting programme or registry owns credit issuance. The application must preserve those distinctions in labels and permissions.</w:t>
      </w:r>
    </w:p>
    <w:p>
      <w:pPr>
        <w:pStyle w:val="Heading1"/>
        <w:pageBreakBefore/>
      </w:pPr>
      <w:r>
        <w:t>Passport Content and Visual Layout</w:t>
      </w:r>
    </w:p>
    <w:p>
      <w:r>
        <w:t>Use Letter portrait pages, a white background, navy identity header and restrained mint accents. Show large carbon figures with units and boundary immediately beside them. Do not use government seals or third-party logos without authorisation.</w:t>
      </w:r>
    </w:p>
    <w:p>
      <w:pPr>
        <w:pStyle w:val="Heading2"/>
      </w:pPr>
      <w:r>
        <w:t>Page 1 verified record</w:t>
      </w:r>
    </w:p>
    <w:tbl>
      <w:tblPr>
        <w:tblW w:type="auto" w:w="0"/>
        <w:tblLayout w:type="fixed"/>
        <w:tblLook w:firstColumn="1" w:firstRow="1" w:lastColumn="0" w:lastRow="0" w:noHBand="0" w:noVBand="1" w:val="04A0"/>
      </w:tblPr>
      <w:tblGrid>
        <w:gridCol w:w="2016"/>
        <w:gridCol w:w="8208"/>
      </w:tblGrid>
      <w:tr>
        <w:trPr>
          <w:cantSplit/>
          <w:tblHeader/>
        </w:trPr>
        <w:tc>
          <w:tcPr>
            <w:tcW w:type="dxa" w:w="2016"/>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Block</w:t>
            </w:r>
          </w:p>
        </w:tc>
        <w:tc>
          <w:tcPr>
            <w:tcW w:type="dxa" w:w="8208"/>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Required fields</w:t>
            </w:r>
          </w:p>
        </w:tc>
      </w:tr>
      <w:tr>
        <w:trPr>
          <w:cantSplit/>
        </w:trPr>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Identity</w:t>
            </w:r>
          </w:p>
        </w:tc>
        <w:tc>
          <w:tcPr>
            <w:tcW w:type="dxa" w:w="820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Passport ID, version, issue date, platform issuer, record status and superseded-by reference.</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Organisation</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Legal name, registration reference, country, installation or facility ID and location.</w:t>
            </w:r>
          </w:p>
        </w:tc>
      </w:tr>
      <w:tr>
        <w:trPr>
          <w:cantSplit/>
        </w:trPr>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Product and coverage</w:t>
            </w:r>
          </w:p>
        </w:tc>
        <w:tc>
          <w:tcPr>
            <w:tcW w:type="dxa" w:w="820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Product name, grade, internal code, commodity classification where relevant, batch or period, output quantity and unit.</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Carbon results</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Total and intensity; declared calculation boundary; relevant direct, indirect or lifecycle components; gross results and any separate claims.</w:t>
            </w:r>
          </w:p>
        </w:tc>
      </w:tr>
      <w:tr>
        <w:trPr>
          <w:cantSplit/>
        </w:trPr>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Method</w:t>
            </w:r>
          </w:p>
        </w:tc>
        <w:tc>
          <w:tcPr>
            <w:tcW w:type="dxa" w:w="820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Standard or regulatory profile, version, reporting period, calculation ID, boundary and material exclusions.</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Verification</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Agency, accreditation reference and scope, report ID, date, assurance level, actual opinion and verified coverage.</w:t>
            </w:r>
          </w:p>
        </w:tc>
      </w:tr>
      <w:tr>
        <w:trPr>
          <w:cantSplit/>
        </w:trPr>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Authentication</w:t>
            </w:r>
          </w:p>
        </w:tc>
        <w:tc>
          <w:tcPr>
            <w:tcW w:type="dxa" w:w="820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Company declaration, authorised verification-report reference, signature status and public QR URL.</w:t>
            </w:r>
          </w:p>
        </w:tc>
      </w:tr>
    </w:tbl>
    <w:p>
      <w:pPr>
        <w:spacing w:after="0"/>
      </w:pPr>
    </w:p>
    <w:p>
      <w:pPr>
        <w:pStyle w:val="Heading2"/>
      </w:pPr>
      <w:r>
        <w:t>Page 2 evidence and readiness</w:t>
      </w:r>
    </w:p>
    <w:tbl>
      <w:tblPr>
        <w:tblW w:type="auto" w:w="0"/>
        <w:tblLayout w:type="fixed"/>
        <w:tblLook w:firstColumn="1" w:firstRow="1" w:lastColumn="0" w:lastRow="0" w:noHBand="0" w:noVBand="1" w:val="04A0"/>
      </w:tblPr>
      <w:tblGrid>
        <w:gridCol w:w="2016"/>
        <w:gridCol w:w="8208"/>
      </w:tblGrid>
      <w:tr>
        <w:trPr>
          <w:cantSplit/>
          <w:tblHeader/>
        </w:trPr>
        <w:tc>
          <w:tcPr>
            <w:tcW w:type="dxa" w:w="2016"/>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Block</w:t>
            </w:r>
          </w:p>
        </w:tc>
        <w:tc>
          <w:tcPr>
            <w:tcW w:type="dxa" w:w="8208"/>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Required fields</w:t>
            </w:r>
          </w:p>
        </w:tc>
      </w:tr>
      <w:tr>
        <w:trPr>
          <w:cantSplit/>
        </w:trPr>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Data quality</w:t>
            </w:r>
          </w:p>
        </w:tc>
        <w:tc>
          <w:tcPr>
            <w:tcW w:type="dxa" w:w="820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Primary data definition and coverage, estimates, uncertainty and limitations; avoid an unexplained quality score.</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Traceability</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Frozen snapshot ID, formula and factor versions, evidence manifest ID and document references.</w:t>
            </w:r>
          </w:p>
        </w:tc>
      </w:tr>
      <w:tr>
        <w:trPr>
          <w:cantSplit/>
        </w:trPr>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Checklist</w:t>
            </w:r>
          </w:p>
        </w:tc>
        <w:tc>
          <w:tcPr>
            <w:tcW w:type="dxa" w:w="820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Applicable checks, blockers, unresolved matters, checklist version and readiness evaluation time.</w:t>
            </w:r>
          </w:p>
        </w:tc>
      </w:tr>
      <w:tr>
        <w:trPr>
          <w:cantSplit/>
        </w:trPr>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Regulatory profile</w:t>
            </w:r>
          </w:p>
        </w:tc>
        <w:tc>
          <w:tcPr>
            <w:tcW w:type="dxa" w:w="82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Jurisdiction, framework, reporting coverage and commodity classification; framework-specific result.</w:t>
            </w:r>
          </w:p>
        </w:tc>
      </w:tr>
      <w:tr>
        <w:trPr>
          <w:cantSplit/>
        </w:trPr>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Submission</w:t>
            </w:r>
          </w:p>
        </w:tc>
        <w:tc>
          <w:tcPr>
            <w:tcW w:type="dxa" w:w="820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Recipient, package ID, submission date, receipt/reference and recorded response where available.</w:t>
            </w:r>
          </w:p>
        </w:tc>
      </w:tr>
    </w:tbl>
    <w:p>
      <w:pPr>
        <w:spacing w:after="0"/>
      </w:pPr>
    </w:p>
    <w:p>
      <w:pPr>
        <w:pStyle w:val="Heading2"/>
      </w:pPr>
      <w:r>
        <w:t>Required footer</w:t>
      </w:r>
    </w:p>
    <w:p>
      <w:r>
        <w:t>Issued through Saurient Carbon Passport Platform. Verification applies only to the stated coverage and linked verification report. This passport is not government approval, a CBAM certificate or a carbon credit.</w:t>
      </w:r>
    </w:p>
    <w:p>
      <w:r>
        <w:t>Add Demo record — not for regulatory submission to every PoC PDF and public page that uses seeded evidence or simulated sign-offs. Do not invent a future expiry date; show validity conditions from the verification record and current lifecycle status.</w:t>
      </w:r>
    </w:p>
    <w:p>
      <w:pPr>
        <w:pStyle w:val="Heading1"/>
        <w:pageBreakBefore/>
      </w:pPr>
      <w:r>
        <w:t>Records and Issuance Controls</w:t>
      </w:r>
    </w:p>
    <w:p>
      <w:pPr>
        <w:pStyle w:val="Heading2"/>
      </w:pPr>
      <w:r>
        <w:t>Minimum persistent records</w:t>
      </w:r>
    </w:p>
    <w:tbl>
      <w:tblPr>
        <w:tblW w:type="auto" w:w="0"/>
        <w:tblLayout w:type="fixed"/>
        <w:tblLook w:firstColumn="1" w:firstRow="1" w:lastColumn="0" w:lastRow="0" w:noHBand="0" w:noVBand="1" w:val="04A0"/>
      </w:tblPr>
      <w:tblGrid>
        <w:gridCol w:w="2088"/>
        <w:gridCol w:w="8136"/>
      </w:tblGrid>
      <w:tr>
        <w:trPr>
          <w:cantSplit/>
          <w:tblHeader/>
        </w:trPr>
        <w:tc>
          <w:tcPr>
            <w:tcW w:type="dxa" w:w="2088"/>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Record</w:t>
            </w:r>
          </w:p>
        </w:tc>
        <w:tc>
          <w:tcPr>
            <w:tcW w:type="dxa" w:w="8136"/>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Implementation fields</w:t>
            </w:r>
          </w:p>
        </w:tc>
      </w:tr>
      <w:tr>
        <w:trPr>
          <w:cantSplit/>
        </w:trPr>
        <w:tc>
          <w:tcPr>
            <w:tcW w:type="dxa" w:w="20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Passport</w:t>
            </w:r>
          </w:p>
        </w:tc>
        <w:tc>
          <w:tcPr>
            <w:tcW w:type="dxa" w:w="813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ID, tenant, product, coverage type, batch IDs or period, version, snapshot ID, issued-at, lifecycle status, public token and superseding ID.</w:t>
            </w:r>
          </w:p>
        </w:tc>
      </w:tr>
      <w:tr>
        <w:trPr>
          <w:cantSplit/>
        </w:trPr>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Verified snapshot</w:t>
            </w:r>
          </w:p>
        </w:tc>
        <w:tc>
          <w:tcPr>
            <w:tcW w:type="dxa" w:w="81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Frozen inputs, calculation run, method and factor versions, check results, evidence manifest and snapshot digest.</w:t>
            </w:r>
          </w:p>
        </w:tc>
      </w:tr>
      <w:tr>
        <w:trPr>
          <w:cantSplit/>
        </w:trPr>
        <w:tc>
          <w:tcPr>
            <w:tcW w:type="dxa" w:w="20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Verification</w:t>
            </w:r>
          </w:p>
        </w:tc>
        <w:tc>
          <w:tcPr>
            <w:tcW w:type="dxa" w:w="813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Engagement ID, agency, accreditation record and validity, verified coverage, report reference, opinion, assurance level, signatory and review sign-offs.</w:t>
            </w:r>
          </w:p>
        </w:tc>
      </w:tr>
      <w:tr>
        <w:trPr>
          <w:cantSplit/>
        </w:trPr>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Evidence manifest</w:t>
            </w:r>
          </w:p>
        </w:tc>
        <w:tc>
          <w:tcPr>
            <w:tcW w:type="dxa" w:w="81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Evidence IDs, document or record revisions, hashes, source locations, access policy, included files and exclusions.</w:t>
            </w:r>
          </w:p>
        </w:tc>
      </w:tr>
      <w:tr>
        <w:trPr>
          <w:cantSplit/>
        </w:trPr>
        <w:tc>
          <w:tcPr>
            <w:tcW w:type="dxa" w:w="20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Readiness evaluation</w:t>
            </w:r>
          </w:p>
        </w:tc>
        <w:tc>
          <w:tcPr>
            <w:tcW w:type="dxa" w:w="813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Framework and checklist versions, applicability decisions, blockers, evaluator identity and evaluation time.</w:t>
            </w:r>
          </w:p>
        </w:tc>
      </w:tr>
      <w:tr>
        <w:trPr>
          <w:cantSplit/>
        </w:trPr>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Submission</w:t>
            </w:r>
          </w:p>
        </w:tc>
        <w:tc>
          <w:tcPr>
            <w:tcW w:type="dxa" w:w="81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Package ID, target framework, recipient, export/submission mode, timestamps, external reference, response evidence and status.</w:t>
            </w:r>
          </w:p>
        </w:tc>
      </w:tr>
      <w:tr>
        <w:trPr>
          <w:cantSplit/>
        </w:trPr>
        <w:tc>
          <w:tcPr>
            <w:tcW w:type="dxa" w:w="20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Credit project</w:t>
            </w:r>
          </w:p>
        </w:tc>
        <w:tc>
          <w:tcPr>
            <w:tcW w:type="dxa" w:w="813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Programme, methodology/version, project ID, monitoring period, eligibility and registry records; separate from passport.</w:t>
            </w:r>
          </w:p>
        </w:tc>
      </w:tr>
    </w:tbl>
    <w:p>
      <w:pPr>
        <w:spacing w:after="0"/>
      </w:pPr>
    </w:p>
    <w:p>
      <w:pPr>
        <w:pStyle w:val="Heading2"/>
      </w:pPr>
      <w:r>
        <w:t>Issuance prerequisites</w:t>
      </w:r>
    </w:p>
    <w:p>
      <w:r>
        <w:t>The server must confirm that the snapshot exists, calculations are reproducible, applicable blocking checks are resolved, required verification and independent review are complete, and the signed report covers that exact snapshot and method. Validate the relevant accreditation record. Require a permitted issuer and an idempotency key.</w:t>
      </w:r>
    </w:p>
    <w:p>
      <w:r>
        <w:t>Create the passport version, issuance audit event and rendering job from the same committed snapshot. Enforce a uniqueness constraint for duplicate issuance of the approved snapshot. On retry, return the original passport rather than generating another ID. If rendering fails, retry rendering against the issued snapshot; do not duplicate issuance.</w:t>
      </w:r>
    </w:p>
    <w:p>
      <w:pPr>
        <w:pStyle w:val="Heading2"/>
      </w:pPr>
      <w:r>
        <w:t>Changes and revocation</w:t>
      </w:r>
    </w:p>
    <w:p>
      <w:r>
        <w:t>An input correction creates new revisions and a new calculation run. Preserve submitted and issued snapshots, flag the impact and require the applicable review before issuing a replacement. Record why a passport is superseded or revoked, who authorised it and when. An old QR must show its own version and current status, with a link to the replacement where permitted.</w:t>
      </w:r>
    </w:p>
    <w:p>
      <w:pPr>
        <w:pStyle w:val="Heading2"/>
      </w:pPr>
      <w:r>
        <w:t>Integrity and signatures</w:t>
      </w:r>
    </w:p>
    <w:p>
      <w:r>
        <w:t>A hash detects changes against a trusted reference; it is not an authorised signature or proof of document authenticity. Preserve the agency signed report. If platform signing is introduced, record the signing key ID, algorithm, signature and verification result, and manage keys securely. Demo sign-offs must remain visibly simulated.</w:t>
      </w:r>
    </w:p>
    <w:p>
      <w:pPr>
        <w:pStyle w:val="Heading1"/>
        <w:pageBreakBefore/>
      </w:pPr>
      <w:r>
        <w:t>Screens Services and Public Verification</w:t>
      </w:r>
    </w:p>
    <w:tbl>
      <w:tblPr>
        <w:tblW w:type="auto" w:w="0"/>
        <w:tblLayout w:type="fixed"/>
        <w:tblLook w:firstColumn="1" w:firstRow="1" w:lastColumn="0" w:lastRow="0" w:noHBand="0" w:noVBand="1" w:val="04A0"/>
      </w:tblPr>
      <w:tblGrid>
        <w:gridCol w:w="2088"/>
        <w:gridCol w:w="8136"/>
      </w:tblGrid>
      <w:tr>
        <w:trPr>
          <w:cantSplit/>
          <w:tblHeader/>
        </w:trPr>
        <w:tc>
          <w:tcPr>
            <w:tcW w:type="dxa" w:w="2088"/>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Screen</w:t>
            </w:r>
          </w:p>
        </w:tc>
        <w:tc>
          <w:tcPr>
            <w:tcW w:type="dxa" w:w="8136"/>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Implementation behaviour</w:t>
            </w:r>
          </w:p>
        </w:tc>
      </w:tr>
      <w:tr>
        <w:trPr>
          <w:cantSplit/>
        </w:trPr>
        <w:tc>
          <w:tcPr>
            <w:tcW w:type="dxa" w:w="20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Readiness</w:t>
            </w:r>
          </w:p>
        </w:tc>
        <w:tc>
          <w:tcPr>
            <w:tcW w:type="dxa" w:w="813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List applicable checks, failures and source links; show readiness per selected framework.</w:t>
            </w:r>
          </w:p>
        </w:tc>
      </w:tr>
      <w:tr>
        <w:trPr>
          <w:cantSplit/>
        </w:trPr>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Passport preview</w:t>
            </w:r>
          </w:p>
        </w:tc>
        <w:tc>
          <w:tcPr>
            <w:tcW w:type="dxa" w:w="81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Render the frozen or candidate snapshot with the same layout used for PDF; show draft watermark.</w:t>
            </w:r>
          </w:p>
        </w:tc>
      </w:tr>
      <w:tr>
        <w:trPr>
          <w:cantSplit/>
        </w:trPr>
        <w:tc>
          <w:tcPr>
            <w:tcW w:type="dxa" w:w="20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Sign and issue</w:t>
            </w:r>
          </w:p>
        </w:tc>
        <w:tc>
          <w:tcPr>
            <w:tcW w:type="dxa" w:w="813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Show prerequisite results, report coverage and authorised roles; enforce all checks on the server.</w:t>
            </w:r>
          </w:p>
        </w:tc>
      </w:tr>
      <w:tr>
        <w:trPr>
          <w:cantSplit/>
        </w:trPr>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Registry and detail</w:t>
            </w:r>
          </w:p>
        </w:tc>
        <w:tc>
          <w:tcPr>
            <w:tcW w:type="dxa" w:w="81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Search passports; inspect version history, calculation trace and protected evidence.</w:t>
            </w:r>
          </w:p>
        </w:tc>
      </w:tr>
      <w:tr>
        <w:trPr>
          <w:cantSplit/>
        </w:trPr>
        <w:tc>
          <w:tcPr>
            <w:tcW w:type="dxa" w:w="20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Share and QR</w:t>
            </w:r>
          </w:p>
        </w:tc>
        <w:tc>
          <w:tcPr>
            <w:tcW w:type="dxa" w:w="813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Copy public URL, download PDF and open public verification page.</w:t>
            </w:r>
          </w:p>
        </w:tc>
      </w:tr>
      <w:tr>
        <w:trPr>
          <w:cantSplit/>
        </w:trPr>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Regulatory export</w:t>
            </w:r>
          </w:p>
        </w:tc>
        <w:tc>
          <w:tcPr>
            <w:tcW w:type="dxa" w:w="81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Choose recipient/profile, create a package and record real submission or download.</w:t>
            </w:r>
          </w:p>
        </w:tc>
      </w:tr>
      <w:tr>
        <w:trPr>
          <w:cantSplit/>
        </w:trPr>
        <w:tc>
          <w:tcPr>
            <w:tcW w:type="dxa" w:w="20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Credit project</w:t>
            </w:r>
          </w:p>
        </w:tc>
        <w:tc>
          <w:tcPr>
            <w:tcW w:type="dxa" w:w="813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Show eligibility assessment and project evidence separately from product footprint.</w:t>
            </w:r>
          </w:p>
        </w:tc>
      </w:tr>
    </w:tbl>
    <w:p>
      <w:pPr>
        <w:spacing w:after="0"/>
      </w:pPr>
    </w:p>
    <w:p>
      <w:pPr>
        <w:pStyle w:val="Heading2"/>
      </w:pPr>
      <w:r>
        <w:t>Proposed service operations</w:t>
      </w:r>
    </w:p>
    <w:p>
      <w:r>
        <w:t>These are suggested operations, not confirmed existing endpoints. Dili should map them to the current REST or GraphQL API and reuse existing services where appropriate.</w:t>
      </w:r>
    </w:p>
    <w:p>
      <w:r>
        <w:t>EvaluateReadiness(snapshotId, frameworkVersion); PreviewPassport(snapshotId); IssuePassport(snapshotId, idempotencyKey); GetPassport(passportId, version); RenderPassportPdf(passportId, version); ResolvePublicPassport(publicToken); BuildEvidencePack(passportId, recipientProfile); RecordSubmission(packageId, receipt); SupersedePassport(passportId, replacementId, reason); RevokePassport(passportId, reason).</w:t>
      </w:r>
    </w:p>
    <w:p>
      <w:pPr>
        <w:pStyle w:val="Heading2"/>
      </w:pPr>
      <w:r>
        <w:t>Public versus protected data</w:t>
      </w:r>
    </w:p>
    <w:p>
      <w:r>
        <w:t>The public page should expose approved company and product identity, coverage, carbon result, method summary, verification reference, issue date and lifecycle status. Show the limits of the verification. Keep invoices, telemetry details, supplier contracts, internal findings and personal signatures protected unless specifically approved for publication.</w:t>
      </w:r>
    </w:p>
    <w:p>
      <w:r>
        <w:t>Use opaque public tokens, tenant-scoped authorisation on protected operations and access-controlled evidence links. Do not embed confidential documents in the QR URL. Record who exported which evidence and for what recipient.</w:t>
      </w:r>
    </w:p>
    <w:p>
      <w:pPr>
        <w:pStyle w:val="Heading2"/>
      </w:pPr>
      <w:r>
        <w:t>Three independent status groups</w:t>
      </w:r>
    </w:p>
    <w:p>
      <w:r>
        <w:t>Verification: pending or the agency actual conclusion, with its limitations. Submission: not prepared, ready, exported or submitted. Recipient response: no response, acknowledged, accepted or correction requested. Acknowledged is not accepted; exported is not submitted. Record acceptance only with a supporting external response.</w:t>
      </w:r>
    </w:p>
    <w:p>
      <w:pPr>
        <w:pStyle w:val="Heading2"/>
      </w:pPr>
      <w:r>
        <w:t>PoC integration behaviour</w:t>
      </w:r>
    </w:p>
    <w:p>
      <w:r>
        <w:t>Implement a downloadable evidence pack and manual receipt capture first. Use official templates and authorised interfaces where available for later connectors. Do not assume a universal CBAM or government API exists or that Saurient has access. Label any simulated send action and response as a demo.</w:t>
      </w:r>
    </w:p>
    <w:p>
      <w:pPr>
        <w:pStyle w:val="Heading1"/>
        <w:pageBreakBefore/>
      </w:pPr>
      <w:r>
        <w:t>Carbon Credit Workflow and PoC Acceptance</w:t>
      </w:r>
    </w:p>
    <w:p>
      <w:pPr>
        <w:pStyle w:val="Heading2"/>
      </w:pPr>
      <w:r>
        <w:t>How the passport supports credit development</w:t>
      </w:r>
    </w:p>
    <w:p>
      <w:r>
        <w:t>A verified footprint supplies useful activity records and monitoring evidence. It does not automatically establish an eligible reduction or removal. Verra, for example, uses methodology requirements, project validation and registration, monitoring, verification, review and registry issuance. Baseline and additionality requirements apply. [2–3]</w:t>
      </w:r>
    </w:p>
    <w:p>
      <w:r>
        <w:t>Implement a separate project record with programme and methodology, boundaries, baseline, additionality assessment, project emissions, leakage and required deductions, monitoring period, evidence, validation/verification reports and registry references. Calculate only under the selected programme method. Display potential reductions separately from credits issued.</w:t>
      </w:r>
    </w:p>
    <w:p>
      <w:r>
        <w:t>Use Not assessed, Under assessment, Monitoring, Verified reductions and Registry issued as project milestones, with programme-specific transitions. Set Registry issued only from authoritative issuance records. Store credit serial numbers, quantity, vintage, registry, ownership references and retirement/cancellation status. Prevent duplicate use of the same issuance records.</w:t>
      </w:r>
    </w:p>
    <w:p>
      <w:r>
        <w:t>Example: a steel product footprint changes from 2.0 to 1.7 tCO2e per tonne. The 0.3 difference is a footprint improvement, not an automatically issuable credit. Eligibility and credit quantity depend on the programme baseline, methodology and other requirements. CBAM certificates and carbon credits must remain separate records.</w:t>
      </w:r>
    </w:p>
    <w:p>
      <w:pPr>
        <w:pStyle w:val="Heading2"/>
      </w:pPr>
      <w:r>
        <w:t>Acceptance tests</w:t>
      </w:r>
    </w:p>
    <w:tbl>
      <w:tblPr>
        <w:tblW w:type="auto" w:w="0"/>
        <w:tblLayout w:type="fixed"/>
        <w:tblLook w:firstColumn="1" w:firstRow="1" w:lastColumn="0" w:lastRow="0" w:noHBand="0" w:noVBand="1" w:val="04A0"/>
      </w:tblPr>
      <w:tblGrid>
        <w:gridCol w:w="2520"/>
        <w:gridCol w:w="7704"/>
      </w:tblGrid>
      <w:tr>
        <w:trPr>
          <w:cantSplit/>
          <w:tblHeader/>
        </w:trPr>
        <w:tc>
          <w:tcPr>
            <w:tcW w:type="dxa" w:w="2520"/>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Test</w:t>
            </w:r>
          </w:p>
        </w:tc>
        <w:tc>
          <w:tcPr>
            <w:tcW w:type="dxa" w:w="7704"/>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40" w:before="40"/>
            </w:pPr>
            <w:r>
              <w:rPr>
                <w:b/>
                <w:color w:val="FFFFFF"/>
                <w:sz w:val="19"/>
              </w:rPr>
              <w:t>Required result</w:t>
            </w:r>
          </w:p>
        </w:tc>
      </w:tr>
      <w:tr>
        <w:trPr>
          <w:cantSplit/>
        </w:trPr>
        <w:tc>
          <w:tcPr>
            <w:tcW w:type="dxa" w:w="252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Issue before review</w:t>
            </w:r>
          </w:p>
        </w:tc>
        <w:tc>
          <w:tcPr>
            <w:tcW w:type="dxa" w:w="770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Server rejects issuance and lists missing prerequisites.</w:t>
            </w:r>
          </w:p>
        </w:tc>
      </w:tr>
      <w:tr>
        <w:trPr>
          <w:cantSplit/>
        </w:trPr>
        <w:tc>
          <w:tcPr>
            <w:tcW w:type="dxa" w:w="25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Different report coverage</w:t>
            </w:r>
          </w:p>
        </w:tc>
        <w:tc>
          <w:tcPr>
            <w:tcW w:type="dxa" w:w="77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Report for another period, boundary or snapshot cannot approve this passport.</w:t>
            </w:r>
          </w:p>
        </w:tc>
      </w:tr>
      <w:tr>
        <w:trPr>
          <w:cantSplit/>
        </w:trPr>
        <w:tc>
          <w:tcPr>
            <w:tcW w:type="dxa" w:w="252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Repeated issuance request</w:t>
            </w:r>
          </w:p>
        </w:tc>
        <w:tc>
          <w:tcPr>
            <w:tcW w:type="dxa" w:w="770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Same approved snapshot produces one passport, including after a PDF retry.</w:t>
            </w:r>
          </w:p>
        </w:tc>
      </w:tr>
      <w:tr>
        <w:trPr>
          <w:cantSplit/>
        </w:trPr>
        <w:tc>
          <w:tcPr>
            <w:tcW w:type="dxa" w:w="25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Input correction</w:t>
            </w:r>
          </w:p>
        </w:tc>
        <w:tc>
          <w:tcPr>
            <w:tcW w:type="dxa" w:w="77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Original verified snapshot remains unchanged; replacement requires review.</w:t>
            </w:r>
          </w:p>
        </w:tc>
      </w:tr>
      <w:tr>
        <w:trPr>
          <w:cantSplit/>
        </w:trPr>
        <w:tc>
          <w:tcPr>
            <w:tcW w:type="dxa" w:w="252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Public old QR</w:t>
            </w:r>
          </w:p>
        </w:tc>
        <w:tc>
          <w:tcPr>
            <w:tcW w:type="dxa" w:w="770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Superseded or revoked status is visible; no current-validity claim remains.</w:t>
            </w:r>
          </w:p>
        </w:tc>
      </w:tr>
      <w:tr>
        <w:trPr>
          <w:cantSplit/>
        </w:trPr>
        <w:tc>
          <w:tcPr>
            <w:tcW w:type="dxa" w:w="25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Access and response</w:t>
            </w:r>
          </w:p>
        </w:tc>
        <w:tc>
          <w:tcPr>
            <w:tcW w:type="dxa" w:w="77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sz w:val="19"/>
              </w:rPr>
              <w:t>Other tenants cannot read evidence; readiness alone cannot set agency acceptance.</w:t>
            </w:r>
          </w:p>
        </w:tc>
      </w:tr>
      <w:tr>
        <w:trPr>
          <w:cantSplit/>
        </w:trPr>
        <w:tc>
          <w:tcPr>
            <w:tcW w:type="dxa" w:w="252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Credit claim</w:t>
            </w:r>
          </w:p>
        </w:tc>
        <w:tc>
          <w:tcPr>
            <w:tcW w:type="dxa" w:w="770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40" w:before="40"/>
            </w:pPr>
            <w:r>
              <w:rPr>
                <w:sz w:val="19"/>
              </w:rPr>
              <w:t>Footprint improvement cannot create registry-issued credits or serial numbers.</w:t>
            </w:r>
          </w:p>
        </w:tc>
      </w:tr>
    </w:tbl>
    <w:p>
      <w:pPr>
        <w:spacing w:after="0"/>
      </w:pPr>
    </w:p>
    <w:p>
      <w:pPr>
        <w:pStyle w:val="Heading2"/>
      </w:pPr>
      <w:r>
        <w:t>Delivery sequence</w:t>
      </w:r>
    </w:p>
    <w:p>
      <w:r>
        <w:t>P0: Build the records, readiness gates, two-page PDF, QR page, version history, evidence-pack export and acceptance tests. P1: Add authorised signatures and real recipient connectors after confirming access. Later: Expand credit methodologies and registry integrations after specialist review.</w:t>
      </w:r>
    </w:p>
    <w:p>
      <w:pPr>
        <w:pStyle w:val="Heading1"/>
        <w:pageBreakBefore/>
      </w:pPr>
      <w:r>
        <w:t>Sources and Implementation Limits</w:t>
      </w:r>
    </w:p>
    <w:p>
      <w:r>
        <w:t>[1] European Commission — CBAM verification</w:t>
        <w:br/>
        <w:t>https://taxation-customs.ec.europa.eu/carbon-border-adjustment-mechanism/cbam-verification_en</w:t>
      </w:r>
    </w:p>
    <w:p>
      <w:r>
        <w:t>[2] Verra — Develop a VCS project</w:t>
        <w:br/>
        <w:t>https://verra.org/programs/verified-carbon-standard/develop-a-vcs-project/</w:t>
      </w:r>
    </w:p>
    <w:p>
      <w:r>
        <w:t>[3] Verra — Verified Carbon Standard</w:t>
        <w:br/>
        <w:t>https://verra.org/programs/verified-carbon-standard/</w:t>
      </w:r>
    </w:p>
    <w:p>
      <w:r>
        <w:t>Sources checked 7 October 2026. This specification is based on the discussion; existing code and APIs have not been inspected. It does not constitute a complete regulatory checklist or crediting methodology.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Development specification  •  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SAURIENT  |  CARBON PASSPORT  |  DEVELOPER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