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7365D"/>
          <w:sz w:val="56"/>
        </w:rPr>
        <w:t>Carbon Passport vs CarbonMeter</w:t>
      </w:r>
    </w:p>
    <w:p>
      <w:pPr>
        <w:jc w:val="center"/>
      </w:pPr>
      <w:r>
        <w:rPr>
          <w:color w:val="245B78"/>
          <w:sz w:val="34"/>
        </w:rPr>
        <w:t>Strategic Comparison, Differentiation &amp; Product Roadmap</w:t>
      </w:r>
    </w:p>
    <w:p>
      <w:pPr>
        <w:spacing w:before="400"/>
        <w:jc w:val="center"/>
      </w:pPr>
      <w:r>
        <w:rPr>
          <w:color w:val="5F5F5F"/>
          <w:sz w:val="20"/>
        </w:rPr>
        <w:t>Saurient AI Labs | Carbon Passport | 27 October 2026</w:t>
      </w:r>
    </w:p>
    <w:tbl>
      <w:tblPr>
        <w:tblW w:type="auto" w:w="0"/>
        <w:jc w:val="center"/>
        <w:tblLayout w:type="autofit"/>
        <w:tblLook w:firstColumn="1" w:firstRow="1" w:lastColumn="0" w:lastRow="0" w:noHBand="0" w:noVBand="1" w:val="04A0"/>
      </w:tblPr>
      <w:tblGrid>
        <w:gridCol w:w="10224"/>
      </w:tblGrid>
      <w:tr>
        <w:trPr>
          <w:cantSplit/>
        </w:trPr>
        <w:tc>
          <w:tcPr>
            <w:tcW w:type="dxa" w:w="10224"/>
            <w:shd w:fill="F2F2F2"/>
          </w:tcPr>
          <w:p>
            <w:r/>
            <w:r>
              <w:rPr>
                <w:b/>
                <w:color w:val="17365D"/>
                <w:sz w:val="22"/>
              </w:rPr>
              <w:t>Purpose</w:t>
            </w:r>
          </w:p>
          <w:p>
            <w:pPr>
              <w:spacing w:after="0"/>
            </w:pPr>
            <w:r>
              <w:rPr>
                <w:sz w:val="20"/>
              </w:rPr>
              <w:t>To identify where Carbon Passport already has stronger strategic depth, where CarbonMeter currently presents a sharper operational proposition, and what Saurient should add so Carbon Passport becomes a more defensible end-to-end carbon intelligence, MRV, compliance and product-traceability platform.</w:t>
            </w:r>
          </w:p>
        </w:tc>
      </w:tr>
    </w:tbl>
    <w:p>
      <w:pPr>
        <w:spacing w:after="40"/>
      </w:pPr>
    </w:p>
    <w:p>
      <w:r>
        <w:br w:type="page"/>
      </w:r>
    </w:p>
    <w:p>
      <w:pPr>
        <w:pStyle w:val="Heading1"/>
      </w:pPr>
      <w:r>
        <w:t>1. Executive Summary</w:t>
      </w:r>
    </w:p>
    <w:tbl>
      <w:tblPr>
        <w:tblW w:type="auto" w:w="0"/>
        <w:jc w:val="center"/>
        <w:tblLayout w:type="autofit"/>
        <w:tblLook w:firstColumn="1" w:firstRow="1" w:lastColumn="0" w:lastRow="0" w:noHBand="0" w:noVBand="1" w:val="04A0"/>
      </w:tblPr>
      <w:tblGrid>
        <w:gridCol w:w="10224"/>
      </w:tblGrid>
      <w:tr>
        <w:trPr>
          <w:cantSplit/>
        </w:trPr>
        <w:tc>
          <w:tcPr>
            <w:tcW w:type="dxa" w:w="10224"/>
            <w:shd w:fill="D9EAF7"/>
          </w:tcPr>
          <w:p>
            <w:r/>
            <w:r>
              <w:rPr>
                <w:b/>
                <w:color w:val="17365D"/>
                <w:sz w:val="22"/>
              </w:rPr>
              <w:t>Bottom line</w:t>
            </w:r>
          </w:p>
          <w:p>
            <w:pPr>
              <w:spacing w:after="0"/>
            </w:pPr>
            <w:r>
              <w:rPr>
                <w:sz w:val="20"/>
              </w:rPr>
              <w:t>CarbonMeter is strongest today as an operational energy-and-carbon monitoring proposition: frequent machine/circuit readings, anomaly detection, energy-waste identification, and straightforward compliance outputs. Carbon Passport should not copy that positioning. Its stronger opportunity is to own the wider chain: measured data -&gt; evidence -&gt; product carbon footprint -&gt; supplier traceability -&gt; verification -&gt; passport issuance -&gt; public proof -&gt; CBAM/export compliance -&gt; mitigation tracking.</w:t>
            </w:r>
          </w:p>
        </w:tc>
      </w:tr>
    </w:tbl>
    <w:p>
      <w:pPr>
        <w:spacing w:after="40"/>
      </w:pPr>
    </w:p>
    <w:p>
      <w:pPr>
        <w:pStyle w:val="ListBullet"/>
        <w:spacing w:after="60"/>
      </w:pPr>
      <w:r>
        <w:rPr>
          <w:sz w:val="20"/>
        </w:rPr>
        <w:t>Carbon Passport already has a broader product-level architecture: PCF, Scope 3, supplier declarations, evidence, verifier handover, digital passport, QR public verification, audit digest, multi-tenancy and CBAM workflows.</w:t>
      </w:r>
    </w:p>
    <w:p>
      <w:pPr>
        <w:pStyle w:val="ListBullet"/>
        <w:spacing w:after="60"/>
      </w:pPr>
      <w:r>
        <w:rPr>
          <w:sz w:val="20"/>
        </w:rPr>
        <w:t>CarbonMeter currently communicates operational measurement and savings more clearly, especially asset-level energy monitoring, anomaly/waste detection, time-based Scope 2 and ranked saving actions.</w:t>
      </w:r>
    </w:p>
    <w:p>
      <w:pPr>
        <w:pStyle w:val="ListBullet"/>
        <w:spacing w:after="60"/>
      </w:pPr>
      <w:r>
        <w:rPr>
          <w:sz w:val="20"/>
        </w:rPr>
        <w:t>The highest-value product move is therefore not more screens. It is to make Carbon Passport evidence-driven, persistent and measurable: every number should have source, time, factor, confidence/completeness and verification status.</w:t>
      </w:r>
    </w:p>
    <w:p>
      <w:pPr>
        <w:pStyle w:val="ListBullet"/>
        <w:spacing w:after="60"/>
      </w:pPr>
      <w:r>
        <w:rPr>
          <w:sz w:val="20"/>
        </w:rPr>
        <w:t>Adding SaurEdge-based industrial telemetry, explainable anomaly detection, actual-versus-default CBAM exposure, evidence-derived completeness, mitigation action tracking and jurisdiction-aware rules would materially strengthen the platform.</w:t>
      </w:r>
    </w:p>
    <w:p>
      <w:pPr>
        <w:pStyle w:val="ListBullet"/>
        <w:spacing w:after="60"/>
      </w:pPr>
      <w:r>
        <w:rPr>
          <w:sz w:val="20"/>
        </w:rPr>
        <w:t>The strongest market position is: “Carbon Passport is the verified carbon operating layer for products and supply chains—not just a carbon dashboard.”</w:t>
      </w:r>
    </w:p>
    <w:p>
      <w:pPr>
        <w:pStyle w:val="Heading1"/>
      </w:pPr>
      <w:r>
        <w:t>2. Strategic Feature Comparison</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1F4E78"/>
          </w:tcPr>
          <w:p>
            <w:pPr>
              <w:spacing w:after="0"/>
            </w:pPr>
            <w:r/>
            <w:r>
              <w:rPr>
                <w:rFonts w:ascii="Aptos" w:hAnsi="Aptos"/>
                <w:b/>
                <w:color w:val="FFFFFF"/>
                <w:sz w:val="16"/>
              </w:rPr>
              <w:t>Area</w:t>
            </w:r>
          </w:p>
        </w:tc>
        <w:tc>
          <w:tcPr>
            <w:tcW w:type="dxa" w:w="2556"/>
            <w:vAlign w:val="center"/>
            <w:shd w:fill="1F4E78"/>
          </w:tcPr>
          <w:p>
            <w:pPr>
              <w:spacing w:after="0"/>
            </w:pPr>
            <w:r/>
            <w:r>
              <w:rPr>
                <w:rFonts w:ascii="Aptos" w:hAnsi="Aptos"/>
                <w:b/>
                <w:color w:val="FFFFFF"/>
                <w:sz w:val="16"/>
              </w:rPr>
              <w:t>Carbon Passport</w:t>
            </w:r>
          </w:p>
        </w:tc>
        <w:tc>
          <w:tcPr>
            <w:tcW w:type="dxa" w:w="2556"/>
            <w:vAlign w:val="center"/>
            <w:shd w:fill="1F4E78"/>
          </w:tcPr>
          <w:p>
            <w:pPr>
              <w:spacing w:after="0"/>
            </w:pPr>
            <w:r/>
            <w:r>
              <w:rPr>
                <w:rFonts w:ascii="Aptos" w:hAnsi="Aptos"/>
                <w:b/>
                <w:color w:val="FFFFFF"/>
                <w:sz w:val="16"/>
              </w:rPr>
              <w:t>CarbonMeter</w:t>
            </w:r>
          </w:p>
        </w:tc>
        <w:tc>
          <w:tcPr>
            <w:tcW w:type="dxa" w:w="2556"/>
            <w:vAlign w:val="center"/>
            <w:shd w:fill="1F4E78"/>
          </w:tcPr>
          <w:p>
            <w:pPr>
              <w:spacing w:after="0"/>
            </w:pPr>
            <w:r/>
            <w:r>
              <w:rPr>
                <w:rFonts w:ascii="Aptos" w:hAnsi="Aptos"/>
                <w:b/>
                <w:color w:val="FFFFFF"/>
                <w:sz w:val="16"/>
              </w:rPr>
              <w:t>Strategic implication</w:t>
            </w:r>
          </w:p>
        </w:tc>
      </w:tr>
      <w:tr>
        <w:trPr>
          <w:cantSplit/>
        </w:trPr>
        <w:tc>
          <w:tcPr>
            <w:tcW w:type="dxa" w:w="2556"/>
            <w:vAlign w:val="center"/>
          </w:tcPr>
          <w:p>
            <w:pPr>
              <w:spacing w:after="0"/>
            </w:pPr>
            <w:r/>
            <w:r>
              <w:rPr>
                <w:rFonts w:ascii="Aptos" w:hAnsi="Aptos"/>
                <w:b w:val="0"/>
                <w:sz w:val="15"/>
              </w:rPr>
              <w:t>Primary proposition</w:t>
            </w:r>
          </w:p>
        </w:tc>
        <w:tc>
          <w:tcPr>
            <w:tcW w:type="dxa" w:w="2556"/>
            <w:vAlign w:val="center"/>
          </w:tcPr>
          <w:p>
            <w:pPr>
              <w:spacing w:after="0"/>
            </w:pPr>
            <w:r/>
            <w:r>
              <w:rPr>
                <w:rFonts w:ascii="Aptos" w:hAnsi="Aptos"/>
                <w:b w:val="0"/>
                <w:sz w:val="15"/>
              </w:rPr>
              <w:t>Product-level carbon identity, traceability, verification and compliance across lifecycle</w:t>
            </w:r>
          </w:p>
        </w:tc>
        <w:tc>
          <w:tcPr>
            <w:tcW w:type="dxa" w:w="2556"/>
            <w:vAlign w:val="center"/>
          </w:tcPr>
          <w:p>
            <w:pPr>
              <w:spacing w:after="0"/>
            </w:pPr>
            <w:r/>
            <w:r>
              <w:rPr>
                <w:rFonts w:ascii="Aptos" w:hAnsi="Aptos"/>
                <w:b w:val="0"/>
                <w:sz w:val="15"/>
              </w:rPr>
              <w:t>Operational energy/carbon measurement, waste detection and compliance reporting</w:t>
            </w:r>
          </w:p>
        </w:tc>
        <w:tc>
          <w:tcPr>
            <w:tcW w:type="dxa" w:w="2556"/>
            <w:vAlign w:val="center"/>
          </w:tcPr>
          <w:p>
            <w:pPr>
              <w:spacing w:after="0"/>
            </w:pPr>
            <w:r/>
            <w:r>
              <w:rPr>
                <w:rFonts w:ascii="Aptos" w:hAnsi="Aptos"/>
                <w:b w:val="0"/>
                <w:sz w:val="15"/>
              </w:rPr>
              <w:t>Carbon Passport should lead with lifecycle + verification, not generic carbon accounting</w:t>
            </w:r>
          </w:p>
        </w:tc>
      </w:tr>
      <w:tr>
        <w:trPr>
          <w:cantSplit/>
        </w:trPr>
        <w:tc>
          <w:tcPr>
            <w:tcW w:type="dxa" w:w="2556"/>
            <w:vAlign w:val="center"/>
            <w:shd w:fill="F5F7FA"/>
          </w:tcPr>
          <w:p>
            <w:pPr>
              <w:spacing w:after="0"/>
            </w:pPr>
            <w:r/>
            <w:r>
              <w:rPr>
                <w:rFonts w:ascii="Aptos" w:hAnsi="Aptos"/>
                <w:b w:val="0"/>
                <w:sz w:val="15"/>
              </w:rPr>
              <w:t>Measurement</w:t>
            </w:r>
          </w:p>
        </w:tc>
        <w:tc>
          <w:tcPr>
            <w:tcW w:type="dxa" w:w="2556"/>
            <w:vAlign w:val="center"/>
            <w:shd w:fill="F5F7FA"/>
          </w:tcPr>
          <w:p>
            <w:pPr>
              <w:spacing w:after="0"/>
            </w:pPr>
            <w:r/>
            <w:r>
              <w:rPr>
                <w:rFonts w:ascii="Aptos" w:hAnsi="Aptos"/>
                <w:b w:val="0"/>
                <w:sz w:val="15"/>
              </w:rPr>
              <w:t>Designed to ingest telemetry, manual data, APIs and SaurEdge/industrial sources; current POC still needs production-grade ingestion/history</w:t>
            </w:r>
          </w:p>
        </w:tc>
        <w:tc>
          <w:tcPr>
            <w:tcW w:type="dxa" w:w="2556"/>
            <w:vAlign w:val="center"/>
            <w:shd w:fill="F5F7FA"/>
          </w:tcPr>
          <w:p>
            <w:pPr>
              <w:spacing w:after="0"/>
            </w:pPr>
            <w:r/>
            <w:r>
              <w:rPr>
                <w:rFonts w:ascii="Aptos" w:hAnsi="Aptos"/>
                <w:b w:val="0"/>
                <w:sz w:val="15"/>
              </w:rPr>
              <w:t>Machine/circuit energy measurement every 30 seconds; meters/APIs/manual inputs; optional third-party sensors</w:t>
            </w:r>
          </w:p>
        </w:tc>
        <w:tc>
          <w:tcPr>
            <w:tcW w:type="dxa" w:w="2556"/>
            <w:vAlign w:val="center"/>
            <w:shd w:fill="F5F7FA"/>
          </w:tcPr>
          <w:p>
            <w:pPr>
              <w:spacing w:after="0"/>
            </w:pPr>
            <w:r/>
            <w:r>
              <w:rPr>
                <w:rFonts w:ascii="Aptos" w:hAnsi="Aptos"/>
                <w:b w:val="0"/>
                <w:sz w:val="15"/>
              </w:rPr>
              <w:t>Add persistent real telemetry, asset mapping and interval history</w:t>
            </w:r>
          </w:p>
        </w:tc>
      </w:tr>
      <w:tr>
        <w:trPr>
          <w:cantSplit/>
        </w:trPr>
        <w:tc>
          <w:tcPr>
            <w:tcW w:type="dxa" w:w="2556"/>
            <w:vAlign w:val="center"/>
          </w:tcPr>
          <w:p>
            <w:pPr>
              <w:spacing w:after="0"/>
            </w:pPr>
            <w:r/>
            <w:r>
              <w:rPr>
                <w:rFonts w:ascii="Aptos" w:hAnsi="Aptos"/>
                <w:b w:val="0"/>
                <w:sz w:val="15"/>
              </w:rPr>
              <w:t>Scope 1 &amp; 2</w:t>
            </w:r>
          </w:p>
        </w:tc>
        <w:tc>
          <w:tcPr>
            <w:tcW w:type="dxa" w:w="2556"/>
            <w:vAlign w:val="center"/>
          </w:tcPr>
          <w:p>
            <w:pPr>
              <w:spacing w:after="0"/>
            </w:pPr>
            <w:r/>
            <w:r>
              <w:rPr>
                <w:rFonts w:ascii="Aptos" w:hAnsi="Aptos"/>
                <w:b w:val="0"/>
                <w:sz w:val="15"/>
              </w:rPr>
              <w:t>Included in platform model and emission workflows</w:t>
            </w:r>
          </w:p>
        </w:tc>
        <w:tc>
          <w:tcPr>
            <w:tcW w:type="dxa" w:w="2556"/>
            <w:vAlign w:val="center"/>
          </w:tcPr>
          <w:p>
            <w:pPr>
              <w:spacing w:after="0"/>
            </w:pPr>
            <w:r/>
            <w:r>
              <w:rPr>
                <w:rFonts w:ascii="Aptos" w:hAnsi="Aptos"/>
                <w:b w:val="0"/>
                <w:sz w:val="15"/>
              </w:rPr>
              <w:t>Real-time Scope 1 &amp; 2; DEFRA factors and half-hourly grid intensity claimed</w:t>
            </w:r>
          </w:p>
        </w:tc>
        <w:tc>
          <w:tcPr>
            <w:tcW w:type="dxa" w:w="2556"/>
            <w:vAlign w:val="center"/>
          </w:tcPr>
          <w:p>
            <w:pPr>
              <w:spacing w:after="0"/>
            </w:pPr>
            <w:r/>
            <w:r>
              <w:rPr>
                <w:rFonts w:ascii="Aptos" w:hAnsi="Aptos"/>
                <w:b w:val="0"/>
                <w:sz w:val="15"/>
              </w:rPr>
              <w:t>Add jurisdiction-aware interval factors and show source/version per calculation</w:t>
            </w:r>
          </w:p>
        </w:tc>
      </w:tr>
      <w:tr>
        <w:trPr>
          <w:cantSplit/>
        </w:trPr>
        <w:tc>
          <w:tcPr>
            <w:tcW w:type="dxa" w:w="2556"/>
            <w:vAlign w:val="center"/>
            <w:shd w:fill="F5F7FA"/>
          </w:tcPr>
          <w:p>
            <w:pPr>
              <w:spacing w:after="0"/>
            </w:pPr>
            <w:r/>
            <w:r>
              <w:rPr>
                <w:rFonts w:ascii="Aptos" w:hAnsi="Aptos"/>
                <w:b w:val="0"/>
                <w:sz w:val="15"/>
              </w:rPr>
              <w:t>Scope 3</w:t>
            </w:r>
          </w:p>
        </w:tc>
        <w:tc>
          <w:tcPr>
            <w:tcW w:type="dxa" w:w="2556"/>
            <w:vAlign w:val="center"/>
            <w:shd w:fill="F5F7FA"/>
          </w:tcPr>
          <w:p>
            <w:pPr>
              <w:spacing w:after="0"/>
            </w:pPr>
            <w:r/>
            <w:r>
              <w:rPr>
                <w:rFonts w:ascii="Aptos" w:hAnsi="Aptos"/>
                <w:b w:val="0"/>
                <w:sz w:val="15"/>
              </w:rPr>
              <w:t>Supplier/value-chain modules, declarations, evidence and PCF linkage</w:t>
            </w:r>
          </w:p>
        </w:tc>
        <w:tc>
          <w:tcPr>
            <w:tcW w:type="dxa" w:w="2556"/>
            <w:vAlign w:val="center"/>
            <w:shd w:fill="F5F7FA"/>
          </w:tcPr>
          <w:p>
            <w:pPr>
              <w:spacing w:after="0"/>
            </w:pPr>
            <w:r/>
            <w:r>
              <w:rPr>
                <w:rFonts w:ascii="Aptos" w:hAnsi="Aptos"/>
                <w:b w:val="0"/>
                <w:sz w:val="15"/>
              </w:rPr>
              <w:t>Claims supplier-specific Scope 3 data</w:t>
            </w:r>
          </w:p>
        </w:tc>
        <w:tc>
          <w:tcPr>
            <w:tcW w:type="dxa" w:w="2556"/>
            <w:vAlign w:val="center"/>
            <w:shd w:fill="F5F7FA"/>
          </w:tcPr>
          <w:p>
            <w:pPr>
              <w:spacing w:after="0"/>
            </w:pPr>
            <w:r/>
            <w:r>
              <w:rPr>
                <w:rFonts w:ascii="Aptos" w:hAnsi="Aptos"/>
                <w:b w:val="0"/>
                <w:sz w:val="15"/>
              </w:rPr>
              <w:t>Make supplier evidence journey persistent and installation/product/reporting-period specific</w:t>
            </w:r>
          </w:p>
        </w:tc>
      </w:tr>
      <w:tr>
        <w:trPr>
          <w:cantSplit/>
        </w:trPr>
        <w:tc>
          <w:tcPr>
            <w:tcW w:type="dxa" w:w="2556"/>
            <w:vAlign w:val="center"/>
          </w:tcPr>
          <w:p>
            <w:pPr>
              <w:spacing w:after="0"/>
            </w:pPr>
            <w:r/>
            <w:r>
              <w:rPr>
                <w:rFonts w:ascii="Aptos" w:hAnsi="Aptos"/>
                <w:b w:val="0"/>
                <w:sz w:val="15"/>
              </w:rPr>
              <w:t>PCF / product carbon</w:t>
            </w:r>
          </w:p>
        </w:tc>
        <w:tc>
          <w:tcPr>
            <w:tcW w:type="dxa" w:w="2556"/>
            <w:vAlign w:val="center"/>
          </w:tcPr>
          <w:p>
            <w:pPr>
              <w:spacing w:after="0"/>
            </w:pPr>
            <w:r/>
            <w:r>
              <w:rPr>
                <w:rFonts w:ascii="Aptos" w:hAnsi="Aptos"/>
                <w:b w:val="0"/>
                <w:sz w:val="15"/>
              </w:rPr>
              <w:t>Core strategic capability; passport tied to product/batch</w:t>
            </w:r>
          </w:p>
        </w:tc>
        <w:tc>
          <w:tcPr>
            <w:tcW w:type="dxa" w:w="2556"/>
            <w:vAlign w:val="center"/>
          </w:tcPr>
          <w:p>
            <w:pPr>
              <w:spacing w:after="0"/>
            </w:pPr>
            <w:r/>
            <w:r>
              <w:rPr>
                <w:rFonts w:ascii="Aptos" w:hAnsi="Aptos"/>
                <w:b w:val="0"/>
                <w:sz w:val="15"/>
              </w:rPr>
              <w:t>No digital product passport identified in reviewed pages</w:t>
            </w:r>
          </w:p>
        </w:tc>
        <w:tc>
          <w:tcPr>
            <w:tcW w:type="dxa" w:w="2556"/>
            <w:vAlign w:val="center"/>
          </w:tcPr>
          <w:p>
            <w:pPr>
              <w:spacing w:after="0"/>
            </w:pPr>
            <w:r/>
            <w:r>
              <w:rPr>
                <w:rFonts w:ascii="Aptos" w:hAnsi="Aptos"/>
                <w:b w:val="0"/>
                <w:sz w:val="15"/>
              </w:rPr>
              <w:t>Major differentiation: make product/batch carbon identity central</w:t>
            </w:r>
          </w:p>
        </w:tc>
      </w:tr>
      <w:tr>
        <w:trPr>
          <w:cantSplit/>
        </w:trPr>
        <w:tc>
          <w:tcPr>
            <w:tcW w:type="dxa" w:w="2556"/>
            <w:vAlign w:val="center"/>
            <w:shd w:fill="F5F7FA"/>
          </w:tcPr>
          <w:p>
            <w:pPr>
              <w:spacing w:after="0"/>
            </w:pPr>
            <w:r/>
            <w:r>
              <w:rPr>
                <w:rFonts w:ascii="Aptos" w:hAnsi="Aptos"/>
                <w:b w:val="0"/>
                <w:sz w:val="15"/>
              </w:rPr>
              <w:t>Digital Carbon Passport</w:t>
            </w:r>
          </w:p>
        </w:tc>
        <w:tc>
          <w:tcPr>
            <w:tcW w:type="dxa" w:w="2556"/>
            <w:vAlign w:val="center"/>
            <w:shd w:fill="F5F7FA"/>
          </w:tcPr>
          <w:p>
            <w:pPr>
              <w:spacing w:after="0"/>
            </w:pPr>
            <w:r/>
            <w:r>
              <w:rPr>
                <w:rFonts w:ascii="Aptos" w:hAnsi="Aptos"/>
                <w:b w:val="0"/>
                <w:sz w:val="15"/>
              </w:rPr>
              <w:t>QR public view, lineage, versioning, status, SHA-256 audit digest</w:t>
            </w:r>
          </w:p>
        </w:tc>
        <w:tc>
          <w:tcPr>
            <w:tcW w:type="dxa" w:w="2556"/>
            <w:vAlign w:val="center"/>
            <w:shd w:fill="F5F7FA"/>
          </w:tcPr>
          <w:p>
            <w:pPr>
              <w:spacing w:after="0"/>
            </w:pPr>
            <w:r/>
            <w:r>
              <w:rPr>
                <w:rFonts w:ascii="Aptos" w:hAnsi="Aptos"/>
                <w:b w:val="0"/>
                <w:sz w:val="15"/>
              </w:rPr>
              <w:t>Not identified on reviewed pages</w:t>
            </w:r>
          </w:p>
        </w:tc>
        <w:tc>
          <w:tcPr>
            <w:tcW w:type="dxa" w:w="2556"/>
            <w:vAlign w:val="center"/>
            <w:shd w:fill="F5F7FA"/>
          </w:tcPr>
          <w:p>
            <w:pPr>
              <w:spacing w:after="0"/>
            </w:pPr>
            <w:r/>
            <w:r>
              <w:rPr>
                <w:rFonts w:ascii="Aptos" w:hAnsi="Aptos"/>
                <w:b w:val="0"/>
                <w:sz w:val="15"/>
              </w:rPr>
              <w:t>Strong advantage; expand with revocation, version history and public trust evidence</w:t>
            </w:r>
          </w:p>
        </w:tc>
      </w:tr>
      <w:tr>
        <w:trPr>
          <w:cantSplit/>
        </w:trPr>
        <w:tc>
          <w:tcPr>
            <w:tcW w:type="dxa" w:w="2556"/>
            <w:vAlign w:val="center"/>
          </w:tcPr>
          <w:p>
            <w:pPr>
              <w:spacing w:after="0"/>
            </w:pPr>
            <w:r/>
            <w:r>
              <w:rPr>
                <w:rFonts w:ascii="Aptos" w:hAnsi="Aptos"/>
                <w:b w:val="0"/>
                <w:sz w:val="15"/>
              </w:rPr>
              <w:t>Verification / MRV</w:t>
            </w:r>
          </w:p>
        </w:tc>
        <w:tc>
          <w:tcPr>
            <w:tcW w:type="dxa" w:w="2556"/>
            <w:vAlign w:val="center"/>
          </w:tcPr>
          <w:p>
            <w:pPr>
              <w:spacing w:after="0"/>
            </w:pPr>
            <w:r/>
            <w:r>
              <w:rPr>
                <w:rFonts w:ascii="Aptos" w:hAnsi="Aptos"/>
                <w:b w:val="0"/>
                <w:sz w:val="15"/>
              </w:rPr>
              <w:t>Dedicated verifier workflow, evidence review, approve/reject, frozen verified records</w:t>
            </w:r>
          </w:p>
        </w:tc>
        <w:tc>
          <w:tcPr>
            <w:tcW w:type="dxa" w:w="2556"/>
            <w:vAlign w:val="center"/>
          </w:tcPr>
          <w:p>
            <w:pPr>
              <w:spacing w:after="0"/>
            </w:pPr>
            <w:r/>
            <w:r>
              <w:rPr>
                <w:rFonts w:ascii="Aptos" w:hAnsi="Aptos"/>
                <w:b w:val="0"/>
                <w:sz w:val="15"/>
              </w:rPr>
              <w:t>Audit-ready lineage/completeness positioned, but independent verifier workflow not evident in reviewed pages</w:t>
            </w:r>
          </w:p>
        </w:tc>
        <w:tc>
          <w:tcPr>
            <w:tcW w:type="dxa" w:w="2556"/>
            <w:vAlign w:val="center"/>
          </w:tcPr>
          <w:p>
            <w:pPr>
              <w:spacing w:after="0"/>
            </w:pPr>
            <w:r/>
            <w:r>
              <w:rPr>
                <w:rFonts w:ascii="Aptos" w:hAnsi="Aptos"/>
                <w:b w:val="0"/>
                <w:sz w:val="15"/>
              </w:rPr>
              <w:t>Turn verifier workflow into a flagship trust layer</w:t>
            </w:r>
          </w:p>
        </w:tc>
      </w:tr>
      <w:tr>
        <w:trPr>
          <w:cantSplit/>
        </w:trPr>
        <w:tc>
          <w:tcPr>
            <w:tcW w:type="dxa" w:w="2556"/>
            <w:vAlign w:val="center"/>
            <w:shd w:fill="F5F7FA"/>
          </w:tcPr>
          <w:p>
            <w:pPr>
              <w:spacing w:after="0"/>
            </w:pPr>
            <w:r/>
            <w:r>
              <w:rPr>
                <w:rFonts w:ascii="Aptos" w:hAnsi="Aptos"/>
                <w:b w:val="0"/>
                <w:sz w:val="15"/>
              </w:rPr>
              <w:t>CBAM</w:t>
            </w:r>
          </w:p>
        </w:tc>
        <w:tc>
          <w:tcPr>
            <w:tcW w:type="dxa" w:w="2556"/>
            <w:vAlign w:val="center"/>
            <w:shd w:fill="F5F7FA"/>
          </w:tcPr>
          <w:p>
            <w:pPr>
              <w:spacing w:after="0"/>
            </w:pPr>
            <w:r/>
            <w:r>
              <w:rPr>
                <w:rFonts w:ascii="Aptos" w:hAnsi="Aptos"/>
                <w:b w:val="0"/>
                <w:sz w:val="15"/>
              </w:rPr>
              <w:t>Lifecycle/status model, supplier evidence, exposure preview, product-level linkage</w:t>
            </w:r>
          </w:p>
        </w:tc>
        <w:tc>
          <w:tcPr>
            <w:tcW w:type="dxa" w:w="2556"/>
            <w:vAlign w:val="center"/>
            <w:shd w:fill="F5F7FA"/>
          </w:tcPr>
          <w:p>
            <w:pPr>
              <w:spacing w:after="0"/>
            </w:pPr>
            <w:r/>
            <w:r>
              <w:rPr>
                <w:rFonts w:ascii="Aptos" w:hAnsi="Aptos"/>
                <w:b w:val="0"/>
                <w:sz w:val="15"/>
              </w:rPr>
              <w:t>Supplier-data service pilot; template intake, checks, benchmarks/defaults, embedded emissions</w:t>
            </w:r>
          </w:p>
        </w:tc>
        <w:tc>
          <w:tcPr>
            <w:tcW w:type="dxa" w:w="2556"/>
            <w:vAlign w:val="center"/>
            <w:shd w:fill="F5F7FA"/>
          </w:tcPr>
          <w:p>
            <w:pPr>
              <w:spacing w:after="0"/>
            </w:pPr>
            <w:r/>
            <w:r>
              <w:rPr>
                <w:rFonts w:ascii="Aptos" w:hAnsi="Aptos"/>
                <w:b w:val="0"/>
                <w:sz w:val="15"/>
              </w:rPr>
              <w:t>Add actual-vs-default exposure engine and guided supplier follow-up queue</w:t>
            </w:r>
          </w:p>
        </w:tc>
      </w:tr>
      <w:tr>
        <w:trPr>
          <w:cantSplit/>
        </w:trPr>
        <w:tc>
          <w:tcPr>
            <w:tcW w:type="dxa" w:w="2556"/>
            <w:vAlign w:val="center"/>
          </w:tcPr>
          <w:p>
            <w:pPr>
              <w:spacing w:after="0"/>
            </w:pPr>
            <w:r/>
            <w:r>
              <w:rPr>
                <w:rFonts w:ascii="Aptos" w:hAnsi="Aptos"/>
                <w:b w:val="0"/>
                <w:sz w:val="15"/>
              </w:rPr>
              <w:t>Supplier workflows</w:t>
            </w:r>
          </w:p>
        </w:tc>
        <w:tc>
          <w:tcPr>
            <w:tcW w:type="dxa" w:w="2556"/>
            <w:vAlign w:val="center"/>
          </w:tcPr>
          <w:p>
            <w:pPr>
              <w:spacing w:after="0"/>
            </w:pPr>
            <w:r/>
            <w:r>
              <w:rPr>
                <w:rFonts w:ascii="Aptos" w:hAnsi="Aptos"/>
                <w:b w:val="0"/>
                <w:sz w:val="15"/>
              </w:rPr>
              <w:t>Invitations, declarations, scorecards, evidence, customer requests</w:t>
            </w:r>
          </w:p>
        </w:tc>
        <w:tc>
          <w:tcPr>
            <w:tcW w:type="dxa" w:w="2556"/>
            <w:vAlign w:val="center"/>
          </w:tcPr>
          <w:p>
            <w:pPr>
              <w:spacing w:after="0"/>
            </w:pPr>
            <w:r/>
            <w:r>
              <w:rPr>
                <w:rFonts w:ascii="Aptos" w:hAnsi="Aptos"/>
                <w:b w:val="0"/>
                <w:sz w:val="15"/>
              </w:rPr>
              <w:t>Supplier-data intake and sector checklists are strongly positioned</w:t>
            </w:r>
          </w:p>
        </w:tc>
        <w:tc>
          <w:tcPr>
            <w:tcW w:type="dxa" w:w="2556"/>
            <w:vAlign w:val="center"/>
          </w:tcPr>
          <w:p>
            <w:pPr>
              <w:spacing w:after="0"/>
            </w:pPr>
            <w:r/>
            <w:r>
              <w:rPr>
                <w:rFonts w:ascii="Aptos" w:hAnsi="Aptos"/>
                <w:b w:val="0"/>
                <w:sz w:val="15"/>
              </w:rPr>
              <w:t>Need better persistence, document intake and impact-based prioritisation</w:t>
            </w:r>
          </w:p>
        </w:tc>
      </w:tr>
      <w:tr>
        <w:trPr>
          <w:cantSplit/>
        </w:trPr>
        <w:tc>
          <w:tcPr>
            <w:tcW w:type="dxa" w:w="2556"/>
            <w:vAlign w:val="center"/>
            <w:shd w:fill="F5F7FA"/>
          </w:tcPr>
          <w:p>
            <w:pPr>
              <w:spacing w:after="0"/>
            </w:pPr>
            <w:r/>
            <w:r>
              <w:rPr>
                <w:rFonts w:ascii="Aptos" w:hAnsi="Aptos"/>
                <w:b w:val="0"/>
                <w:sz w:val="15"/>
              </w:rPr>
              <w:t>Operational alerts</w:t>
            </w:r>
          </w:p>
        </w:tc>
        <w:tc>
          <w:tcPr>
            <w:tcW w:type="dxa" w:w="2556"/>
            <w:vAlign w:val="center"/>
            <w:shd w:fill="F5F7FA"/>
          </w:tcPr>
          <w:p>
            <w:pPr>
              <w:spacing w:after="0"/>
            </w:pPr>
            <w:r/>
            <w:r>
              <w:rPr>
                <w:rFonts w:ascii="Aptos" w:hAnsi="Aptos"/>
                <w:b w:val="0"/>
                <w:sz w:val="15"/>
              </w:rPr>
              <w:t>Telemetry UI exists but local review found generated/fixed readings in parts of POC</w:t>
            </w:r>
          </w:p>
        </w:tc>
        <w:tc>
          <w:tcPr>
            <w:tcW w:type="dxa" w:w="2556"/>
            <w:vAlign w:val="center"/>
            <w:shd w:fill="F5F7FA"/>
          </w:tcPr>
          <w:p>
            <w:pPr>
              <w:spacing w:after="0"/>
            </w:pPr>
            <w:r/>
            <w:r>
              <w:rPr>
                <w:rFonts w:ascii="Aptos" w:hAnsi="Aptos"/>
                <w:b w:val="0"/>
                <w:sz w:val="15"/>
              </w:rPr>
              <w:t>Strong: baseline learning, drift, spikes, faults and out-of-hours waste</w:t>
            </w:r>
          </w:p>
        </w:tc>
        <w:tc>
          <w:tcPr>
            <w:tcW w:type="dxa" w:w="2556"/>
            <w:vAlign w:val="center"/>
            <w:shd w:fill="F5F7FA"/>
          </w:tcPr>
          <w:p>
            <w:pPr>
              <w:spacing w:after="0"/>
            </w:pPr>
            <w:r/>
            <w:r>
              <w:rPr>
                <w:rFonts w:ascii="Aptos" w:hAnsi="Aptos"/>
                <w:b w:val="0"/>
                <w:sz w:val="15"/>
              </w:rPr>
              <w:t>Priority addition after ingestion/history</w:t>
            </w:r>
          </w:p>
        </w:tc>
      </w:tr>
      <w:tr>
        <w:trPr>
          <w:cantSplit/>
        </w:trPr>
        <w:tc>
          <w:tcPr>
            <w:tcW w:type="dxa" w:w="2556"/>
            <w:vAlign w:val="center"/>
          </w:tcPr>
          <w:p>
            <w:pPr>
              <w:spacing w:after="0"/>
            </w:pPr>
            <w:r/>
            <w:r>
              <w:rPr>
                <w:rFonts w:ascii="Aptos" w:hAnsi="Aptos"/>
                <w:b w:val="0"/>
                <w:sz w:val="15"/>
              </w:rPr>
              <w:t>Savings / mitigation</w:t>
            </w:r>
          </w:p>
        </w:tc>
        <w:tc>
          <w:tcPr>
            <w:tcW w:type="dxa" w:w="2556"/>
            <w:vAlign w:val="center"/>
          </w:tcPr>
          <w:p>
            <w:pPr>
              <w:spacing w:after="0"/>
            </w:pPr>
            <w:r/>
            <w:r>
              <w:rPr>
                <w:rFonts w:ascii="Aptos" w:hAnsi="Aptos"/>
                <w:b w:val="0"/>
                <w:sz w:val="15"/>
              </w:rPr>
              <w:t>Mitigation concepts and analytics exist, but some KPIs were static in reviewed POC</w:t>
            </w:r>
          </w:p>
        </w:tc>
        <w:tc>
          <w:tcPr>
            <w:tcW w:type="dxa" w:w="2556"/>
            <w:vAlign w:val="center"/>
          </w:tcPr>
          <w:p>
            <w:pPr>
              <w:spacing w:after="0"/>
            </w:pPr>
            <w:r/>
            <w:r>
              <w:rPr>
                <w:rFonts w:ascii="Aptos" w:hAnsi="Aptos"/>
                <w:b w:val="0"/>
                <w:sz w:val="15"/>
              </w:rPr>
              <w:t>Ranked savings list claimed</w:t>
            </w:r>
          </w:p>
        </w:tc>
        <w:tc>
          <w:tcPr>
            <w:tcW w:type="dxa" w:w="2556"/>
            <w:vAlign w:val="center"/>
          </w:tcPr>
          <w:p>
            <w:pPr>
              <w:spacing w:after="0"/>
            </w:pPr>
            <w:r/>
            <w:r>
              <w:rPr>
                <w:rFonts w:ascii="Aptos" w:hAnsi="Aptos"/>
                <w:b w:val="0"/>
                <w:sz w:val="15"/>
              </w:rPr>
              <w:t>Add owner, due date, baseline, expected savings and measured outcome</w:t>
            </w:r>
          </w:p>
        </w:tc>
      </w:tr>
      <w:tr>
        <w:trPr>
          <w:cantSplit/>
        </w:trPr>
        <w:tc>
          <w:tcPr>
            <w:tcW w:type="dxa" w:w="2556"/>
            <w:vAlign w:val="center"/>
            <w:shd w:fill="F5F7FA"/>
          </w:tcPr>
          <w:p>
            <w:pPr>
              <w:spacing w:after="0"/>
            </w:pPr>
            <w:r/>
            <w:r>
              <w:rPr>
                <w:rFonts w:ascii="Aptos" w:hAnsi="Aptos"/>
                <w:b w:val="0"/>
                <w:sz w:val="15"/>
              </w:rPr>
              <w:t>Data quality / completeness</w:t>
            </w:r>
          </w:p>
        </w:tc>
        <w:tc>
          <w:tcPr>
            <w:tcW w:type="dxa" w:w="2556"/>
            <w:vAlign w:val="center"/>
            <w:shd w:fill="F5F7FA"/>
          </w:tcPr>
          <w:p>
            <w:pPr>
              <w:spacing w:after="0"/>
            </w:pPr>
            <w:r/>
            <w:r>
              <w:rPr>
                <w:rFonts w:ascii="Aptos" w:hAnsi="Aptos"/>
                <w:b w:val="0"/>
                <w:sz w:val="15"/>
              </w:rPr>
              <w:t>Readiness and lineage foundations; current POC quality values need to become evidence-derived</w:t>
            </w:r>
          </w:p>
        </w:tc>
        <w:tc>
          <w:tcPr>
            <w:tcW w:type="dxa" w:w="2556"/>
            <w:vAlign w:val="center"/>
            <w:shd w:fill="F5F7FA"/>
          </w:tcPr>
          <w:p>
            <w:pPr>
              <w:spacing w:after="0"/>
            </w:pPr>
            <w:r/>
            <w:r>
              <w:rPr>
                <w:rFonts w:ascii="Aptos" w:hAnsi="Aptos"/>
                <w:b w:val="0"/>
                <w:sz w:val="15"/>
              </w:rPr>
              <w:t>Completeness scoring is part of compliance proposition</w:t>
            </w:r>
          </w:p>
        </w:tc>
        <w:tc>
          <w:tcPr>
            <w:tcW w:type="dxa" w:w="2556"/>
            <w:vAlign w:val="center"/>
            <w:shd w:fill="F5F7FA"/>
          </w:tcPr>
          <w:p>
            <w:pPr>
              <w:spacing w:after="0"/>
            </w:pPr>
            <w:r/>
            <w:r>
              <w:rPr>
                <w:rFonts w:ascii="Aptos" w:hAnsi="Aptos"/>
                <w:b w:val="0"/>
                <w:sz w:val="15"/>
              </w:rPr>
              <w:t>Make completeness computed, explainable and issue-linked</w:t>
            </w:r>
          </w:p>
        </w:tc>
      </w:tr>
      <w:tr>
        <w:trPr>
          <w:cantSplit/>
        </w:trPr>
        <w:tc>
          <w:tcPr>
            <w:tcW w:type="dxa" w:w="2556"/>
            <w:vAlign w:val="center"/>
          </w:tcPr>
          <w:p>
            <w:pPr>
              <w:spacing w:after="0"/>
            </w:pPr>
            <w:r/>
            <w:r>
              <w:rPr>
                <w:rFonts w:ascii="Aptos" w:hAnsi="Aptos"/>
                <w:b w:val="0"/>
                <w:sz w:val="15"/>
              </w:rPr>
              <w:t>Public verification</w:t>
            </w:r>
          </w:p>
        </w:tc>
        <w:tc>
          <w:tcPr>
            <w:tcW w:type="dxa" w:w="2556"/>
            <w:vAlign w:val="center"/>
          </w:tcPr>
          <w:p>
            <w:pPr>
              <w:spacing w:after="0"/>
            </w:pPr>
            <w:r/>
            <w:r>
              <w:rPr>
                <w:rFonts w:ascii="Aptos" w:hAnsi="Aptos"/>
                <w:b w:val="0"/>
                <w:sz w:val="15"/>
              </w:rPr>
              <w:t>Core QR/public-view concept</w:t>
            </w:r>
          </w:p>
        </w:tc>
        <w:tc>
          <w:tcPr>
            <w:tcW w:type="dxa" w:w="2556"/>
            <w:vAlign w:val="center"/>
          </w:tcPr>
          <w:p>
            <w:pPr>
              <w:spacing w:after="0"/>
            </w:pPr>
            <w:r/>
            <w:r>
              <w:rPr>
                <w:rFonts w:ascii="Aptos" w:hAnsi="Aptos"/>
                <w:b w:val="0"/>
                <w:sz w:val="15"/>
              </w:rPr>
              <w:t>Not identified as a product passport/public verification feature</w:t>
            </w:r>
          </w:p>
        </w:tc>
        <w:tc>
          <w:tcPr>
            <w:tcW w:type="dxa" w:w="2556"/>
            <w:vAlign w:val="center"/>
          </w:tcPr>
          <w:p>
            <w:pPr>
              <w:spacing w:after="0"/>
            </w:pPr>
            <w:r/>
            <w:r>
              <w:rPr>
                <w:rFonts w:ascii="Aptos" w:hAnsi="Aptos"/>
                <w:b w:val="0"/>
                <w:sz w:val="15"/>
              </w:rPr>
              <w:t>Major differentiator for buyers, regulators and auditors</w:t>
            </w:r>
          </w:p>
        </w:tc>
      </w:tr>
      <w:tr>
        <w:trPr>
          <w:cantSplit/>
        </w:trPr>
        <w:tc>
          <w:tcPr>
            <w:tcW w:type="dxa" w:w="2556"/>
            <w:vAlign w:val="center"/>
            <w:shd w:fill="F5F7FA"/>
          </w:tcPr>
          <w:p>
            <w:pPr>
              <w:spacing w:after="0"/>
            </w:pPr>
            <w:r/>
            <w:r>
              <w:rPr>
                <w:rFonts w:ascii="Aptos" w:hAnsi="Aptos"/>
                <w:b w:val="0"/>
                <w:sz w:val="15"/>
              </w:rPr>
              <w:t>Paris / NDC alignment</w:t>
            </w:r>
          </w:p>
        </w:tc>
        <w:tc>
          <w:tcPr>
            <w:tcW w:type="dxa" w:w="2556"/>
            <w:vAlign w:val="center"/>
            <w:shd w:fill="F5F7FA"/>
          </w:tcPr>
          <w:p>
            <w:pPr>
              <w:spacing w:after="0"/>
            </w:pPr>
            <w:r/>
            <w:r>
              <w:rPr>
                <w:rFonts w:ascii="Aptos" w:hAnsi="Aptos"/>
                <w:b w:val="0"/>
                <w:sz w:val="15"/>
              </w:rPr>
              <w:t>Planned NDC mapping, company target, mitigation register, transparency score</w:t>
            </w:r>
          </w:p>
        </w:tc>
        <w:tc>
          <w:tcPr>
            <w:tcW w:type="dxa" w:w="2556"/>
            <w:vAlign w:val="center"/>
            <w:shd w:fill="F5F7FA"/>
          </w:tcPr>
          <w:p>
            <w:pPr>
              <w:spacing w:after="0"/>
            </w:pPr>
            <w:r/>
            <w:r>
              <w:rPr>
                <w:rFonts w:ascii="Aptos" w:hAnsi="Aptos"/>
                <w:b w:val="0"/>
                <w:sz w:val="15"/>
              </w:rPr>
              <w:t>Not identified in reviewed pages</w:t>
            </w:r>
          </w:p>
        </w:tc>
        <w:tc>
          <w:tcPr>
            <w:tcW w:type="dxa" w:w="2556"/>
            <w:vAlign w:val="center"/>
            <w:shd w:fill="F5F7FA"/>
          </w:tcPr>
          <w:p>
            <w:pPr>
              <w:spacing w:after="0"/>
            </w:pPr>
            <w:r/>
            <w:r>
              <w:rPr>
                <w:rFonts w:ascii="Aptos" w:hAnsi="Aptos"/>
                <w:b w:val="0"/>
                <w:sz w:val="15"/>
              </w:rPr>
              <w:t>Useful government/enterprise extension, but keep separate from core POC</w:t>
            </w:r>
          </w:p>
        </w:tc>
      </w:tr>
      <w:tr>
        <w:trPr>
          <w:cantSplit/>
        </w:trPr>
        <w:tc>
          <w:tcPr>
            <w:tcW w:type="dxa" w:w="2556"/>
            <w:vAlign w:val="center"/>
          </w:tcPr>
          <w:p>
            <w:pPr>
              <w:spacing w:after="0"/>
            </w:pPr>
            <w:r/>
            <w:r>
              <w:rPr>
                <w:rFonts w:ascii="Aptos" w:hAnsi="Aptos"/>
                <w:b w:val="0"/>
                <w:sz w:val="15"/>
              </w:rPr>
              <w:t>Hardware strategy</w:t>
            </w:r>
          </w:p>
        </w:tc>
        <w:tc>
          <w:tcPr>
            <w:tcW w:type="dxa" w:w="2556"/>
            <w:vAlign w:val="center"/>
          </w:tcPr>
          <w:p>
            <w:pPr>
              <w:spacing w:after="0"/>
            </w:pPr>
            <w:r/>
            <w:r>
              <w:rPr>
                <w:rFonts w:ascii="Aptos" w:hAnsi="Aptos"/>
                <w:b w:val="0"/>
                <w:sz w:val="15"/>
              </w:rPr>
              <w:t>SaurEdge can become branded industrial MRV edge layer integrated with Carbon Passport</w:t>
            </w:r>
          </w:p>
        </w:tc>
        <w:tc>
          <w:tcPr>
            <w:tcW w:type="dxa" w:w="2556"/>
            <w:vAlign w:val="center"/>
          </w:tcPr>
          <w:p>
            <w:pPr>
              <w:spacing w:after="0"/>
            </w:pPr>
            <w:r/>
            <w:r>
              <w:rPr>
                <w:rFonts w:ascii="Aptos" w:hAnsi="Aptos"/>
                <w:b w:val="0"/>
                <w:sz w:val="15"/>
              </w:rPr>
              <w:t>States it does not manufacture hardware</w:t>
            </w:r>
          </w:p>
        </w:tc>
        <w:tc>
          <w:tcPr>
            <w:tcW w:type="dxa" w:w="2556"/>
            <w:vAlign w:val="center"/>
          </w:tcPr>
          <w:p>
            <w:pPr>
              <w:spacing w:after="0"/>
            </w:pPr>
            <w:r/>
            <w:r>
              <w:rPr>
                <w:rFonts w:ascii="Aptos" w:hAnsi="Aptos"/>
                <w:b w:val="0"/>
                <w:sz w:val="15"/>
              </w:rPr>
              <w:t>Potential moat if hardware remains modular and protocol-open</w:t>
            </w:r>
          </w:p>
        </w:tc>
      </w:tr>
      <w:tr>
        <w:trPr>
          <w:cantSplit/>
        </w:trPr>
        <w:tc>
          <w:tcPr>
            <w:tcW w:type="dxa" w:w="2556"/>
            <w:vAlign w:val="center"/>
            <w:shd w:fill="F5F7FA"/>
          </w:tcPr>
          <w:p>
            <w:pPr>
              <w:spacing w:after="0"/>
            </w:pPr>
            <w:r/>
            <w:r>
              <w:rPr>
                <w:rFonts w:ascii="Aptos" w:hAnsi="Aptos"/>
                <w:b w:val="0"/>
                <w:sz w:val="15"/>
              </w:rPr>
              <w:t>Multi-jurisdiction compliance</w:t>
            </w:r>
          </w:p>
        </w:tc>
        <w:tc>
          <w:tcPr>
            <w:tcW w:type="dxa" w:w="2556"/>
            <w:vAlign w:val="center"/>
            <w:shd w:fill="F5F7FA"/>
          </w:tcPr>
          <w:p>
            <w:pPr>
              <w:spacing w:after="0"/>
            </w:pPr>
            <w:r/>
            <w:r>
              <w:rPr>
                <w:rFonts w:ascii="Aptos" w:hAnsi="Aptos"/>
                <w:b w:val="0"/>
                <w:sz w:val="15"/>
              </w:rPr>
              <w:t>EU CBAM focus plus planned India/UK/Ghana/global modules</w:t>
            </w:r>
          </w:p>
        </w:tc>
        <w:tc>
          <w:tcPr>
            <w:tcW w:type="dxa" w:w="2556"/>
            <w:vAlign w:val="center"/>
            <w:shd w:fill="F5F7FA"/>
          </w:tcPr>
          <w:p>
            <w:pPr>
              <w:spacing w:after="0"/>
            </w:pPr>
            <w:r/>
            <w:r>
              <w:rPr>
                <w:rFonts w:ascii="Aptos" w:hAnsi="Aptos"/>
                <w:b w:val="0"/>
                <w:sz w:val="15"/>
              </w:rPr>
              <w:t>CBAM, SECR, ESOS and UK orientation</w:t>
            </w:r>
          </w:p>
        </w:tc>
        <w:tc>
          <w:tcPr>
            <w:tcW w:type="dxa" w:w="2556"/>
            <w:vAlign w:val="center"/>
            <w:shd w:fill="F5F7FA"/>
          </w:tcPr>
          <w:p>
            <w:pPr>
              <w:spacing w:after="0"/>
            </w:pPr>
            <w:r/>
            <w:r>
              <w:rPr>
                <w:rFonts w:ascii="Aptos" w:hAnsi="Aptos"/>
                <w:b w:val="0"/>
                <w:sz w:val="15"/>
              </w:rPr>
              <w:t>Build rule packs with source/version/effective date rather than hard-coded text</w:t>
            </w:r>
          </w:p>
        </w:tc>
      </w:tr>
    </w:tbl>
    <w:p>
      <w:pPr>
        <w:pStyle w:val="Heading1"/>
      </w:pPr>
      <w:r>
        <w:t>3. Positioning Scorecard</w:t>
      </w:r>
    </w:p>
    <w:p>
      <w:r>
        <w:t>Indicative strategic score based on the reviewed CarbonMeter marketing claims and the current Carbon Passport POC/design direction. This is not an audited market benchmark.</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2F5597"/>
          </w:tcPr>
          <w:p>
            <w:pPr>
              <w:spacing w:after="0"/>
            </w:pPr>
            <w:r/>
            <w:r>
              <w:rPr>
                <w:rFonts w:ascii="Aptos" w:hAnsi="Aptos"/>
                <w:b/>
                <w:color w:val="FFFFFF"/>
                <w:sz w:val="16"/>
              </w:rPr>
              <w:t>Capability</w:t>
            </w:r>
          </w:p>
        </w:tc>
        <w:tc>
          <w:tcPr>
            <w:tcW w:type="dxa" w:w="2556"/>
            <w:vAlign w:val="center"/>
            <w:shd w:fill="2F5597"/>
          </w:tcPr>
          <w:p>
            <w:pPr>
              <w:spacing w:after="0"/>
            </w:pPr>
            <w:r/>
            <w:r>
              <w:rPr>
                <w:rFonts w:ascii="Aptos" w:hAnsi="Aptos"/>
                <w:b/>
                <w:color w:val="FFFFFF"/>
                <w:sz w:val="16"/>
              </w:rPr>
              <w:t>Carbon Passport /5</w:t>
            </w:r>
          </w:p>
        </w:tc>
        <w:tc>
          <w:tcPr>
            <w:tcW w:type="dxa" w:w="2556"/>
            <w:vAlign w:val="center"/>
            <w:shd w:fill="2F5597"/>
          </w:tcPr>
          <w:p>
            <w:pPr>
              <w:spacing w:after="0"/>
            </w:pPr>
            <w:r/>
            <w:r>
              <w:rPr>
                <w:rFonts w:ascii="Aptos" w:hAnsi="Aptos"/>
                <w:b/>
                <w:color w:val="FFFFFF"/>
                <w:sz w:val="16"/>
              </w:rPr>
              <w:t>CarbonMeter /5</w:t>
            </w:r>
          </w:p>
        </w:tc>
        <w:tc>
          <w:tcPr>
            <w:tcW w:type="dxa" w:w="2556"/>
            <w:vAlign w:val="center"/>
            <w:shd w:fill="2F5597"/>
          </w:tcPr>
          <w:p>
            <w:pPr>
              <w:spacing w:after="0"/>
            </w:pPr>
            <w:r/>
            <w:r>
              <w:rPr>
                <w:rFonts w:ascii="Aptos" w:hAnsi="Aptos"/>
                <w:b/>
                <w:color w:val="FFFFFF"/>
                <w:sz w:val="16"/>
              </w:rPr>
              <w:t>Interpretation</w:t>
            </w:r>
          </w:p>
        </w:tc>
      </w:tr>
      <w:tr>
        <w:trPr>
          <w:cantSplit/>
        </w:trPr>
        <w:tc>
          <w:tcPr>
            <w:tcW w:type="dxa" w:w="2556"/>
            <w:vAlign w:val="center"/>
          </w:tcPr>
          <w:p>
            <w:pPr>
              <w:spacing w:after="0"/>
            </w:pPr>
            <w:r/>
            <w:r>
              <w:rPr>
                <w:rFonts w:ascii="Aptos" w:hAnsi="Aptos"/>
                <w:b w:val="0"/>
                <w:sz w:val="16"/>
              </w:rPr>
              <w:t>Asset-level operational energy visibility</w:t>
            </w:r>
          </w:p>
        </w:tc>
        <w:tc>
          <w:tcPr>
            <w:tcW w:type="dxa" w:w="2556"/>
            <w:vAlign w:val="center"/>
          </w:tcPr>
          <w:p>
            <w:pPr>
              <w:spacing w:after="0"/>
            </w:pPr>
            <w:r/>
            <w:r>
              <w:rPr>
                <w:rFonts w:ascii="Aptos" w:hAnsi="Aptos"/>
                <w:b w:val="0"/>
                <w:sz w:val="16"/>
              </w:rPr>
              <w:t>3</w:t>
            </w:r>
          </w:p>
        </w:tc>
        <w:tc>
          <w:tcPr>
            <w:tcW w:type="dxa" w:w="2556"/>
            <w:vAlign w:val="center"/>
          </w:tcPr>
          <w:p>
            <w:pPr>
              <w:spacing w:after="0"/>
            </w:pPr>
            <w:r/>
            <w:r>
              <w:rPr>
                <w:rFonts w:ascii="Aptos" w:hAnsi="Aptos"/>
                <w:b w:val="0"/>
                <w:sz w:val="16"/>
              </w:rPr>
              <w:t>5</w:t>
            </w:r>
          </w:p>
        </w:tc>
        <w:tc>
          <w:tcPr>
            <w:tcW w:type="dxa" w:w="2556"/>
            <w:vAlign w:val="center"/>
          </w:tcPr>
          <w:p>
            <w:pPr>
              <w:spacing w:after="0"/>
            </w:pPr>
            <w:r/>
            <w:r>
              <w:rPr>
                <w:rFonts w:ascii="Aptos" w:hAnsi="Aptos"/>
                <w:b w:val="0"/>
                <w:sz w:val="16"/>
              </w:rPr>
              <w:t>CarbonMeter leads today</w:t>
            </w:r>
          </w:p>
        </w:tc>
      </w:tr>
      <w:tr>
        <w:trPr>
          <w:cantSplit/>
        </w:trPr>
        <w:tc>
          <w:tcPr>
            <w:tcW w:type="dxa" w:w="2556"/>
            <w:vAlign w:val="center"/>
            <w:shd w:fill="F6F8FB"/>
          </w:tcPr>
          <w:p>
            <w:pPr>
              <w:spacing w:after="0"/>
            </w:pPr>
            <w:r/>
            <w:r>
              <w:rPr>
                <w:rFonts w:ascii="Aptos" w:hAnsi="Aptos"/>
                <w:b w:val="0"/>
                <w:sz w:val="16"/>
              </w:rPr>
              <w:t>Anomaly / waste detection</w:t>
            </w:r>
          </w:p>
        </w:tc>
        <w:tc>
          <w:tcPr>
            <w:tcW w:type="dxa" w:w="2556"/>
            <w:vAlign w:val="center"/>
            <w:shd w:fill="F6F8FB"/>
          </w:tcPr>
          <w:p>
            <w:pPr>
              <w:spacing w:after="0"/>
            </w:pPr>
            <w:r/>
            <w:r>
              <w:rPr>
                <w:rFonts w:ascii="Aptos" w:hAnsi="Aptos"/>
                <w:b w:val="0"/>
                <w:sz w:val="16"/>
              </w:rPr>
              <w:t>2</w:t>
            </w:r>
          </w:p>
        </w:tc>
        <w:tc>
          <w:tcPr>
            <w:tcW w:type="dxa" w:w="2556"/>
            <w:vAlign w:val="center"/>
            <w:shd w:fill="F6F8FB"/>
          </w:tcPr>
          <w:p>
            <w:pPr>
              <w:spacing w:after="0"/>
            </w:pPr>
            <w:r/>
            <w:r>
              <w:rPr>
                <w:rFonts w:ascii="Aptos" w:hAnsi="Aptos"/>
                <w:b w:val="0"/>
                <w:sz w:val="16"/>
              </w:rPr>
              <w:t>5</w:t>
            </w:r>
          </w:p>
        </w:tc>
        <w:tc>
          <w:tcPr>
            <w:tcW w:type="dxa" w:w="2556"/>
            <w:vAlign w:val="center"/>
            <w:shd w:fill="F6F8FB"/>
          </w:tcPr>
          <w:p>
            <w:pPr>
              <w:spacing w:after="0"/>
            </w:pPr>
            <w:r/>
            <w:r>
              <w:rPr>
                <w:rFonts w:ascii="Aptos" w:hAnsi="Aptos"/>
                <w:b w:val="0"/>
                <w:sz w:val="16"/>
              </w:rPr>
              <w:t>Clear Carbon Passport gap</w:t>
            </w:r>
          </w:p>
        </w:tc>
      </w:tr>
      <w:tr>
        <w:trPr>
          <w:cantSplit/>
        </w:trPr>
        <w:tc>
          <w:tcPr>
            <w:tcW w:type="dxa" w:w="2556"/>
            <w:vAlign w:val="center"/>
          </w:tcPr>
          <w:p>
            <w:pPr>
              <w:spacing w:after="0"/>
            </w:pPr>
            <w:r/>
            <w:r>
              <w:rPr>
                <w:rFonts w:ascii="Aptos" w:hAnsi="Aptos"/>
                <w:b w:val="0"/>
                <w:sz w:val="16"/>
              </w:rPr>
              <w:t>Product carbon footprint and batch identity</w:t>
            </w:r>
          </w:p>
        </w:tc>
        <w:tc>
          <w:tcPr>
            <w:tcW w:type="dxa" w:w="2556"/>
            <w:vAlign w:val="center"/>
          </w:tcPr>
          <w:p>
            <w:pPr>
              <w:spacing w:after="0"/>
            </w:pPr>
            <w:r/>
            <w:r>
              <w:rPr>
                <w:rFonts w:ascii="Aptos" w:hAnsi="Aptos"/>
                <w:b w:val="0"/>
                <w:sz w:val="16"/>
              </w:rPr>
              <w:t>5</w:t>
            </w:r>
          </w:p>
        </w:tc>
        <w:tc>
          <w:tcPr>
            <w:tcW w:type="dxa" w:w="2556"/>
            <w:vAlign w:val="center"/>
          </w:tcPr>
          <w:p>
            <w:pPr>
              <w:spacing w:after="0"/>
            </w:pPr>
            <w:r/>
            <w:r>
              <w:rPr>
                <w:rFonts w:ascii="Aptos" w:hAnsi="Aptos"/>
                <w:b w:val="0"/>
                <w:sz w:val="16"/>
              </w:rPr>
              <w:t>3</w:t>
            </w:r>
          </w:p>
        </w:tc>
        <w:tc>
          <w:tcPr>
            <w:tcW w:type="dxa" w:w="2556"/>
            <w:vAlign w:val="center"/>
          </w:tcPr>
          <w:p>
            <w:pPr>
              <w:spacing w:after="0"/>
            </w:pPr>
            <w:r/>
            <w:r>
              <w:rPr>
                <w:rFonts w:ascii="Aptos" w:hAnsi="Aptos"/>
                <w:b w:val="0"/>
                <w:sz w:val="16"/>
              </w:rPr>
              <w:t>Carbon Passport leads</w:t>
            </w:r>
          </w:p>
        </w:tc>
      </w:tr>
      <w:tr>
        <w:trPr>
          <w:cantSplit/>
        </w:trPr>
        <w:tc>
          <w:tcPr>
            <w:tcW w:type="dxa" w:w="2556"/>
            <w:vAlign w:val="center"/>
            <w:shd w:fill="F6F8FB"/>
          </w:tcPr>
          <w:p>
            <w:pPr>
              <w:spacing w:after="0"/>
            </w:pPr>
            <w:r/>
            <w:r>
              <w:rPr>
                <w:rFonts w:ascii="Aptos" w:hAnsi="Aptos"/>
                <w:b w:val="0"/>
                <w:sz w:val="16"/>
              </w:rPr>
              <w:t>Digital product/passport verification</w:t>
            </w:r>
          </w:p>
        </w:tc>
        <w:tc>
          <w:tcPr>
            <w:tcW w:type="dxa" w:w="2556"/>
            <w:vAlign w:val="center"/>
            <w:shd w:fill="F6F8FB"/>
          </w:tcPr>
          <w:p>
            <w:pPr>
              <w:spacing w:after="0"/>
            </w:pPr>
            <w:r/>
            <w:r>
              <w:rPr>
                <w:rFonts w:ascii="Aptos" w:hAnsi="Aptos"/>
                <w:b w:val="0"/>
                <w:sz w:val="16"/>
              </w:rPr>
              <w:t>5</w:t>
            </w:r>
          </w:p>
        </w:tc>
        <w:tc>
          <w:tcPr>
            <w:tcW w:type="dxa" w:w="2556"/>
            <w:vAlign w:val="center"/>
            <w:shd w:fill="F6F8FB"/>
          </w:tcPr>
          <w:p>
            <w:pPr>
              <w:spacing w:after="0"/>
            </w:pPr>
            <w:r/>
            <w:r>
              <w:rPr>
                <w:rFonts w:ascii="Aptos" w:hAnsi="Aptos"/>
                <w:b w:val="0"/>
                <w:sz w:val="16"/>
              </w:rPr>
              <w:t>1</w:t>
            </w:r>
          </w:p>
        </w:tc>
        <w:tc>
          <w:tcPr>
            <w:tcW w:type="dxa" w:w="2556"/>
            <w:vAlign w:val="center"/>
            <w:shd w:fill="F6F8FB"/>
          </w:tcPr>
          <w:p>
            <w:pPr>
              <w:spacing w:after="0"/>
            </w:pPr>
            <w:r/>
            <w:r>
              <w:rPr>
                <w:rFonts w:ascii="Aptos" w:hAnsi="Aptos"/>
                <w:b w:val="0"/>
                <w:sz w:val="16"/>
              </w:rPr>
              <w:t>Distinct Carbon Passport advantage</w:t>
            </w:r>
          </w:p>
        </w:tc>
      </w:tr>
      <w:tr>
        <w:trPr>
          <w:cantSplit/>
        </w:trPr>
        <w:tc>
          <w:tcPr>
            <w:tcW w:type="dxa" w:w="2556"/>
            <w:vAlign w:val="center"/>
          </w:tcPr>
          <w:p>
            <w:pPr>
              <w:spacing w:after="0"/>
            </w:pPr>
            <w:r/>
            <w:r>
              <w:rPr>
                <w:rFonts w:ascii="Aptos" w:hAnsi="Aptos"/>
                <w:b w:val="0"/>
                <w:sz w:val="16"/>
              </w:rPr>
              <w:t>Independent verifier workflow</w:t>
            </w:r>
          </w:p>
        </w:tc>
        <w:tc>
          <w:tcPr>
            <w:tcW w:type="dxa" w:w="2556"/>
            <w:vAlign w:val="center"/>
          </w:tcPr>
          <w:p>
            <w:pPr>
              <w:spacing w:after="0"/>
            </w:pPr>
            <w:r/>
            <w:r>
              <w:rPr>
                <w:rFonts w:ascii="Aptos" w:hAnsi="Aptos"/>
                <w:b w:val="0"/>
                <w:sz w:val="16"/>
              </w:rPr>
              <w:t>5</w:t>
            </w:r>
          </w:p>
        </w:tc>
        <w:tc>
          <w:tcPr>
            <w:tcW w:type="dxa" w:w="2556"/>
            <w:vAlign w:val="center"/>
          </w:tcPr>
          <w:p>
            <w:pPr>
              <w:spacing w:after="0"/>
            </w:pPr>
            <w:r/>
            <w:r>
              <w:rPr>
                <w:rFonts w:ascii="Aptos" w:hAnsi="Aptos"/>
                <w:b w:val="0"/>
                <w:sz w:val="16"/>
              </w:rPr>
              <w:t>2</w:t>
            </w:r>
          </w:p>
        </w:tc>
        <w:tc>
          <w:tcPr>
            <w:tcW w:type="dxa" w:w="2556"/>
            <w:vAlign w:val="center"/>
          </w:tcPr>
          <w:p>
            <w:pPr>
              <w:spacing w:after="0"/>
            </w:pPr>
            <w:r/>
            <w:r>
              <w:rPr>
                <w:rFonts w:ascii="Aptos" w:hAnsi="Aptos"/>
                <w:b w:val="0"/>
                <w:sz w:val="16"/>
              </w:rPr>
              <w:t>Carbon Passport advantage</w:t>
            </w:r>
          </w:p>
        </w:tc>
      </w:tr>
      <w:tr>
        <w:trPr>
          <w:cantSplit/>
        </w:trPr>
        <w:tc>
          <w:tcPr>
            <w:tcW w:type="dxa" w:w="2556"/>
            <w:vAlign w:val="center"/>
            <w:shd w:fill="F6F8FB"/>
          </w:tcPr>
          <w:p>
            <w:pPr>
              <w:spacing w:after="0"/>
            </w:pPr>
            <w:r/>
            <w:r>
              <w:rPr>
                <w:rFonts w:ascii="Aptos" w:hAnsi="Aptos"/>
                <w:b w:val="0"/>
                <w:sz w:val="16"/>
              </w:rPr>
              <w:t>Supplier evidence traceability</w:t>
            </w:r>
          </w:p>
        </w:tc>
        <w:tc>
          <w:tcPr>
            <w:tcW w:type="dxa" w:w="2556"/>
            <w:vAlign w:val="center"/>
            <w:shd w:fill="F6F8FB"/>
          </w:tcPr>
          <w:p>
            <w:pPr>
              <w:spacing w:after="0"/>
            </w:pPr>
            <w:r/>
            <w:r>
              <w:rPr>
                <w:rFonts w:ascii="Aptos" w:hAnsi="Aptos"/>
                <w:b w:val="0"/>
                <w:sz w:val="16"/>
              </w:rPr>
              <w:t>4</w:t>
            </w:r>
          </w:p>
        </w:tc>
        <w:tc>
          <w:tcPr>
            <w:tcW w:type="dxa" w:w="2556"/>
            <w:vAlign w:val="center"/>
            <w:shd w:fill="F6F8FB"/>
          </w:tcPr>
          <w:p>
            <w:pPr>
              <w:spacing w:after="0"/>
            </w:pPr>
            <w:r/>
            <w:r>
              <w:rPr>
                <w:rFonts w:ascii="Aptos" w:hAnsi="Aptos"/>
                <w:b w:val="0"/>
                <w:sz w:val="16"/>
              </w:rPr>
              <w:t>4</w:t>
            </w:r>
          </w:p>
        </w:tc>
        <w:tc>
          <w:tcPr>
            <w:tcW w:type="dxa" w:w="2556"/>
            <w:vAlign w:val="center"/>
            <w:shd w:fill="F6F8FB"/>
          </w:tcPr>
          <w:p>
            <w:pPr>
              <w:spacing w:after="0"/>
            </w:pPr>
            <w:r/>
            <w:r>
              <w:rPr>
                <w:rFonts w:ascii="Aptos" w:hAnsi="Aptos"/>
                <w:b w:val="0"/>
                <w:sz w:val="16"/>
              </w:rPr>
              <w:t>Both relevant; execution quality matters</w:t>
            </w:r>
          </w:p>
        </w:tc>
      </w:tr>
      <w:tr>
        <w:trPr>
          <w:cantSplit/>
        </w:trPr>
        <w:tc>
          <w:tcPr>
            <w:tcW w:type="dxa" w:w="2556"/>
            <w:vAlign w:val="center"/>
          </w:tcPr>
          <w:p>
            <w:pPr>
              <w:spacing w:after="0"/>
            </w:pPr>
            <w:r/>
            <w:r>
              <w:rPr>
                <w:rFonts w:ascii="Aptos" w:hAnsi="Aptos"/>
                <w:b w:val="0"/>
                <w:sz w:val="16"/>
              </w:rPr>
              <w:t>CBAM supplier workflow</w:t>
            </w:r>
          </w:p>
        </w:tc>
        <w:tc>
          <w:tcPr>
            <w:tcW w:type="dxa" w:w="2556"/>
            <w:vAlign w:val="center"/>
          </w:tcPr>
          <w:p>
            <w:pPr>
              <w:spacing w:after="0"/>
            </w:pPr>
            <w:r/>
            <w:r>
              <w:rPr>
                <w:rFonts w:ascii="Aptos" w:hAnsi="Aptos"/>
                <w:b w:val="0"/>
                <w:sz w:val="16"/>
              </w:rPr>
              <w:t>4</w:t>
            </w:r>
          </w:p>
        </w:tc>
        <w:tc>
          <w:tcPr>
            <w:tcW w:type="dxa" w:w="2556"/>
            <w:vAlign w:val="center"/>
          </w:tcPr>
          <w:p>
            <w:pPr>
              <w:spacing w:after="0"/>
            </w:pPr>
            <w:r/>
            <w:r>
              <w:rPr>
                <w:rFonts w:ascii="Aptos" w:hAnsi="Aptos"/>
                <w:b w:val="0"/>
                <w:sz w:val="16"/>
              </w:rPr>
              <w:t>5</w:t>
            </w:r>
          </w:p>
        </w:tc>
        <w:tc>
          <w:tcPr>
            <w:tcW w:type="dxa" w:w="2556"/>
            <w:vAlign w:val="center"/>
          </w:tcPr>
          <w:p>
            <w:pPr>
              <w:spacing w:after="0"/>
            </w:pPr>
            <w:r/>
            <w:r>
              <w:rPr>
                <w:rFonts w:ascii="Aptos" w:hAnsi="Aptos"/>
                <w:b w:val="0"/>
                <w:sz w:val="16"/>
              </w:rPr>
              <w:t>CarbonMeter currently communicates a very focused flow</w:t>
            </w:r>
          </w:p>
        </w:tc>
      </w:tr>
      <w:tr>
        <w:trPr>
          <w:cantSplit/>
        </w:trPr>
        <w:tc>
          <w:tcPr>
            <w:tcW w:type="dxa" w:w="2556"/>
            <w:vAlign w:val="center"/>
            <w:shd w:fill="F6F8FB"/>
          </w:tcPr>
          <w:p>
            <w:pPr>
              <w:spacing w:after="0"/>
            </w:pPr>
            <w:r/>
            <w:r>
              <w:rPr>
                <w:rFonts w:ascii="Aptos" w:hAnsi="Aptos"/>
                <w:b w:val="0"/>
                <w:sz w:val="16"/>
              </w:rPr>
              <w:t>Actual-vs-default exposure intelligence</w:t>
            </w:r>
          </w:p>
        </w:tc>
        <w:tc>
          <w:tcPr>
            <w:tcW w:type="dxa" w:w="2556"/>
            <w:vAlign w:val="center"/>
            <w:shd w:fill="F6F8FB"/>
          </w:tcPr>
          <w:p>
            <w:pPr>
              <w:spacing w:after="0"/>
            </w:pPr>
            <w:r/>
            <w:r>
              <w:rPr>
                <w:rFonts w:ascii="Aptos" w:hAnsi="Aptos"/>
                <w:b w:val="0"/>
                <w:sz w:val="16"/>
              </w:rPr>
              <w:t>3</w:t>
            </w:r>
          </w:p>
        </w:tc>
        <w:tc>
          <w:tcPr>
            <w:tcW w:type="dxa" w:w="2556"/>
            <w:vAlign w:val="center"/>
            <w:shd w:fill="F6F8FB"/>
          </w:tcPr>
          <w:p>
            <w:pPr>
              <w:spacing w:after="0"/>
            </w:pPr>
            <w:r/>
            <w:r>
              <w:rPr>
                <w:rFonts w:ascii="Aptos" w:hAnsi="Aptos"/>
                <w:b w:val="0"/>
                <w:sz w:val="16"/>
              </w:rPr>
              <w:t>4</w:t>
            </w:r>
          </w:p>
        </w:tc>
        <w:tc>
          <w:tcPr>
            <w:tcW w:type="dxa" w:w="2556"/>
            <w:vAlign w:val="center"/>
            <w:shd w:fill="F6F8FB"/>
          </w:tcPr>
          <w:p>
            <w:pPr>
              <w:spacing w:after="0"/>
            </w:pPr>
            <w:r/>
            <w:r>
              <w:rPr>
                <w:rFonts w:ascii="Aptos" w:hAnsi="Aptos"/>
                <w:b w:val="0"/>
                <w:sz w:val="16"/>
              </w:rPr>
              <w:t>Carbon Passport should make this a priority</w:t>
            </w:r>
          </w:p>
        </w:tc>
      </w:tr>
      <w:tr>
        <w:trPr>
          <w:cantSplit/>
        </w:trPr>
        <w:tc>
          <w:tcPr>
            <w:tcW w:type="dxa" w:w="2556"/>
            <w:vAlign w:val="center"/>
          </w:tcPr>
          <w:p>
            <w:pPr>
              <w:spacing w:after="0"/>
            </w:pPr>
            <w:r/>
            <w:r>
              <w:rPr>
                <w:rFonts w:ascii="Aptos" w:hAnsi="Aptos"/>
                <w:b w:val="0"/>
                <w:sz w:val="16"/>
              </w:rPr>
              <w:t>Public QR trust layer</w:t>
            </w:r>
          </w:p>
        </w:tc>
        <w:tc>
          <w:tcPr>
            <w:tcW w:type="dxa" w:w="2556"/>
            <w:vAlign w:val="center"/>
          </w:tcPr>
          <w:p>
            <w:pPr>
              <w:spacing w:after="0"/>
            </w:pPr>
            <w:r/>
            <w:r>
              <w:rPr>
                <w:rFonts w:ascii="Aptos" w:hAnsi="Aptos"/>
                <w:b w:val="0"/>
                <w:sz w:val="16"/>
              </w:rPr>
              <w:t>5</w:t>
            </w:r>
          </w:p>
        </w:tc>
        <w:tc>
          <w:tcPr>
            <w:tcW w:type="dxa" w:w="2556"/>
            <w:vAlign w:val="center"/>
          </w:tcPr>
          <w:p>
            <w:pPr>
              <w:spacing w:after="0"/>
            </w:pPr>
            <w:r/>
            <w:r>
              <w:rPr>
                <w:rFonts w:ascii="Aptos" w:hAnsi="Aptos"/>
                <w:b w:val="0"/>
                <w:sz w:val="16"/>
              </w:rPr>
              <w:t>1</w:t>
            </w:r>
          </w:p>
        </w:tc>
        <w:tc>
          <w:tcPr>
            <w:tcW w:type="dxa" w:w="2556"/>
            <w:vAlign w:val="center"/>
          </w:tcPr>
          <w:p>
            <w:pPr>
              <w:spacing w:after="0"/>
            </w:pPr>
            <w:r/>
            <w:r>
              <w:rPr>
                <w:rFonts w:ascii="Aptos" w:hAnsi="Aptos"/>
                <w:b w:val="0"/>
                <w:sz w:val="16"/>
              </w:rPr>
              <w:t>Carbon Passport advantage</w:t>
            </w:r>
          </w:p>
        </w:tc>
      </w:tr>
      <w:tr>
        <w:trPr>
          <w:cantSplit/>
        </w:trPr>
        <w:tc>
          <w:tcPr>
            <w:tcW w:type="dxa" w:w="2556"/>
            <w:vAlign w:val="center"/>
            <w:shd w:fill="F6F8FB"/>
          </w:tcPr>
          <w:p>
            <w:pPr>
              <w:spacing w:after="0"/>
            </w:pPr>
            <w:r/>
            <w:r>
              <w:rPr>
                <w:rFonts w:ascii="Aptos" w:hAnsi="Aptos"/>
                <w:b w:val="0"/>
                <w:sz w:val="16"/>
              </w:rPr>
              <w:t>Mitigation/action closure</w:t>
            </w:r>
          </w:p>
        </w:tc>
        <w:tc>
          <w:tcPr>
            <w:tcW w:type="dxa" w:w="2556"/>
            <w:vAlign w:val="center"/>
            <w:shd w:fill="F6F8FB"/>
          </w:tcPr>
          <w:p>
            <w:pPr>
              <w:spacing w:after="0"/>
            </w:pPr>
            <w:r/>
            <w:r>
              <w:rPr>
                <w:rFonts w:ascii="Aptos" w:hAnsi="Aptos"/>
                <w:b w:val="0"/>
                <w:sz w:val="16"/>
              </w:rPr>
              <w:t>3</w:t>
            </w:r>
          </w:p>
        </w:tc>
        <w:tc>
          <w:tcPr>
            <w:tcW w:type="dxa" w:w="2556"/>
            <w:vAlign w:val="center"/>
            <w:shd w:fill="F6F8FB"/>
          </w:tcPr>
          <w:p>
            <w:pPr>
              <w:spacing w:after="0"/>
            </w:pPr>
            <w:r/>
            <w:r>
              <w:rPr>
                <w:rFonts w:ascii="Aptos" w:hAnsi="Aptos"/>
                <w:b w:val="0"/>
                <w:sz w:val="16"/>
              </w:rPr>
              <w:t>4</w:t>
            </w:r>
          </w:p>
        </w:tc>
        <w:tc>
          <w:tcPr>
            <w:tcW w:type="dxa" w:w="2556"/>
            <w:vAlign w:val="center"/>
            <w:shd w:fill="F6F8FB"/>
          </w:tcPr>
          <w:p>
            <w:pPr>
              <w:spacing w:after="0"/>
            </w:pPr>
            <w:r/>
            <w:r>
              <w:rPr>
                <w:rFonts w:ascii="Aptos" w:hAnsi="Aptos"/>
                <w:b w:val="0"/>
                <w:sz w:val="16"/>
              </w:rPr>
              <w:t>Needs stronger measurable action records</w:t>
            </w:r>
          </w:p>
        </w:tc>
      </w:tr>
      <w:tr>
        <w:trPr>
          <w:cantSplit/>
        </w:trPr>
        <w:tc>
          <w:tcPr>
            <w:tcW w:type="dxa" w:w="2556"/>
            <w:vAlign w:val="center"/>
          </w:tcPr>
          <w:p>
            <w:pPr>
              <w:spacing w:after="0"/>
            </w:pPr>
            <w:r/>
            <w:r>
              <w:rPr>
                <w:rFonts w:ascii="Aptos" w:hAnsi="Aptos"/>
                <w:b w:val="0"/>
                <w:sz w:val="16"/>
              </w:rPr>
              <w:t>Hardware/MRV integration strategy</w:t>
            </w:r>
          </w:p>
        </w:tc>
        <w:tc>
          <w:tcPr>
            <w:tcW w:type="dxa" w:w="2556"/>
            <w:vAlign w:val="center"/>
          </w:tcPr>
          <w:p>
            <w:pPr>
              <w:spacing w:after="0"/>
            </w:pPr>
            <w:r/>
            <w:r>
              <w:rPr>
                <w:rFonts w:ascii="Aptos" w:hAnsi="Aptos"/>
                <w:b w:val="0"/>
                <w:sz w:val="16"/>
              </w:rPr>
              <w:t>5</w:t>
            </w:r>
          </w:p>
        </w:tc>
        <w:tc>
          <w:tcPr>
            <w:tcW w:type="dxa" w:w="2556"/>
            <w:vAlign w:val="center"/>
          </w:tcPr>
          <w:p>
            <w:pPr>
              <w:spacing w:after="0"/>
            </w:pPr>
            <w:r/>
            <w:r>
              <w:rPr>
                <w:rFonts w:ascii="Aptos" w:hAnsi="Aptos"/>
                <w:b w:val="0"/>
                <w:sz w:val="16"/>
              </w:rPr>
              <w:t>3</w:t>
            </w:r>
          </w:p>
        </w:tc>
        <w:tc>
          <w:tcPr>
            <w:tcW w:type="dxa" w:w="2556"/>
            <w:vAlign w:val="center"/>
          </w:tcPr>
          <w:p>
            <w:pPr>
              <w:spacing w:after="0"/>
            </w:pPr>
            <w:r/>
            <w:r>
              <w:rPr>
                <w:rFonts w:ascii="Aptos" w:hAnsi="Aptos"/>
                <w:b w:val="0"/>
                <w:sz w:val="16"/>
              </w:rPr>
              <w:t>SaurEdge can be a differentiator</w:t>
            </w:r>
          </w:p>
        </w:tc>
      </w:tr>
      <w:tr>
        <w:trPr>
          <w:cantSplit/>
        </w:trPr>
        <w:tc>
          <w:tcPr>
            <w:tcW w:type="dxa" w:w="2556"/>
            <w:vAlign w:val="center"/>
            <w:shd w:fill="F6F8FB"/>
          </w:tcPr>
          <w:p>
            <w:pPr>
              <w:spacing w:after="0"/>
            </w:pPr>
            <w:r/>
            <w:r>
              <w:rPr>
                <w:rFonts w:ascii="Aptos" w:hAnsi="Aptos"/>
                <w:b w:val="0"/>
                <w:sz w:val="16"/>
              </w:rPr>
              <w:t>Government/NDC extension</w:t>
            </w:r>
          </w:p>
        </w:tc>
        <w:tc>
          <w:tcPr>
            <w:tcW w:type="dxa" w:w="2556"/>
            <w:vAlign w:val="center"/>
            <w:shd w:fill="F6F8FB"/>
          </w:tcPr>
          <w:p>
            <w:pPr>
              <w:spacing w:after="0"/>
            </w:pPr>
            <w:r/>
            <w:r>
              <w:rPr>
                <w:rFonts w:ascii="Aptos" w:hAnsi="Aptos"/>
                <w:b w:val="0"/>
                <w:sz w:val="16"/>
              </w:rPr>
              <w:t>4</w:t>
            </w:r>
          </w:p>
        </w:tc>
        <w:tc>
          <w:tcPr>
            <w:tcW w:type="dxa" w:w="2556"/>
            <w:vAlign w:val="center"/>
            <w:shd w:fill="F6F8FB"/>
          </w:tcPr>
          <w:p>
            <w:pPr>
              <w:spacing w:after="0"/>
            </w:pPr>
            <w:r/>
            <w:r>
              <w:rPr>
                <w:rFonts w:ascii="Aptos" w:hAnsi="Aptos"/>
                <w:b w:val="0"/>
                <w:sz w:val="16"/>
              </w:rPr>
              <w:t>1</w:t>
            </w:r>
          </w:p>
        </w:tc>
        <w:tc>
          <w:tcPr>
            <w:tcW w:type="dxa" w:w="2556"/>
            <w:vAlign w:val="center"/>
            <w:shd w:fill="F6F8FB"/>
          </w:tcPr>
          <w:p>
            <w:pPr>
              <w:spacing w:after="0"/>
            </w:pPr>
            <w:r/>
            <w:r>
              <w:rPr>
                <w:rFonts w:ascii="Aptos" w:hAnsi="Aptos"/>
                <w:b w:val="0"/>
                <w:sz w:val="16"/>
              </w:rPr>
              <w:t>Useful Carbon Passport expansion layer</w:t>
            </w:r>
          </w:p>
        </w:tc>
      </w:tr>
    </w:tbl>
    <w:p>
      <w:pPr>
        <w:pStyle w:val="Heading1"/>
      </w:pPr>
      <w:r>
        <w:t>4. Where Carbon Passport Should Add More Weight</w:t>
      </w:r>
    </w:p>
    <w:tbl>
      <w:tblPr>
        <w:tblW w:type="auto" w:w="0"/>
        <w:jc w:val="center"/>
        <w:tblLayout w:type="autofit"/>
        <w:tblLook w:firstColumn="1" w:firstRow="1" w:lastColumn="0" w:lastRow="0" w:noHBand="0" w:noVBand="1" w:val="04A0"/>
      </w:tblPr>
      <w:tblGrid>
        <w:gridCol w:w="10224"/>
      </w:tblGrid>
      <w:tr>
        <w:trPr>
          <w:cantSplit/>
        </w:trPr>
        <w:tc>
          <w:tcPr>
            <w:tcW w:type="dxa" w:w="10224"/>
            <w:shd w:fill="E2F0D9"/>
          </w:tcPr>
          <w:p>
            <w:r/>
            <w:r>
              <w:rPr>
                <w:b/>
                <w:color w:val="17365D"/>
                <w:sz w:val="22"/>
              </w:rPr>
              <w:t>Do not compete as “another carbon accounting dashboard.”</w:t>
            </w:r>
          </w:p>
          <w:p>
            <w:pPr>
              <w:spacing w:after="0"/>
            </w:pPr>
            <w:r>
              <w:rPr>
                <w:sz w:val="20"/>
              </w:rPr>
              <w:t>The defensible story is a verified chain of custody for carbon data. Carbon Passport should connect industrial readings, supplier evidence, calculations, verifier decisions and a public product identity in one traceable workflow.</w:t>
            </w:r>
          </w:p>
        </w:tc>
      </w:tr>
    </w:tbl>
    <w:p>
      <w:pPr>
        <w:spacing w:after="40"/>
      </w:pPr>
    </w:p>
    <w:p>
      <w:pPr>
        <w:pStyle w:val="Heading2"/>
      </w:pPr>
      <w:r>
        <w:t>A. Evidence-first carbon architecture</w:t>
      </w:r>
    </w:p>
    <w:p>
      <w:r>
        <w:t>Every Scope 1/2/3, PCF, CBAM and passport figure should open into its evidence chain: source record, asset/supplier, unit conversion, emission factor, factor source/version, calculation rule, timestamp, reviewer/verifier and data-quality status.</w:t>
      </w:r>
    </w:p>
    <w:p>
      <w:pPr>
        <w:pStyle w:val="Heading2"/>
      </w:pPr>
      <w:r>
        <w:t>B. Product and batch carbon identity</w:t>
      </w:r>
    </w:p>
    <w:p>
      <w:r>
        <w:t>Make the product/batch—not the corporate dashboard—the hero. Each product should carry PCF, supplier contribution, production route, facility, reporting period, verification state, passport version and public QR proof.</w:t>
      </w:r>
    </w:p>
    <w:p>
      <w:pPr>
        <w:pStyle w:val="Heading2"/>
      </w:pPr>
      <w:r>
        <w:t>C. SaurEdge as the MRV data layer</w:t>
      </w:r>
    </w:p>
    <w:p>
      <w:r>
        <w:t>Use SaurEdge to capture energy and industrial telemetry through open protocols such as Modbus/RS485, gateways and APIs. Carbon Passport should then convert that activity data into traceable emissions rather than treating hardware as a separate product.</w:t>
      </w:r>
    </w:p>
    <w:p>
      <w:pPr>
        <w:pStyle w:val="Heading2"/>
      </w:pPr>
      <w:r>
        <w:t>D. Verification as a trust product</w:t>
      </w:r>
    </w:p>
    <w:p>
      <w:r>
        <w:t>Separate company and verifier roles. Once verified, records are frozen; changes create a new version. Public viewers should see status, issue date, verifier identity/organisation where appropriate, version, revocation state and a concise evidence summary.</w:t>
      </w:r>
    </w:p>
    <w:p>
      <w:pPr>
        <w:pStyle w:val="Heading2"/>
      </w:pPr>
      <w:r>
        <w:t>E. Supplier impact intelligence</w:t>
      </w:r>
    </w:p>
    <w:p>
      <w:r>
        <w:t>Do not show a flat supplier list. Rank suppliers by imported tonnage, emissions contribution, missing evidence, default-factor exposure, declaration age and verification risk.</w:t>
      </w:r>
    </w:p>
    <w:p>
      <w:pPr>
        <w:pStyle w:val="Heading2"/>
      </w:pPr>
      <w:r>
        <w:t>F. Compliance rules as versioned rule packs</w:t>
      </w:r>
    </w:p>
    <w:p>
      <w:r>
        <w:t>Regulatory logic should carry jurisdiction, scheme, source, rule version, effective date, factor version and assumptions. Avoid hard-coded regulatory prose in UI logic.</w:t>
      </w:r>
    </w:p>
    <w:p>
      <w:pPr>
        <w:pStyle w:val="Heading1"/>
      </w:pPr>
      <w:r>
        <w:t>5. What to Include in Carbon Passport: Priority Additions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1F4E78"/>
          </w:tcPr>
          <w:p>
            <w:pPr>
              <w:spacing w:after="0"/>
            </w:pPr>
            <w:r/>
            <w:r>
              <w:rPr>
                <w:rFonts w:ascii="Aptos" w:hAnsi="Aptos"/>
                <w:b/>
                <w:color w:val="FFFFFF"/>
                <w:sz w:val="16"/>
              </w:rPr>
              <w:t>Priority / Feature</w:t>
            </w:r>
          </w:p>
        </w:tc>
        <w:tc>
          <w:tcPr>
            <w:tcW w:type="dxa" w:w="3408"/>
            <w:vAlign w:val="center"/>
            <w:shd w:fill="1F4E78"/>
          </w:tcPr>
          <w:p>
            <w:pPr>
              <w:spacing w:after="0"/>
            </w:pPr>
            <w:r/>
            <w:r>
              <w:rPr>
                <w:rFonts w:ascii="Aptos" w:hAnsi="Aptos"/>
                <w:b/>
                <w:color w:val="FFFFFF"/>
                <w:sz w:val="16"/>
              </w:rPr>
              <w:t>What Carbon Passport should include</w:t>
            </w:r>
          </w:p>
        </w:tc>
        <w:tc>
          <w:tcPr>
            <w:tcW w:type="dxa" w:w="3408"/>
            <w:vAlign w:val="center"/>
            <w:shd w:fill="1F4E78"/>
          </w:tcPr>
          <w:p>
            <w:pPr>
              <w:spacing w:after="0"/>
            </w:pPr>
            <w:r/>
            <w:r>
              <w:rPr>
                <w:rFonts w:ascii="Aptos" w:hAnsi="Aptos"/>
                <w:b/>
                <w:color w:val="FFFFFF"/>
                <w:sz w:val="16"/>
              </w:rPr>
              <w:t>Why it adds weight</w:t>
            </w:r>
          </w:p>
        </w:tc>
      </w:tr>
      <w:tr>
        <w:trPr>
          <w:cantSplit/>
        </w:trPr>
        <w:tc>
          <w:tcPr>
            <w:tcW w:type="dxa" w:w="3408"/>
            <w:vAlign w:val="center"/>
          </w:tcPr>
          <w:p>
            <w:pPr>
              <w:spacing w:after="0"/>
            </w:pPr>
            <w:r/>
            <w:r>
              <w:rPr>
                <w:rFonts w:ascii="Aptos" w:hAnsi="Aptos"/>
                <w:b w:val="0"/>
                <w:sz w:val="15"/>
              </w:rPr>
              <w:t>P0 - Evidence-derived completeness engine</w:t>
            </w:r>
          </w:p>
        </w:tc>
        <w:tc>
          <w:tcPr>
            <w:tcW w:type="dxa" w:w="3408"/>
            <w:vAlign w:val="center"/>
          </w:tcPr>
          <w:p>
            <w:pPr>
              <w:spacing w:after="0"/>
            </w:pPr>
            <w:r/>
            <w:r>
              <w:rPr>
                <w:rFonts w:ascii="Aptos" w:hAnsi="Aptos"/>
                <w:b w:val="0"/>
                <w:sz w:val="15"/>
              </w:rPr>
              <w:t>Calculate completeness from actual records, not static UI values. Score missing inputs, interval coverage, stale supplier declarations, unsupported emission factors, missing installation mapping and unresolved review issues.</w:t>
            </w:r>
          </w:p>
        </w:tc>
        <w:tc>
          <w:tcPr>
            <w:tcW w:type="dxa" w:w="3408"/>
            <w:vAlign w:val="center"/>
          </w:tcPr>
          <w:p>
            <w:pPr>
              <w:spacing w:after="0"/>
            </w:pPr>
            <w:r/>
            <w:r>
              <w:rPr>
                <w:rFonts w:ascii="Aptos" w:hAnsi="Aptos"/>
                <w:b w:val="0"/>
                <w:sz w:val="15"/>
              </w:rPr>
              <w:t>Creates auditability and makes every gap actionable.</w:t>
            </w:r>
          </w:p>
        </w:tc>
      </w:tr>
      <w:tr>
        <w:trPr>
          <w:cantSplit/>
        </w:trPr>
        <w:tc>
          <w:tcPr>
            <w:tcW w:type="dxa" w:w="3408"/>
            <w:vAlign w:val="center"/>
            <w:shd w:fill="F5F7FA"/>
          </w:tcPr>
          <w:p>
            <w:pPr>
              <w:spacing w:after="0"/>
            </w:pPr>
            <w:r/>
            <w:r>
              <w:rPr>
                <w:rFonts w:ascii="Aptos" w:hAnsi="Aptos"/>
                <w:b w:val="0"/>
                <w:sz w:val="15"/>
              </w:rPr>
              <w:t>P0 - Persistent supplier evidence workflow</w:t>
            </w:r>
          </w:p>
        </w:tc>
        <w:tc>
          <w:tcPr>
            <w:tcW w:type="dxa" w:w="3408"/>
            <w:vAlign w:val="center"/>
            <w:shd w:fill="F5F7FA"/>
          </w:tcPr>
          <w:p>
            <w:pPr>
              <w:spacing w:after="0"/>
            </w:pPr>
            <w:r/>
            <w:r>
              <w:rPr>
                <w:rFonts w:ascii="Aptos" w:hAnsi="Aptos"/>
                <w:b w:val="0"/>
                <w:sz w:val="15"/>
              </w:rPr>
              <w:t>Persist requests, declarations, source documents, producing installation, product, route, reporting period, reviewer decision and version history.</w:t>
            </w:r>
          </w:p>
        </w:tc>
        <w:tc>
          <w:tcPr>
            <w:tcW w:type="dxa" w:w="3408"/>
            <w:vAlign w:val="center"/>
            <w:shd w:fill="F5F7FA"/>
          </w:tcPr>
          <w:p>
            <w:pPr>
              <w:spacing w:after="0"/>
            </w:pPr>
            <w:r/>
            <w:r>
              <w:rPr>
                <w:rFonts w:ascii="Aptos" w:hAnsi="Aptos"/>
                <w:b w:val="0"/>
                <w:sz w:val="15"/>
              </w:rPr>
              <w:t>Converts the current supplier screens into a dependable service.</w:t>
            </w:r>
          </w:p>
        </w:tc>
      </w:tr>
      <w:tr>
        <w:trPr>
          <w:cantSplit/>
        </w:trPr>
        <w:tc>
          <w:tcPr>
            <w:tcW w:type="dxa" w:w="3408"/>
            <w:vAlign w:val="center"/>
          </w:tcPr>
          <w:p>
            <w:pPr>
              <w:spacing w:after="0"/>
            </w:pPr>
            <w:r/>
            <w:r>
              <w:rPr>
                <w:rFonts w:ascii="Aptos" w:hAnsi="Aptos"/>
                <w:b w:val="0"/>
                <w:sz w:val="15"/>
              </w:rPr>
              <w:t>P0 - Actual vs default CBAM coverage</w:t>
            </w:r>
          </w:p>
        </w:tc>
        <w:tc>
          <w:tcPr>
            <w:tcW w:type="dxa" w:w="3408"/>
            <w:vAlign w:val="center"/>
          </w:tcPr>
          <w:p>
            <w:pPr>
              <w:spacing w:after="0"/>
            </w:pPr>
            <w:r/>
            <w:r>
              <w:rPr>
                <w:rFonts w:ascii="Aptos" w:hAnsi="Aptos"/>
                <w:b w:val="0"/>
                <w:sz w:val="15"/>
              </w:rPr>
              <w:t>Show supplier-specific actual emissions versus default-covered volume, assumptions, unresolved gaps and indicative exposure difference.</w:t>
            </w:r>
          </w:p>
        </w:tc>
        <w:tc>
          <w:tcPr>
            <w:tcW w:type="dxa" w:w="3408"/>
            <w:vAlign w:val="center"/>
          </w:tcPr>
          <w:p>
            <w:pPr>
              <w:spacing w:after="0"/>
            </w:pPr>
            <w:r/>
            <w:r>
              <w:rPr>
                <w:rFonts w:ascii="Aptos" w:hAnsi="Aptos"/>
                <w:b w:val="0"/>
                <w:sz w:val="15"/>
              </w:rPr>
              <w:t>Direct commercial value for importers and procurement teams.</w:t>
            </w:r>
          </w:p>
        </w:tc>
      </w:tr>
      <w:tr>
        <w:trPr>
          <w:cantSplit/>
        </w:trPr>
        <w:tc>
          <w:tcPr>
            <w:tcW w:type="dxa" w:w="3408"/>
            <w:vAlign w:val="center"/>
            <w:shd w:fill="F5F7FA"/>
          </w:tcPr>
          <w:p>
            <w:pPr>
              <w:spacing w:after="0"/>
            </w:pPr>
            <w:r/>
            <w:r>
              <w:rPr>
                <w:rFonts w:ascii="Aptos" w:hAnsi="Aptos"/>
                <w:b w:val="0"/>
                <w:sz w:val="15"/>
              </w:rPr>
              <w:t>P0 - Full lineage drill-down</w:t>
            </w:r>
          </w:p>
        </w:tc>
        <w:tc>
          <w:tcPr>
            <w:tcW w:type="dxa" w:w="3408"/>
            <w:vAlign w:val="center"/>
            <w:shd w:fill="F5F7FA"/>
          </w:tcPr>
          <w:p>
            <w:pPr>
              <w:spacing w:after="0"/>
            </w:pPr>
            <w:r/>
            <w:r>
              <w:rPr>
                <w:rFonts w:ascii="Aptos" w:hAnsi="Aptos"/>
                <w:b w:val="0"/>
                <w:sz w:val="15"/>
              </w:rPr>
              <w:t>One click from any carbon number to source activity, factor, rule, evidence and verification decision.</w:t>
            </w:r>
          </w:p>
        </w:tc>
        <w:tc>
          <w:tcPr>
            <w:tcW w:type="dxa" w:w="3408"/>
            <w:vAlign w:val="center"/>
            <w:shd w:fill="F5F7FA"/>
          </w:tcPr>
          <w:p>
            <w:pPr>
              <w:spacing w:after="0"/>
            </w:pPr>
            <w:r/>
            <w:r>
              <w:rPr>
                <w:rFonts w:ascii="Aptos" w:hAnsi="Aptos"/>
                <w:b w:val="0"/>
                <w:sz w:val="15"/>
              </w:rPr>
              <w:t>Builds trust with auditors, buyers and regulators.</w:t>
            </w:r>
          </w:p>
        </w:tc>
      </w:tr>
      <w:tr>
        <w:trPr>
          <w:cantSplit/>
        </w:trPr>
        <w:tc>
          <w:tcPr>
            <w:tcW w:type="dxa" w:w="3408"/>
            <w:vAlign w:val="center"/>
          </w:tcPr>
          <w:p>
            <w:pPr>
              <w:spacing w:after="0"/>
            </w:pPr>
            <w:r/>
            <w:r>
              <w:rPr>
                <w:rFonts w:ascii="Aptos" w:hAnsi="Aptos"/>
                <w:b w:val="0"/>
                <w:sz w:val="15"/>
              </w:rPr>
              <w:t>P1 - Historical telemetry + asset schedules</w:t>
            </w:r>
          </w:p>
        </w:tc>
        <w:tc>
          <w:tcPr>
            <w:tcW w:type="dxa" w:w="3408"/>
            <w:vAlign w:val="center"/>
          </w:tcPr>
          <w:p>
            <w:pPr>
              <w:spacing w:after="0"/>
            </w:pPr>
            <w:r/>
            <w:r>
              <w:rPr>
                <w:rFonts w:ascii="Aptos" w:hAnsi="Aptos"/>
                <w:b w:val="0"/>
                <w:sz w:val="15"/>
              </w:rPr>
              <w:t>Store real readings over time, map them to assets/production lines and define operating hours.</w:t>
            </w:r>
          </w:p>
        </w:tc>
        <w:tc>
          <w:tcPr>
            <w:tcW w:type="dxa" w:w="3408"/>
            <w:vAlign w:val="center"/>
          </w:tcPr>
          <w:p>
            <w:pPr>
              <w:spacing w:after="0"/>
            </w:pPr>
            <w:r/>
            <w:r>
              <w:rPr>
                <w:rFonts w:ascii="Aptos" w:hAnsi="Aptos"/>
                <w:b w:val="0"/>
                <w:sz w:val="15"/>
              </w:rPr>
              <w:t>Required foundation for credible anomaly detection.</w:t>
            </w:r>
          </w:p>
        </w:tc>
      </w:tr>
      <w:tr>
        <w:trPr>
          <w:cantSplit/>
        </w:trPr>
        <w:tc>
          <w:tcPr>
            <w:tcW w:type="dxa" w:w="3408"/>
            <w:vAlign w:val="center"/>
            <w:shd w:fill="F5F7FA"/>
          </w:tcPr>
          <w:p>
            <w:pPr>
              <w:spacing w:after="0"/>
            </w:pPr>
            <w:r/>
            <w:r>
              <w:rPr>
                <w:rFonts w:ascii="Aptos" w:hAnsi="Aptos"/>
                <w:b w:val="0"/>
                <w:sz w:val="15"/>
              </w:rPr>
              <w:t>P1 - Explainable anomaly and waste detection</w:t>
            </w:r>
          </w:p>
        </w:tc>
        <w:tc>
          <w:tcPr>
            <w:tcW w:type="dxa" w:w="3408"/>
            <w:vAlign w:val="center"/>
            <w:shd w:fill="F5F7FA"/>
          </w:tcPr>
          <w:p>
            <w:pPr>
              <w:spacing w:after="0"/>
            </w:pPr>
            <w:r/>
            <w:r>
              <w:rPr>
                <w:rFonts w:ascii="Aptos" w:hAnsi="Aptos"/>
                <w:b w:val="0"/>
                <w:sz w:val="15"/>
              </w:rPr>
              <w:t>Flag out-of-hours usage, spikes, drift, sustained excess load, stale meters and unusual baselines with transparent rules.</w:t>
            </w:r>
          </w:p>
        </w:tc>
        <w:tc>
          <w:tcPr>
            <w:tcW w:type="dxa" w:w="3408"/>
            <w:vAlign w:val="center"/>
            <w:shd w:fill="F5F7FA"/>
          </w:tcPr>
          <w:p>
            <w:pPr>
              <w:spacing w:after="0"/>
            </w:pPr>
            <w:r/>
            <w:r>
              <w:rPr>
                <w:rFonts w:ascii="Aptos" w:hAnsi="Aptos"/>
                <w:b w:val="0"/>
                <w:sz w:val="15"/>
              </w:rPr>
              <w:t>Closes CarbonMeter's clearest operational advantage.</w:t>
            </w:r>
          </w:p>
        </w:tc>
      </w:tr>
      <w:tr>
        <w:trPr>
          <w:cantSplit/>
        </w:trPr>
        <w:tc>
          <w:tcPr>
            <w:tcW w:type="dxa" w:w="3408"/>
            <w:vAlign w:val="center"/>
          </w:tcPr>
          <w:p>
            <w:pPr>
              <w:spacing w:after="0"/>
            </w:pPr>
            <w:r/>
            <w:r>
              <w:rPr>
                <w:rFonts w:ascii="Aptos" w:hAnsi="Aptos"/>
                <w:b w:val="0"/>
                <w:sz w:val="15"/>
              </w:rPr>
              <w:t>P1 - Ranked mitigation / savings actions</w:t>
            </w:r>
          </w:p>
        </w:tc>
        <w:tc>
          <w:tcPr>
            <w:tcW w:type="dxa" w:w="3408"/>
            <w:vAlign w:val="center"/>
          </w:tcPr>
          <w:p>
            <w:pPr>
              <w:spacing w:after="0"/>
            </w:pPr>
            <w:r/>
            <w:r>
              <w:rPr>
                <w:rFonts w:ascii="Aptos" w:hAnsi="Aptos"/>
                <w:b w:val="0"/>
                <w:sz w:val="15"/>
              </w:rPr>
              <w:t>Convert hotspots and anomalies into actions with owner, due date, baseline, expected kWh/cost/kgCO2e savings, actual result and evidence.</w:t>
            </w:r>
          </w:p>
        </w:tc>
        <w:tc>
          <w:tcPr>
            <w:tcW w:type="dxa" w:w="3408"/>
            <w:vAlign w:val="center"/>
          </w:tcPr>
          <w:p>
            <w:pPr>
              <w:spacing w:after="0"/>
            </w:pPr>
            <w:r/>
            <w:r>
              <w:rPr>
                <w:rFonts w:ascii="Aptos" w:hAnsi="Aptos"/>
                <w:b w:val="0"/>
                <w:sz w:val="15"/>
              </w:rPr>
              <w:t>Moves the platform from measurement to decarbonisation execution.</w:t>
            </w:r>
          </w:p>
        </w:tc>
      </w:tr>
      <w:tr>
        <w:trPr>
          <w:cantSplit/>
        </w:trPr>
        <w:tc>
          <w:tcPr>
            <w:tcW w:type="dxa" w:w="3408"/>
            <w:vAlign w:val="center"/>
            <w:shd w:fill="F5F7FA"/>
          </w:tcPr>
          <w:p>
            <w:pPr>
              <w:spacing w:after="0"/>
            </w:pPr>
            <w:r/>
            <w:r>
              <w:rPr>
                <w:rFonts w:ascii="Aptos" w:hAnsi="Aptos"/>
                <w:b w:val="0"/>
                <w:sz w:val="15"/>
              </w:rPr>
              <w:t>P1 - Flexible supplier document intake</w:t>
            </w:r>
          </w:p>
        </w:tc>
        <w:tc>
          <w:tcPr>
            <w:tcW w:type="dxa" w:w="3408"/>
            <w:vAlign w:val="center"/>
            <w:shd w:fill="F5F7FA"/>
          </w:tcPr>
          <w:p>
            <w:pPr>
              <w:spacing w:after="0"/>
            </w:pPr>
            <w:r/>
            <w:r>
              <w:rPr>
                <w:rFonts w:ascii="Aptos" w:hAnsi="Aptos"/>
                <w:b w:val="0"/>
                <w:sz w:val="15"/>
              </w:rPr>
              <w:t>Accept Excel/CSV first, then PDF; preserve source cell/page, original unit, extracted value, reviewer decision and confidence.</w:t>
            </w:r>
          </w:p>
        </w:tc>
        <w:tc>
          <w:tcPr>
            <w:tcW w:type="dxa" w:w="3408"/>
            <w:vAlign w:val="center"/>
            <w:shd w:fill="F5F7FA"/>
          </w:tcPr>
          <w:p>
            <w:pPr>
              <w:spacing w:after="0"/>
            </w:pPr>
            <w:r/>
            <w:r>
              <w:rPr>
                <w:rFonts w:ascii="Aptos" w:hAnsi="Aptos"/>
                <w:b w:val="0"/>
                <w:sz w:val="15"/>
              </w:rPr>
              <w:t>Reduces supplier friction and supports real-world documents.</w:t>
            </w:r>
          </w:p>
        </w:tc>
      </w:tr>
      <w:tr>
        <w:trPr>
          <w:cantSplit/>
        </w:trPr>
        <w:tc>
          <w:tcPr>
            <w:tcW w:type="dxa" w:w="3408"/>
            <w:vAlign w:val="center"/>
          </w:tcPr>
          <w:p>
            <w:pPr>
              <w:spacing w:after="0"/>
            </w:pPr>
            <w:r/>
            <w:r>
              <w:rPr>
                <w:rFonts w:ascii="Aptos" w:hAnsi="Aptos"/>
                <w:b w:val="0"/>
                <w:sz w:val="15"/>
              </w:rPr>
              <w:t>P1 - Time-aware Scope 2</w:t>
            </w:r>
          </w:p>
        </w:tc>
        <w:tc>
          <w:tcPr>
            <w:tcW w:type="dxa" w:w="3408"/>
            <w:vAlign w:val="center"/>
          </w:tcPr>
          <w:p>
            <w:pPr>
              <w:spacing w:after="0"/>
            </w:pPr>
            <w:r/>
            <w:r>
              <w:rPr>
                <w:rFonts w:ascii="Aptos" w:hAnsi="Aptos"/>
                <w:b w:val="0"/>
                <w:sz w:val="15"/>
              </w:rPr>
              <w:t>Support interval-matched grid intensity where applicable, while retaining accounting-method-specific factors for formal reporting.</w:t>
            </w:r>
          </w:p>
        </w:tc>
        <w:tc>
          <w:tcPr>
            <w:tcW w:type="dxa" w:w="3408"/>
            <w:vAlign w:val="center"/>
          </w:tcPr>
          <w:p>
            <w:pPr>
              <w:spacing w:after="0"/>
            </w:pPr>
            <w:r/>
            <w:r>
              <w:rPr>
                <w:rFonts w:ascii="Aptos" w:hAnsi="Aptos"/>
                <w:b w:val="0"/>
                <w:sz w:val="15"/>
              </w:rPr>
              <w:t>Improves operational insight without corrupting compliance accounting.</w:t>
            </w:r>
          </w:p>
        </w:tc>
      </w:tr>
      <w:tr>
        <w:trPr>
          <w:cantSplit/>
        </w:trPr>
        <w:tc>
          <w:tcPr>
            <w:tcW w:type="dxa" w:w="3408"/>
            <w:vAlign w:val="center"/>
            <w:shd w:fill="F5F7FA"/>
          </w:tcPr>
          <w:p>
            <w:pPr>
              <w:spacing w:after="0"/>
            </w:pPr>
            <w:r/>
            <w:r>
              <w:rPr>
                <w:rFonts w:ascii="Aptos" w:hAnsi="Aptos"/>
                <w:b w:val="0"/>
                <w:sz w:val="15"/>
              </w:rPr>
              <w:t>P2 - Sector data packs</w:t>
            </w:r>
          </w:p>
        </w:tc>
        <w:tc>
          <w:tcPr>
            <w:tcW w:type="dxa" w:w="3408"/>
            <w:vAlign w:val="center"/>
            <w:shd w:fill="F5F7FA"/>
          </w:tcPr>
          <w:p>
            <w:pPr>
              <w:spacing w:after="0"/>
            </w:pPr>
            <w:r/>
            <w:r>
              <w:rPr>
                <w:rFonts w:ascii="Aptos" w:hAnsi="Aptos"/>
                <w:b w:val="0"/>
                <w:sz w:val="15"/>
              </w:rPr>
              <w:t>Create guided requirements for iron &amp; steel, aluminium, cement, fertiliser, chemicals/pharma, agriculture/cocoa and other target sectors.</w:t>
            </w:r>
          </w:p>
        </w:tc>
        <w:tc>
          <w:tcPr>
            <w:tcW w:type="dxa" w:w="3408"/>
            <w:vAlign w:val="center"/>
            <w:shd w:fill="F5F7FA"/>
          </w:tcPr>
          <w:p>
            <w:pPr>
              <w:spacing w:after="0"/>
            </w:pPr>
            <w:r/>
            <w:r>
              <w:rPr>
                <w:rFonts w:ascii="Aptos" w:hAnsi="Aptos"/>
                <w:b w:val="0"/>
                <w:sz w:val="15"/>
              </w:rPr>
              <w:t>Speeds onboarding and improves data quality.</w:t>
            </w:r>
          </w:p>
        </w:tc>
      </w:tr>
      <w:tr>
        <w:trPr>
          <w:cantSplit/>
        </w:trPr>
        <w:tc>
          <w:tcPr>
            <w:tcW w:type="dxa" w:w="3408"/>
            <w:vAlign w:val="center"/>
          </w:tcPr>
          <w:p>
            <w:pPr>
              <w:spacing w:after="0"/>
            </w:pPr>
            <w:r/>
            <w:r>
              <w:rPr>
                <w:rFonts w:ascii="Aptos" w:hAnsi="Aptos"/>
                <w:b w:val="0"/>
                <w:sz w:val="15"/>
              </w:rPr>
              <w:t>P2 - Jurisdiction packs</w:t>
            </w:r>
          </w:p>
        </w:tc>
        <w:tc>
          <w:tcPr>
            <w:tcW w:type="dxa" w:w="3408"/>
            <w:vAlign w:val="center"/>
          </w:tcPr>
          <w:p>
            <w:pPr>
              <w:spacing w:after="0"/>
            </w:pPr>
            <w:r/>
            <w:r>
              <w:rPr>
                <w:rFonts w:ascii="Aptos" w:hAnsi="Aptos"/>
                <w:b w:val="0"/>
                <w:sz w:val="15"/>
              </w:rPr>
              <w:t>EU CBAM, UK CBAM/SECR/ESOS, India CCTS/BRSR/related needs, Ghana and other target-country reporting modules.</w:t>
            </w:r>
          </w:p>
        </w:tc>
        <w:tc>
          <w:tcPr>
            <w:tcW w:type="dxa" w:w="3408"/>
            <w:vAlign w:val="center"/>
          </w:tcPr>
          <w:p>
            <w:pPr>
              <w:spacing w:after="0"/>
            </w:pPr>
            <w:r/>
            <w:r>
              <w:rPr>
                <w:rFonts w:ascii="Aptos" w:hAnsi="Aptos"/>
                <w:b w:val="0"/>
                <w:sz w:val="15"/>
              </w:rPr>
              <w:t>Supports geographic expansion without one-off customisation.</w:t>
            </w:r>
          </w:p>
        </w:tc>
      </w:tr>
      <w:tr>
        <w:trPr>
          <w:cantSplit/>
        </w:trPr>
        <w:tc>
          <w:tcPr>
            <w:tcW w:type="dxa" w:w="3408"/>
            <w:vAlign w:val="center"/>
            <w:shd w:fill="F5F7FA"/>
          </w:tcPr>
          <w:p>
            <w:pPr>
              <w:spacing w:after="0"/>
            </w:pPr>
            <w:r/>
            <w:r>
              <w:rPr>
                <w:rFonts w:ascii="Aptos" w:hAnsi="Aptos"/>
                <w:b w:val="0"/>
                <w:sz w:val="15"/>
              </w:rPr>
              <w:t>P2 - Paris/NDC and government layer</w:t>
            </w:r>
          </w:p>
        </w:tc>
        <w:tc>
          <w:tcPr>
            <w:tcW w:type="dxa" w:w="3408"/>
            <w:vAlign w:val="center"/>
            <w:shd w:fill="F5F7FA"/>
          </w:tcPr>
          <w:p>
            <w:pPr>
              <w:spacing w:after="0"/>
            </w:pPr>
            <w:r/>
            <w:r>
              <w:rPr>
                <w:rFonts w:ascii="Aptos" w:hAnsi="Aptos"/>
                <w:b w:val="0"/>
                <w:sz w:val="15"/>
              </w:rPr>
              <w:t>NDC mapping, company target, mitigation register, transparency score and government/programme dashboards.</w:t>
            </w:r>
          </w:p>
        </w:tc>
        <w:tc>
          <w:tcPr>
            <w:tcW w:type="dxa" w:w="3408"/>
            <w:vAlign w:val="center"/>
            <w:shd w:fill="F5F7FA"/>
          </w:tcPr>
          <w:p>
            <w:pPr>
              <w:spacing w:after="0"/>
            </w:pPr>
            <w:r/>
            <w:r>
              <w:rPr>
                <w:rFonts w:ascii="Aptos" w:hAnsi="Aptos"/>
                <w:b w:val="0"/>
                <w:sz w:val="15"/>
              </w:rPr>
              <w:t>Adds strategic value for public-sector deployments.</w:t>
            </w:r>
          </w:p>
        </w:tc>
      </w:tr>
    </w:tbl>
    <w:p>
      <w:pPr>
        <w:pStyle w:val="Heading1"/>
      </w:pPr>
      <w:r>
        <w:t>6. Stronger End-to-End Product Architecture</w:t>
      </w:r>
    </w:p>
    <w:p>
      <w:pPr>
        <w:pStyle w:val="ListBullet"/>
        <w:spacing w:after="60"/>
      </w:pPr>
      <w:r>
        <w:rPr>
          <w:sz w:val="20"/>
        </w:rPr>
        <w:t>1. Organisation onboarding -&gt; legal identity, sites, installations, users and roles.</w:t>
      </w:r>
    </w:p>
    <w:p>
      <w:pPr>
        <w:pStyle w:val="ListBullet"/>
        <w:spacing w:after="60"/>
      </w:pPr>
      <w:r>
        <w:rPr>
          <w:sz w:val="20"/>
        </w:rPr>
        <w:t>2. Asset &amp; meter registry -&gt; smart meters, SaurEdge gateways, APIs, manual sources, supplier sources.</w:t>
      </w:r>
    </w:p>
    <w:p>
      <w:pPr>
        <w:pStyle w:val="ListBullet"/>
        <w:spacing w:after="60"/>
      </w:pPr>
      <w:r>
        <w:rPr>
          <w:sz w:val="20"/>
        </w:rPr>
        <w:t>3. Data ingestion -&gt; raw readings/documents with timestamp, unit, source and quality metadata.</w:t>
      </w:r>
    </w:p>
    <w:p>
      <w:pPr>
        <w:pStyle w:val="ListBullet"/>
        <w:spacing w:after="60"/>
      </w:pPr>
      <w:r>
        <w:rPr>
          <w:sz w:val="20"/>
        </w:rPr>
        <w:t>4. Emissions engine -&gt; Scope 1/2/3, PCF/CCF/GHG with versioned factors and calculation rules.</w:t>
      </w:r>
    </w:p>
    <w:p>
      <w:pPr>
        <w:pStyle w:val="ListBullet"/>
        <w:spacing w:after="60"/>
      </w:pPr>
      <w:r>
        <w:rPr>
          <w:sz w:val="20"/>
        </w:rPr>
        <w:t>5. Product/batch graph -&gt; BOM, suppliers, facilities, production route, logistics, reporting period.</w:t>
      </w:r>
    </w:p>
    <w:p>
      <w:pPr>
        <w:pStyle w:val="ListBullet"/>
        <w:spacing w:after="60"/>
      </w:pPr>
      <w:r>
        <w:rPr>
          <w:sz w:val="20"/>
        </w:rPr>
        <w:t>6. Supplier evidence -&gt; request, declaration, document intake, validation, missing-data queue.</w:t>
      </w:r>
    </w:p>
    <w:p>
      <w:pPr>
        <w:pStyle w:val="ListBullet"/>
        <w:spacing w:after="60"/>
      </w:pPr>
      <w:r>
        <w:rPr>
          <w:sz w:val="20"/>
        </w:rPr>
        <w:t>7. Compliance engine -&gt; CBAM and jurisdiction-specific rules, actual/default comparisons and assumptions.</w:t>
      </w:r>
    </w:p>
    <w:p>
      <w:pPr>
        <w:pStyle w:val="ListBullet"/>
        <w:spacing w:after="60"/>
      </w:pPr>
      <w:r>
        <w:rPr>
          <w:sz w:val="20"/>
        </w:rPr>
        <w:t>8. MRV &amp; verifier workspace -&gt; evidence review, approve/reject, issue log, frozen verified snapshot.</w:t>
      </w:r>
    </w:p>
    <w:p>
      <w:pPr>
        <w:pStyle w:val="ListBullet"/>
        <w:spacing w:after="60"/>
      </w:pPr>
      <w:r>
        <w:rPr>
          <w:sz w:val="20"/>
        </w:rPr>
        <w:t>9. Carbon Passport issuance -&gt; signed version, QR, public viewer, status/revocation/version history.</w:t>
      </w:r>
    </w:p>
    <w:p>
      <w:pPr>
        <w:pStyle w:val="ListBullet"/>
        <w:spacing w:after="60"/>
      </w:pPr>
      <w:r>
        <w:rPr>
          <w:sz w:val="20"/>
        </w:rPr>
        <w:t>10. Mitigation &amp; savings -&gt; hotspots, anomaly alerts, action register, expected vs measured outcomes.</w:t>
      </w:r>
    </w:p>
    <w:p>
      <w:pPr>
        <w:pStyle w:val="ListBullet"/>
        <w:spacing w:after="60"/>
      </w:pPr>
      <w:r>
        <w:rPr>
          <w:sz w:val="20"/>
        </w:rPr>
        <w:t>11. Audit/export/API layer -&gt; structured export, printable report, regulator/buyer API and evidence package.</w:t>
      </w:r>
    </w:p>
    <w:p>
      <w:pPr>
        <w:pStyle w:val="Heading1"/>
      </w:pPr>
      <w:r>
        <w:t>7. Public Viewer: What Should Be Visible</w:t>
      </w:r>
    </w:p>
    <w:p>
      <w:pPr>
        <w:pStyle w:val="ListBullet"/>
        <w:spacing w:after="60"/>
      </w:pPr>
      <w:r>
        <w:rPr>
          <w:sz w:val="20"/>
        </w:rPr>
        <w:t>Passport ID, product/batch name, manufacturer, facility and reporting period.</w:t>
      </w:r>
    </w:p>
    <w:p>
      <w:pPr>
        <w:pStyle w:val="ListBullet"/>
        <w:spacing w:after="60"/>
      </w:pPr>
      <w:r>
        <w:rPr>
          <w:sz w:val="20"/>
        </w:rPr>
        <w:t>Verification state: Draft / Under Verification / Verified / Revoked / Superseded.</w:t>
      </w:r>
    </w:p>
    <w:p>
      <w:pPr>
        <w:pStyle w:val="ListBullet"/>
        <w:spacing w:after="60"/>
      </w:pPr>
      <w:r>
        <w:rPr>
          <w:sz w:val="20"/>
        </w:rPr>
        <w:t>PCF headline value with unit and boundary summary.</w:t>
      </w:r>
    </w:p>
    <w:p>
      <w:pPr>
        <w:pStyle w:val="ListBullet"/>
        <w:spacing w:after="60"/>
      </w:pPr>
      <w:r>
        <w:rPr>
          <w:sz w:val="20"/>
        </w:rPr>
        <w:t>Breakdown by major lifecycle stages without exposing confidential supplier data.</w:t>
      </w:r>
    </w:p>
    <w:p>
      <w:pPr>
        <w:pStyle w:val="ListBullet"/>
        <w:spacing w:after="60"/>
      </w:pPr>
      <w:r>
        <w:rPr>
          <w:sz w:val="20"/>
        </w:rPr>
        <w:t>Data quality/completeness score with measured vs estimated/default share.</w:t>
      </w:r>
    </w:p>
    <w:p>
      <w:pPr>
        <w:pStyle w:val="ListBullet"/>
        <w:spacing w:after="60"/>
      </w:pPr>
      <w:r>
        <w:rPr>
          <w:sz w:val="20"/>
        </w:rPr>
        <w:t>Verifier statement and verification date where disclosure is permitted.</w:t>
      </w:r>
    </w:p>
    <w:p>
      <w:pPr>
        <w:pStyle w:val="ListBullet"/>
        <w:spacing w:after="60"/>
      </w:pPr>
      <w:r>
        <w:rPr>
          <w:sz w:val="20"/>
        </w:rPr>
        <w:t>Calculation methodology/rule-pack version and emission-factor version.</w:t>
      </w:r>
    </w:p>
    <w:p>
      <w:pPr>
        <w:pStyle w:val="ListBullet"/>
        <w:spacing w:after="60"/>
      </w:pPr>
      <w:r>
        <w:rPr>
          <w:sz w:val="20"/>
        </w:rPr>
        <w:t>Passport version, issue date, cryptographic digest and revocation/supersession status.</w:t>
      </w:r>
    </w:p>
    <w:p>
      <w:pPr>
        <w:pStyle w:val="ListBullet"/>
        <w:spacing w:after="60"/>
      </w:pPr>
      <w:r>
        <w:rPr>
          <w:sz w:val="20"/>
        </w:rPr>
        <w:t>High-level CBAM/export readiness badge with a disclaimer that it is not a legal certification.</w:t>
      </w:r>
    </w:p>
    <w:p>
      <w:pPr>
        <w:pStyle w:val="ListBullet"/>
        <w:spacing w:after="60"/>
      </w:pPr>
      <w:r>
        <w:rPr>
          <w:sz w:val="20"/>
        </w:rPr>
        <w:t>QR verification link and machine-readable API/JSON payload for approved fields.</w:t>
      </w:r>
    </w:p>
    <w:p>
      <w:pPr>
        <w:pStyle w:val="Heading1"/>
      </w:pPr>
      <w:r>
        <w:t>8. Commercial Positioning: How to Make Carbon Passport Look Heavier</w:t>
      </w:r>
    </w:p>
    <w:tbl>
      <w:tblPr>
        <w:tblW w:type="auto" w:w="0"/>
        <w:jc w:val="center"/>
        <w:tblLayout w:type="autofit"/>
        <w:tblLook w:firstColumn="1" w:firstRow="1" w:lastColumn="0" w:lastRow="0" w:noHBand="0" w:noVBand="1" w:val="04A0"/>
      </w:tblPr>
      <w:tblGrid>
        <w:gridCol w:w="10224"/>
      </w:tblGrid>
      <w:tr>
        <w:trPr>
          <w:cantSplit/>
        </w:trPr>
        <w:tc>
          <w:tcPr>
            <w:tcW w:type="dxa" w:w="10224"/>
            <w:shd w:fill="D9EAF7"/>
          </w:tcPr>
          <w:p>
            <w:r/>
            <w:r>
              <w:rPr>
                <w:b/>
                <w:color w:val="17365D"/>
                <w:sz w:val="22"/>
              </w:rPr>
              <w:t>Recommended category</w:t>
            </w:r>
          </w:p>
          <w:p>
            <w:pPr>
              <w:spacing w:after="0"/>
            </w:pPr>
            <w:r>
              <w:rPr>
                <w:sz w:val="20"/>
              </w:rPr>
              <w:t>Verified Carbon Product &amp; Supply-Chain Infrastructure</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2F5597"/>
          </w:tcPr>
          <w:p>
            <w:pPr>
              <w:spacing w:after="0"/>
            </w:pPr>
            <w:r/>
            <w:r>
              <w:rPr>
                <w:rFonts w:ascii="Aptos" w:hAnsi="Aptos"/>
                <w:b/>
                <w:color w:val="FFFFFF"/>
                <w:sz w:val="17"/>
              </w:rPr>
              <w:t>Audience / message</w:t>
            </w:r>
          </w:p>
        </w:tc>
        <w:tc>
          <w:tcPr>
            <w:tcW w:type="dxa" w:w="5112"/>
            <w:vAlign w:val="center"/>
            <w:shd w:fill="2F5597"/>
          </w:tcPr>
          <w:p>
            <w:pPr>
              <w:spacing w:after="0"/>
            </w:pPr>
            <w:r/>
            <w:r>
              <w:rPr>
                <w:rFonts w:ascii="Aptos" w:hAnsi="Aptos"/>
                <w:b/>
                <w:color w:val="FFFFFF"/>
                <w:sz w:val="17"/>
              </w:rPr>
              <w:t>Recommended positioning</w:t>
            </w:r>
          </w:p>
        </w:tc>
      </w:tr>
      <w:tr>
        <w:trPr>
          <w:cantSplit/>
        </w:trPr>
        <w:tc>
          <w:tcPr>
            <w:tcW w:type="dxa" w:w="5112"/>
            <w:vAlign w:val="center"/>
          </w:tcPr>
          <w:p>
            <w:pPr>
              <w:spacing w:after="0"/>
            </w:pPr>
            <w:r/>
            <w:r>
              <w:rPr>
                <w:rFonts w:ascii="Aptos" w:hAnsi="Aptos"/>
                <w:b w:val="0"/>
                <w:sz w:val="16"/>
              </w:rPr>
              <w:t>Do not lead with</w:t>
            </w:r>
          </w:p>
        </w:tc>
        <w:tc>
          <w:tcPr>
            <w:tcW w:type="dxa" w:w="5112"/>
            <w:vAlign w:val="center"/>
          </w:tcPr>
          <w:p>
            <w:pPr>
              <w:spacing w:after="0"/>
            </w:pPr>
            <w:r/>
            <w:r>
              <w:rPr>
                <w:rFonts w:ascii="Aptos" w:hAnsi="Aptos"/>
                <w:b w:val="0"/>
                <w:sz w:val="16"/>
              </w:rPr>
              <w:t>“We calculate carbon emissions.”</w:t>
            </w:r>
          </w:p>
        </w:tc>
      </w:tr>
      <w:tr>
        <w:trPr>
          <w:cantSplit/>
        </w:trPr>
        <w:tc>
          <w:tcPr>
            <w:tcW w:type="dxa" w:w="5112"/>
            <w:vAlign w:val="center"/>
            <w:shd w:fill="F6F8FB"/>
          </w:tcPr>
          <w:p>
            <w:pPr>
              <w:spacing w:after="0"/>
            </w:pPr>
            <w:r/>
            <w:r>
              <w:rPr>
                <w:rFonts w:ascii="Aptos" w:hAnsi="Aptos"/>
                <w:b w:val="0"/>
                <w:sz w:val="16"/>
              </w:rPr>
              <w:t>Lead with</w:t>
            </w:r>
          </w:p>
        </w:tc>
        <w:tc>
          <w:tcPr>
            <w:tcW w:type="dxa" w:w="5112"/>
            <w:vAlign w:val="center"/>
            <w:shd w:fill="F6F8FB"/>
          </w:tcPr>
          <w:p>
            <w:pPr>
              <w:spacing w:after="0"/>
            </w:pPr>
            <w:r/>
            <w:r>
              <w:rPr>
                <w:rFonts w:ascii="Aptos" w:hAnsi="Aptos"/>
                <w:b w:val="0"/>
                <w:sz w:val="16"/>
              </w:rPr>
              <w:t>“We create a verified carbon identity for every product and batch, backed by measured data, supplier evidence and independent verification.”</w:t>
            </w:r>
          </w:p>
        </w:tc>
      </w:tr>
      <w:tr>
        <w:trPr>
          <w:cantSplit/>
        </w:trPr>
        <w:tc>
          <w:tcPr>
            <w:tcW w:type="dxa" w:w="5112"/>
            <w:vAlign w:val="center"/>
          </w:tcPr>
          <w:p>
            <w:pPr>
              <w:spacing w:after="0"/>
            </w:pPr>
            <w:r/>
            <w:r>
              <w:rPr>
                <w:rFonts w:ascii="Aptos" w:hAnsi="Aptos"/>
                <w:b w:val="0"/>
                <w:sz w:val="16"/>
              </w:rPr>
              <w:t>For industry</w:t>
            </w:r>
          </w:p>
        </w:tc>
        <w:tc>
          <w:tcPr>
            <w:tcW w:type="dxa" w:w="5112"/>
            <w:vAlign w:val="center"/>
          </w:tcPr>
          <w:p>
            <w:pPr>
              <w:spacing w:after="0"/>
            </w:pPr>
            <w:r/>
            <w:r>
              <w:rPr>
                <w:rFonts w:ascii="Aptos" w:hAnsi="Aptos"/>
                <w:b w:val="0"/>
                <w:sz w:val="16"/>
              </w:rPr>
              <w:t>“Connect your meters, production data and suppliers; turn operational evidence into audit-ready product carbon records and mitigation actions.”</w:t>
            </w:r>
          </w:p>
        </w:tc>
      </w:tr>
      <w:tr>
        <w:trPr>
          <w:cantSplit/>
        </w:trPr>
        <w:tc>
          <w:tcPr>
            <w:tcW w:type="dxa" w:w="5112"/>
            <w:vAlign w:val="center"/>
            <w:shd w:fill="F6F8FB"/>
          </w:tcPr>
          <w:p>
            <w:pPr>
              <w:spacing w:after="0"/>
            </w:pPr>
            <w:r/>
            <w:r>
              <w:rPr>
                <w:rFonts w:ascii="Aptos" w:hAnsi="Aptos"/>
                <w:b w:val="0"/>
                <w:sz w:val="16"/>
              </w:rPr>
              <w:t>For exporters</w:t>
            </w:r>
          </w:p>
        </w:tc>
        <w:tc>
          <w:tcPr>
            <w:tcW w:type="dxa" w:w="5112"/>
            <w:vAlign w:val="center"/>
            <w:shd w:fill="F6F8FB"/>
          </w:tcPr>
          <w:p>
            <w:pPr>
              <w:spacing w:after="0"/>
            </w:pPr>
            <w:r/>
            <w:r>
              <w:rPr>
                <w:rFonts w:ascii="Aptos" w:hAnsi="Aptos"/>
                <w:b w:val="0"/>
                <w:sz w:val="16"/>
              </w:rPr>
              <w:t>“Reduce default-data dependence, prepare supplier evidence, quantify exposure and issue trusted digital carbon passports.”</w:t>
            </w:r>
          </w:p>
        </w:tc>
      </w:tr>
      <w:tr>
        <w:trPr>
          <w:cantSplit/>
        </w:trPr>
        <w:tc>
          <w:tcPr>
            <w:tcW w:type="dxa" w:w="5112"/>
            <w:vAlign w:val="center"/>
          </w:tcPr>
          <w:p>
            <w:pPr>
              <w:spacing w:after="0"/>
            </w:pPr>
            <w:r/>
            <w:r>
              <w:rPr>
                <w:rFonts w:ascii="Aptos" w:hAnsi="Aptos"/>
                <w:b w:val="0"/>
                <w:sz w:val="16"/>
              </w:rPr>
              <w:t>For buyers</w:t>
            </w:r>
          </w:p>
        </w:tc>
        <w:tc>
          <w:tcPr>
            <w:tcW w:type="dxa" w:w="5112"/>
            <w:vAlign w:val="center"/>
          </w:tcPr>
          <w:p>
            <w:pPr>
              <w:spacing w:after="0"/>
            </w:pPr>
            <w:r/>
            <w:r>
              <w:rPr>
                <w:rFonts w:ascii="Aptos" w:hAnsi="Aptos"/>
                <w:b w:val="0"/>
                <w:sz w:val="16"/>
              </w:rPr>
              <w:t>“Verify the carbon record behind a product through QR/API instead of relying on a static sustainability claim.”</w:t>
            </w:r>
          </w:p>
        </w:tc>
      </w:tr>
      <w:tr>
        <w:trPr>
          <w:cantSplit/>
        </w:trPr>
        <w:tc>
          <w:tcPr>
            <w:tcW w:type="dxa" w:w="5112"/>
            <w:vAlign w:val="center"/>
            <w:shd w:fill="F6F8FB"/>
          </w:tcPr>
          <w:p>
            <w:pPr>
              <w:spacing w:after="0"/>
            </w:pPr>
            <w:r/>
            <w:r>
              <w:rPr>
                <w:rFonts w:ascii="Aptos" w:hAnsi="Aptos"/>
                <w:b w:val="0"/>
                <w:sz w:val="16"/>
              </w:rPr>
              <w:t>For government</w:t>
            </w:r>
          </w:p>
        </w:tc>
        <w:tc>
          <w:tcPr>
            <w:tcW w:type="dxa" w:w="5112"/>
            <w:vAlign w:val="center"/>
            <w:shd w:fill="F6F8FB"/>
          </w:tcPr>
          <w:p>
            <w:pPr>
              <w:spacing w:after="0"/>
            </w:pPr>
            <w:r/>
            <w:r>
              <w:rPr>
                <w:rFonts w:ascii="Aptos" w:hAnsi="Aptos"/>
                <w:b w:val="0"/>
                <w:sz w:val="16"/>
              </w:rPr>
              <w:t>“Operate MRV programmes with traceable data, verified product records, mitigation tracking and NDC/programme reporting.”</w:t>
            </w:r>
          </w:p>
        </w:tc>
      </w:tr>
      <w:tr>
        <w:trPr>
          <w:cantSplit/>
        </w:trPr>
        <w:tc>
          <w:tcPr>
            <w:tcW w:type="dxa" w:w="5112"/>
            <w:vAlign w:val="center"/>
          </w:tcPr>
          <w:p>
            <w:pPr>
              <w:spacing w:after="0"/>
            </w:pPr>
            <w:r/>
            <w:r>
              <w:rPr>
                <w:rFonts w:ascii="Aptos" w:hAnsi="Aptos"/>
                <w:b w:val="0"/>
                <w:sz w:val="16"/>
              </w:rPr>
              <w:t>For auditors/verifiers</w:t>
            </w:r>
          </w:p>
        </w:tc>
        <w:tc>
          <w:tcPr>
            <w:tcW w:type="dxa" w:w="5112"/>
            <w:vAlign w:val="center"/>
          </w:tcPr>
          <w:p>
            <w:pPr>
              <w:spacing w:after="0"/>
            </w:pPr>
            <w:r/>
            <w:r>
              <w:rPr>
                <w:rFonts w:ascii="Aptos" w:hAnsi="Aptos"/>
                <w:b w:val="0"/>
                <w:sz w:val="16"/>
              </w:rPr>
              <w:t>“Review one evidence graph rather than fragmented spreadsheets, emails and PDFs.”</w:t>
            </w:r>
          </w:p>
        </w:tc>
      </w:tr>
    </w:tbl>
    <w:p>
      <w:pPr>
        <w:pStyle w:val="Heading1"/>
      </w:pPr>
      <w:r>
        <w:t>9. Recommended Delivery Sequence</w:t>
      </w:r>
    </w:p>
    <w:p>
      <w:pPr>
        <w:pStyle w:val="Heading2"/>
      </w:pPr>
      <w:r>
        <w:t>Phase 1 - Trust foundation</w:t>
      </w:r>
    </w:p>
    <w:p>
      <w:r>
        <w:t>Persist supplier requests/declarations/reviews; evidence-derived completeness; full lineage; actual-vs-default coverage; one supplier-to-product-to-passport golden path.</w:t>
      </w:r>
    </w:p>
    <w:p>
      <w:pPr>
        <w:pStyle w:val="Heading2"/>
      </w:pPr>
      <w:r>
        <w:t>Phase 2 - Operational intelligence</w:t>
      </w:r>
    </w:p>
    <w:p>
      <w:r>
        <w:t>Historical telemetry ingestion; asset schedules; SaurEdge mappings; anomaly/waste rules; stale-meter detection; ranked mitigation actions.</w:t>
      </w:r>
    </w:p>
    <w:p>
      <w:pPr>
        <w:pStyle w:val="Heading2"/>
      </w:pPr>
      <w:r>
        <w:t>Phase 3 - Scale and market packs</w:t>
      </w:r>
    </w:p>
    <w:p>
      <w:r>
        <w:t>Document extraction with human review; sector checklists; jurisdiction rule packs; stronger API/export; public verification enhancements.</w:t>
      </w:r>
    </w:p>
    <w:p>
      <w:pPr>
        <w:pStyle w:val="Heading2"/>
      </w:pPr>
      <w:r>
        <w:t>Phase 4 - Government / advanced intelligence</w:t>
      </w:r>
    </w:p>
    <w:p>
      <w:r>
        <w:t>NDC mapping, programme dashboards, mitigation portfolios, AI-assisted evidence triage and predictive operational insights after data quality is proven.</w:t>
      </w:r>
    </w:p>
    <w:p>
      <w:pPr>
        <w:pStyle w:val="Heading1"/>
      </w:pPr>
      <w:r>
        <w:t>10. What Not to Do</w:t>
      </w:r>
    </w:p>
    <w:p>
      <w:pPr>
        <w:pStyle w:val="ListBullet"/>
        <w:spacing w:after="60"/>
      </w:pPr>
      <w:r>
        <w:rPr>
          <w:sz w:val="20"/>
        </w:rPr>
        <w:t>Do not add many dashboards before the underlying records are persistent and evidence-driven.</w:t>
      </w:r>
    </w:p>
    <w:p>
      <w:pPr>
        <w:pStyle w:val="ListBullet"/>
        <w:spacing w:after="60"/>
      </w:pPr>
      <w:r>
        <w:rPr>
          <w:sz w:val="20"/>
        </w:rPr>
        <w:t>Do not claim “real-time” or “AI anomaly detection” until actual historical telemetry and asset schedules exist.</w:t>
      </w:r>
    </w:p>
    <w:p>
      <w:pPr>
        <w:pStyle w:val="ListBullet"/>
        <w:spacing w:after="60"/>
      </w:pPr>
      <w:r>
        <w:rPr>
          <w:sz w:val="20"/>
        </w:rPr>
        <w:t>Do not universally replace formal Scope 2 accounting factors with live grid intensity; use the correct method by jurisdiction and purpose.</w:t>
      </w:r>
    </w:p>
    <w:p>
      <w:pPr>
        <w:pStyle w:val="ListBullet"/>
        <w:spacing w:after="60"/>
      </w:pPr>
      <w:r>
        <w:rPr>
          <w:sz w:val="20"/>
        </w:rPr>
        <w:t>Do not hard-code regulatory text, prices or default assumptions without date, source, jurisdiction and rule version.</w:t>
      </w:r>
    </w:p>
    <w:p>
      <w:pPr>
        <w:pStyle w:val="ListBullet"/>
        <w:spacing w:after="60"/>
      </w:pPr>
      <w:r>
        <w:rPr>
          <w:sz w:val="20"/>
        </w:rPr>
        <w:t>Do not let AI-extracted supplier data enter calculations without human review and source traceability.</w:t>
      </w:r>
    </w:p>
    <w:p>
      <w:pPr>
        <w:pStyle w:val="ListBullet"/>
        <w:spacing w:after="60"/>
      </w:pPr>
      <w:r>
        <w:rPr>
          <w:sz w:val="20"/>
        </w:rPr>
        <w:t>Do not position a Carbon Passport as a regulatory certificate unless an authorised scheme explicitly recognises it as such.</w:t>
      </w:r>
    </w:p>
    <w:p>
      <w:pPr>
        <w:pStyle w:val="ListBullet"/>
        <w:spacing w:after="60"/>
      </w:pPr>
      <w:r>
        <w:rPr>
          <w:sz w:val="20"/>
        </w:rPr>
        <w:t>Do not make SaurEdge proprietary-only; maintain open protocol/API compatibility so the platform can ingest third-party meters and gateways.</w:t>
      </w:r>
    </w:p>
    <w:p>
      <w:pPr>
        <w:pStyle w:val="Heading1"/>
      </w:pPr>
      <w:r>
        <w:t>11. Final Recommendation</w:t>
      </w:r>
    </w:p>
    <w:tbl>
      <w:tblPr>
        <w:tblW w:type="auto" w:w="0"/>
        <w:jc w:val="center"/>
        <w:tblLayout w:type="autofit"/>
        <w:tblLook w:firstColumn="1" w:firstRow="1" w:lastColumn="0" w:lastRow="0" w:noHBand="0" w:noVBand="1" w:val="04A0"/>
      </w:tblPr>
      <w:tblGrid>
        <w:gridCol w:w="10224"/>
      </w:tblGrid>
      <w:tr>
        <w:trPr>
          <w:cantSplit/>
        </w:trPr>
        <w:tc>
          <w:tcPr>
            <w:tcW w:type="dxa" w:w="10224"/>
            <w:shd w:fill="E2F0D9"/>
          </w:tcPr>
          <w:p>
            <w:r/>
            <w:r>
              <w:rPr>
                <w:b/>
                <w:color w:val="17365D"/>
                <w:sz w:val="22"/>
              </w:rPr>
              <w:t>Strategic direction</w:t>
            </w:r>
          </w:p>
          <w:p>
            <w:pPr>
              <w:spacing w:after="0"/>
            </w:pPr>
            <w:r>
              <w:rPr>
                <w:sz w:val="20"/>
              </w:rPr>
              <w:t>CarbonMeter should be treated as a useful benchmark for operational measurement, waste detection and supplier-data usability. Carbon Passport should absorb those strengths selectively while preserving its larger advantage: verified product-level carbon identity across industry data, suppliers, compliance, MRV and public trust.</w:t>
            </w:r>
          </w:p>
        </w:tc>
      </w:tr>
    </w:tbl>
    <w:p>
      <w:pPr>
        <w:spacing w:after="40"/>
      </w:pPr>
    </w:p>
    <w:p>
      <w:r>
        <w:rPr>
          <w:b/>
        </w:rPr>
        <w:t xml:space="preserve">The strongest product statement for Saurient: </w:t>
      </w:r>
      <w:r>
        <w:t>“From meter to product to market: Carbon Passport turns measured operational data and supplier evidence into a verified, auditable carbon identity for every product.”</w:t>
      </w:r>
    </w:p>
    <w:p>
      <w:pPr>
        <w:pStyle w:val="Heading1"/>
      </w:pPr>
      <w:r>
        <w:t>12. Basis and Caveats</w:t>
      </w:r>
    </w:p>
    <w:p>
      <w:r>
        <w:t>CarbonMeter observations in this document are based on the supplied review of its public website and product pages dated 27 October 2026. Those items are public marketing claims and were not independently validated by running CarbonMeter. Carbon Passport observations are based on the current Saurient Carbon Passport POC/design direction and known planned modules; some capabilities are planned or partially implemented rather than production-complete.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Carbon Passport vs CarbonMeter - Strategic Comparison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6969"/>
        <w:sz w:val="16"/>
      </w:rPr>
      <w:t>Saurient AI Labs | Carbon Passport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