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Integration Hub Functional Specification</w:t>
      </w:r>
    </w:p>
    <w:p>
      <w:r>
        <w:t>Saurient Carbon Passport Platform</w:t>
        <w:br/>
        <w:t>Developer handover for Dili  |  Requested by Santhosh Samudrala</w:t>
        <w:br/>
        <w:t>Version 1.0  |  13 October 2026</w:t>
      </w:r>
    </w:p>
    <w:p>
      <w:pPr>
        <w:pStyle w:val="Heading2"/>
      </w:pPr>
      <w:r>
        <w:t>Purpose and delivery decision</w:t>
      </w:r>
    </w:p>
    <w:p>
      <w:r>
        <w:t>Build the Data menu as the entry point for collecting, mapping, validating and tracing activity records. Accepted records must connect to the organisation, facility, process, product and batch or reporting period before downstream calculations use them. This document specifies intended behaviour from the supplied Integration Hub screenshot; it does not confirm existing implementation.</w:t>
      </w:r>
    </w:p>
    <w:p>
      <w:r>
        <w:t>For the PoC, make Manual Entry, Bulk Upload, Import Jobs and Exceptions operational. Implement the mapping needed by one file format and demonstrate one meter or ERP source. Label connectors and metrics as Live, Simulated or Manual. Keep larger connector catalogues as clearly labelled previews until implemented.</w:t>
      </w:r>
    </w:p>
    <w:p>
      <w:pPr>
        <w:pStyle w:val="Heading2"/>
      </w:pPr>
      <w:r>
        <w:t>Page shell and actions</w:t>
      </w:r>
    </w:p>
    <w:tbl>
      <w:tblPr>
        <w:tblW w:type="auto" w:w="0"/>
        <w:tblLayout w:type="fixed"/>
        <w:tblLook w:firstColumn="1" w:firstRow="1" w:lastColumn="0" w:lastRow="0" w:noHBand="0" w:noVBand="1" w:val="04A0"/>
      </w:tblPr>
      <w:tblGrid>
        <w:gridCol w:w="2304"/>
        <w:gridCol w:w="7920"/>
      </w:tblGrid>
      <w:tr>
        <w:trPr>
          <w:cantSplit/>
          <w:tblHeader/>
        </w:trPr>
        <w:tc>
          <w:tcPr>
            <w:tcW w:type="dxa" w:w="2304"/>
            <w:tcBorders>
              <w:top w:val="single" w:sz="4" w:color="D9D9D9"/>
              <w:left w:val="single" w:sz="4" w:color="D9D9D9"/>
              <w:bottom w:val="single" w:sz="4" w:color="D9D9D9"/>
              <w:right w:val="single" w:sz="4" w:color="D9D9D9"/>
            </w:tcBorders>
            <w:shd w:fill="17324D"/>
            <w:tcMar>
              <w:top w:w="60" w:type="dxa"/>
              <w:left w:w="60" w:type="dxa"/>
              <w:bottom w:w="60" w:type="dxa"/>
              <w:right w:w="60" w:type="dxa"/>
            </w:tcMar>
          </w:tcPr>
          <w:p>
            <w:pPr>
              <w:spacing w:after="40" w:before="40"/>
            </w:pPr>
            <w:r>
              <w:rPr>
                <w:b/>
                <w:color w:val="FFFFFF"/>
                <w:sz w:val="19"/>
              </w:rPr>
              <w:t>Control</w:t>
            </w:r>
          </w:p>
        </w:tc>
        <w:tc>
          <w:tcPr>
            <w:tcW w:type="dxa" w:w="7920"/>
            <w:tcBorders>
              <w:top w:val="single" w:sz="4" w:color="D9D9D9"/>
              <w:left w:val="single" w:sz="4" w:color="D9D9D9"/>
              <w:bottom w:val="single" w:sz="4" w:color="D9D9D9"/>
              <w:right w:val="single" w:sz="4" w:color="D9D9D9"/>
            </w:tcBorders>
            <w:shd w:fill="17324D"/>
            <w:tcMar>
              <w:top w:w="60" w:type="dxa"/>
              <w:left w:w="60" w:type="dxa"/>
              <w:bottom w:w="60" w:type="dxa"/>
              <w:right w:w="60" w:type="dxa"/>
            </w:tcMar>
          </w:tcPr>
          <w:p>
            <w:pPr>
              <w:spacing w:after="40" w:before="40"/>
            </w:pPr>
            <w:r>
              <w:rPr>
                <w:b/>
                <w:color w:val="FFFFFF"/>
                <w:sz w:val="19"/>
              </w:rPr>
              <w:t>Required behaviour</w:t>
            </w:r>
          </w:p>
        </w:tc>
      </w:tr>
      <w:tr>
        <w:trPr>
          <w:cantSplit/>
        </w:trPr>
        <w:tc>
          <w:tcPr>
            <w:tcW w:type="dxa" w:w="230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Organisation and facility</w:t>
            </w:r>
          </w:p>
        </w:tc>
        <w:tc>
          <w:tcPr>
            <w:tcW w:type="dxa" w:w="7920"/>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Show current tenant and facility. Changing facility refreshes permitted records and every metric.</w:t>
            </w:r>
          </w:p>
        </w:tc>
      </w:tr>
      <w:tr>
        <w:trPr>
          <w:cantSplit/>
        </w:trPr>
        <w:tc>
          <w:tcPr>
            <w:tcW w:type="dxa" w:w="230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Reporting period</w:t>
            </w:r>
          </w:p>
        </w:tc>
        <w:tc>
          <w:tcPr>
            <w:tcW w:type="dxa" w:w="7920"/>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Use explicit start/end dates and timezone. Display the selected FY definition; do not assume every country uses the same fiscal year.</w:t>
            </w:r>
          </w:p>
        </w:tc>
      </w:tr>
      <w:tr>
        <w:trPr>
          <w:cantSplit/>
        </w:trPr>
        <w:tc>
          <w:tcPr>
            <w:tcW w:type="dxa" w:w="230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Search records</w:t>
            </w:r>
          </w:p>
        </w:tc>
        <w:tc>
          <w:tcPr>
            <w:tcW w:type="dxa" w:w="7920"/>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Search within tenant, facility and period; support source IDs, batch IDs and record types.</w:t>
            </w:r>
          </w:p>
        </w:tc>
      </w:tr>
      <w:tr>
        <w:trPr>
          <w:cantSplit/>
        </w:trPr>
        <w:tc>
          <w:tcPr>
            <w:tcW w:type="dxa" w:w="230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Primary action</w:t>
            </w:r>
          </w:p>
        </w:tc>
        <w:tc>
          <w:tcPr>
            <w:tcW w:type="dxa" w:w="7920"/>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Replace generic label with Add Connection on Connections; use tab-specific labels elsewhere.</w:t>
            </w:r>
          </w:p>
        </w:tc>
      </w:tr>
      <w:tr>
        <w:trPr>
          <w:cantSplit/>
        </w:trPr>
        <w:tc>
          <w:tcPr>
            <w:tcW w:type="dxa" w:w="230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Download</w:t>
            </w:r>
          </w:p>
        </w:tc>
        <w:tc>
          <w:tcPr>
            <w:tcW w:type="dxa" w:w="7920"/>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Name the export, such as Download Source Register or Download Import Error Report; respect filters and permissions.</w:t>
            </w:r>
          </w:p>
        </w:tc>
      </w:tr>
      <w:tr>
        <w:trPr>
          <w:cantSplit/>
        </w:trPr>
        <w:tc>
          <w:tcPr>
            <w:tcW w:type="dxa" w:w="230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Create Product Batch</w:t>
            </w:r>
          </w:p>
        </w:tc>
        <w:tc>
          <w:tcPr>
            <w:tcW w:type="dxa" w:w="7920"/>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Open batch creation with current facility preselected. Require a product; direct users to product setup if none exists.</w:t>
            </w:r>
          </w:p>
        </w:tc>
      </w:tr>
      <w:tr>
        <w:trPr>
          <w:cantSplit/>
        </w:trPr>
        <w:tc>
          <w:tcPr>
            <w:tcW w:type="dxa" w:w="230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API status</w:t>
            </w:r>
          </w:p>
        </w:tc>
        <w:tc>
          <w:tcPr>
            <w:tcW w:type="dxa" w:w="7920"/>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Show user-facing Connected or Unavailable status. Put localhost and technical diagnostics in an administrator detail view.</w:t>
            </w:r>
          </w:p>
        </w:tc>
      </w:tr>
      <w:tr>
        <w:trPr>
          <w:cantSplit/>
        </w:trPr>
        <w:tc>
          <w:tcPr>
            <w:tcW w:type="dxa" w:w="230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Simulation indicator</w:t>
            </w:r>
          </w:p>
        </w:tc>
        <w:tc>
          <w:tcPr>
            <w:tcW w:type="dxa" w:w="7920"/>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Show mode per source and dataset. A page-wide badge is insufficient when live and simulated sources are mixed.</w:t>
            </w:r>
          </w:p>
        </w:tc>
      </w:tr>
    </w:tbl>
    <w:p>
      <w:pPr>
        <w:spacing w:after="0"/>
      </w:pPr>
    </w:p>
    <w:p>
      <w:pPr>
        <w:pStyle w:val="Heading2"/>
      </w:pPr>
      <w:r>
        <w:t>Dashboard metrics</w:t>
      </w:r>
    </w:p>
    <w:p>
      <w:r>
        <w:t>Active Sources: count enabled sources and provide a drilldown by health. Records Today: show received, accepted, rejected and pending counts with a defined timezone and denominator. Exceptions: count unresolved issues and distinguish blocking issues from warnings. Device Uptime: show the observation window and method; devices online is a separate current snapshot.</w:t>
      </w:r>
    </w:p>
    <w:p>
      <w:r>
        <w:t>Give the ingestion chart labelled axes, date range and legend. Clicking a metric or chart segment must open filtered jobs, exceptions or device records. Replace the Connection health identity/boundary card with authentication, last sync, stale data, failures and device connectivity; place boundary approval in readiness.</w:t>
      </w:r>
    </w:p>
    <w:p>
      <w:pPr>
        <w:pStyle w:val="Heading1"/>
        <w:pageBreakBefore/>
      </w:pPr>
      <w:r>
        <w:t>Connection Mapping and Sync Tabs</w:t>
      </w:r>
    </w:p>
    <w:p>
      <w:pPr>
        <w:pStyle w:val="Heading2"/>
      </w:pPr>
      <w:r>
        <w:t>Connections</w:t>
      </w:r>
    </w:p>
    <w:p>
      <w:r>
        <w:t>Show source name, source type, facility, mode, owner, enabled state, health, last successful sync, last error and mapping version. Actions: Add Connection, Test, Configure, View Jobs, Pause and Disable. Configuration includes endpoint or connection reference, access method, selected datasets and schedule. Mask credentials; store secrets server-side and never include them in logs or exports.</w:t>
      </w:r>
    </w:p>
    <w:p>
      <w:r>
        <w:t>ERP or CRM connectivity alone is not carbon-data coverage. Specify which objects are available: purchases, material receipts, production, shipments or customer records. A simulated connector must show a sample-data indicator and must not claim a real login or sync.</w:t>
      </w:r>
    </w:p>
    <w:p>
      <w:pPr>
        <w:pStyle w:val="Heading2"/>
      </w:pPr>
      <w:r>
        <w:t>Mapping Studio</w:t>
      </w:r>
    </w:p>
    <w:p>
      <w:r>
        <w:t>Show source field and sample value beside the destination field, type, unit, conversion and required status. Select the destination record type: activity, material receipt, production, supplier declaration or logistics record. Preview valid and invalid rows before saving. Store mapping revisions; apply a chosen revision to each job.</w:t>
      </w:r>
    </w:p>
    <w:tbl>
      <w:tblPr>
        <w:tblW w:type="auto" w:w="0"/>
        <w:tblLayout w:type="fixed"/>
        <w:tblLook w:firstColumn="1" w:firstRow="1" w:lastColumn="0" w:lastRow="0" w:noHBand="0" w:noVBand="1" w:val="04A0"/>
      </w:tblPr>
      <w:tblGrid>
        <w:gridCol w:w="2160"/>
        <w:gridCol w:w="3240"/>
        <w:gridCol w:w="4824"/>
      </w:tblGrid>
      <w:tr>
        <w:trPr>
          <w:cantSplit/>
          <w:tblHeader/>
        </w:trPr>
        <w:tc>
          <w:tcPr>
            <w:tcW w:type="dxa" w:w="2160"/>
            <w:tcBorders>
              <w:top w:val="single" w:sz="4" w:color="D9D9D9"/>
              <w:left w:val="single" w:sz="4" w:color="D9D9D9"/>
              <w:bottom w:val="single" w:sz="4" w:color="D9D9D9"/>
              <w:right w:val="single" w:sz="4" w:color="D9D9D9"/>
            </w:tcBorders>
            <w:shd w:fill="17324D"/>
            <w:tcMar>
              <w:top w:w="60" w:type="dxa"/>
              <w:left w:w="60" w:type="dxa"/>
              <w:bottom w:w="60" w:type="dxa"/>
              <w:right w:w="60" w:type="dxa"/>
            </w:tcMar>
          </w:tcPr>
          <w:p>
            <w:pPr>
              <w:spacing w:after="40" w:before="40"/>
            </w:pPr>
            <w:r>
              <w:rPr>
                <w:b/>
                <w:color w:val="FFFFFF"/>
                <w:sz w:val="19"/>
              </w:rPr>
              <w:t>Source example</w:t>
            </w:r>
          </w:p>
        </w:tc>
        <w:tc>
          <w:tcPr>
            <w:tcW w:type="dxa" w:w="3240"/>
            <w:tcBorders>
              <w:top w:val="single" w:sz="4" w:color="D9D9D9"/>
              <w:left w:val="single" w:sz="4" w:color="D9D9D9"/>
              <w:bottom w:val="single" w:sz="4" w:color="D9D9D9"/>
              <w:right w:val="single" w:sz="4" w:color="D9D9D9"/>
            </w:tcBorders>
            <w:shd w:fill="17324D"/>
            <w:tcMar>
              <w:top w:w="60" w:type="dxa"/>
              <w:left w:w="60" w:type="dxa"/>
              <w:bottom w:w="60" w:type="dxa"/>
              <w:right w:w="60" w:type="dxa"/>
            </w:tcMar>
          </w:tcPr>
          <w:p>
            <w:pPr>
              <w:spacing w:after="40" w:before="40"/>
            </w:pPr>
            <w:r>
              <w:rPr>
                <w:b/>
                <w:color w:val="FFFFFF"/>
                <w:sz w:val="19"/>
              </w:rPr>
              <w:t>Saurient destination</w:t>
            </w:r>
          </w:p>
        </w:tc>
        <w:tc>
          <w:tcPr>
            <w:tcW w:type="dxa" w:w="4824"/>
            <w:tcBorders>
              <w:top w:val="single" w:sz="4" w:color="D9D9D9"/>
              <w:left w:val="single" w:sz="4" w:color="D9D9D9"/>
              <w:bottom w:val="single" w:sz="4" w:color="D9D9D9"/>
              <w:right w:val="single" w:sz="4" w:color="D9D9D9"/>
            </w:tcBorders>
            <w:shd w:fill="17324D"/>
            <w:tcMar>
              <w:top w:w="60" w:type="dxa"/>
              <w:left w:w="60" w:type="dxa"/>
              <w:bottom w:w="60" w:type="dxa"/>
              <w:right w:w="60" w:type="dxa"/>
            </w:tcMar>
          </w:tcPr>
          <w:p>
            <w:pPr>
              <w:spacing w:after="40" w:before="40"/>
            </w:pPr>
            <w:r>
              <w:rPr>
                <w:b/>
                <w:color w:val="FFFFFF"/>
                <w:sz w:val="19"/>
              </w:rPr>
              <w:t>Review requirement</w:t>
            </w:r>
          </w:p>
        </w:tc>
      </w:tr>
      <w:tr>
        <w:trPr>
          <w:cantSplit/>
        </w:trPr>
        <w:tc>
          <w:tcPr>
            <w:tcW w:type="dxa" w:w="2160"/>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MaterialCode</w:t>
            </w:r>
          </w:p>
        </w:tc>
        <w:tc>
          <w:tcPr>
            <w:tcW w:type="dxa" w:w="3240"/>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Material or product reference</w:t>
            </w:r>
          </w:p>
        </w:tc>
        <w:tc>
          <w:tcPr>
            <w:tcW w:type="dxa" w:w="482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Resolve to an existing tenant record; unmatched codes become exceptions.</w:t>
            </w:r>
          </w:p>
        </w:tc>
      </w:tr>
      <w:tr>
        <w:trPr>
          <w:cantSplit/>
        </w:trPr>
        <w:tc>
          <w:tcPr>
            <w:tcW w:type="dxa" w:w="2160"/>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PlantCode</w:t>
            </w:r>
          </w:p>
        </w:tc>
        <w:tc>
          <w:tcPr>
            <w:tcW w:type="dxa" w:w="3240"/>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Facility ID</w:t>
            </w:r>
          </w:p>
        </w:tc>
        <w:tc>
          <w:tcPr>
            <w:tcW w:type="dxa" w:w="482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Reject cross-tenant or unknown facilities.</w:t>
            </w:r>
          </w:p>
        </w:tc>
      </w:tr>
      <w:tr>
        <w:trPr>
          <w:cantSplit/>
        </w:trPr>
        <w:tc>
          <w:tcPr>
            <w:tcW w:type="dxa" w:w="2160"/>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Electricity_kWh</w:t>
            </w:r>
          </w:p>
        </w:tc>
        <w:tc>
          <w:tcPr>
            <w:tcW w:type="dxa" w:w="3240"/>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Activity quantity and unit</w:t>
            </w:r>
          </w:p>
        </w:tc>
        <w:tc>
          <w:tcPr>
            <w:tcW w:type="dxa" w:w="482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Identify energy quantity; do not confuse kW power with kWh energy.</w:t>
            </w:r>
          </w:p>
        </w:tc>
      </w:tr>
      <w:tr>
        <w:trPr>
          <w:cantSplit/>
        </w:trPr>
        <w:tc>
          <w:tcPr>
            <w:tcW w:type="dxa" w:w="2160"/>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ProductionQty</w:t>
            </w:r>
          </w:p>
        </w:tc>
        <w:tc>
          <w:tcPr>
            <w:tcW w:type="dxa" w:w="3240"/>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Batch output quantity</w:t>
            </w:r>
          </w:p>
        </w:tc>
        <w:tc>
          <w:tcPr>
            <w:tcW w:type="dxa" w:w="482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Validate unit and link to batch or reporting coverage.</w:t>
            </w:r>
          </w:p>
        </w:tc>
      </w:tr>
      <w:tr>
        <w:trPr>
          <w:cantSplit/>
        </w:trPr>
        <w:tc>
          <w:tcPr>
            <w:tcW w:type="dxa" w:w="2160"/>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SupplierID</w:t>
            </w:r>
          </w:p>
        </w:tc>
        <w:tc>
          <w:tcPr>
            <w:tcW w:type="dxa" w:w="3240"/>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Supplier reference</w:t>
            </w:r>
          </w:p>
        </w:tc>
        <w:tc>
          <w:tcPr>
            <w:tcW w:type="dxa" w:w="482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Link to Value Chain supplier and declaration.</w:t>
            </w:r>
          </w:p>
        </w:tc>
      </w:tr>
      <w:tr>
        <w:trPr>
          <w:cantSplit/>
        </w:trPr>
        <w:tc>
          <w:tcPr>
            <w:tcW w:type="dxa" w:w="2160"/>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ReadingTime</w:t>
            </w:r>
          </w:p>
        </w:tc>
        <w:tc>
          <w:tcPr>
            <w:tcW w:type="dxa" w:w="3240"/>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Observed timestamp</w:t>
            </w:r>
          </w:p>
        </w:tc>
        <w:tc>
          <w:tcPr>
            <w:tcW w:type="dxa" w:w="482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Preserve source timezone and normalise consistently.</w:t>
            </w:r>
          </w:p>
        </w:tc>
      </w:tr>
    </w:tbl>
    <w:p>
      <w:pPr>
        <w:spacing w:after="0"/>
      </w:pPr>
    </w:p>
    <w:p>
      <w:r>
        <w:t>Suggest scope/category only after the approved organisational boundary and method are known. Require confirmation for ambiguous ownership, control or activity cases. Source mapping must not silently approve a carbon accounting classification.</w:t>
      </w:r>
    </w:p>
    <w:p>
      <w:pPr>
        <w:pStyle w:val="Heading2"/>
      </w:pPr>
      <w:r>
        <w:t>Sync Controls</w:t>
      </w:r>
    </w:p>
    <w:p>
      <w:r>
        <w:t>Show schedule, timezone, last and next run, selected date range, dataset and cursor/watermark. Provide Sync Now, Pause, Resume and Retry Failed. A retry uses source-record identity and revision to prevent duplicates. Backfills must preserve source timestamps and record who requested them.</w:t>
      </w:r>
    </w:p>
    <w:p>
      <w:pPr>
        <w:pStyle w:val="Heading2"/>
      </w:pPr>
      <w:r>
        <w:t>Import Jobs</w:t>
      </w:r>
    </w:p>
    <w:p>
      <w:r>
        <w:t>Show job ID, source, mapping version, initiating user, start/end time, selected coverage and received/accepted/rejected/pending counts. States: Queued, Running, Completed, Completed with errors, Failed and Cancelled where supported. Open a job to inspect rows, errors and accepted-record links. Download an error report and retry corrected rows without reimporting unchanged accepted records.</w:t>
      </w:r>
    </w:p>
    <w:p>
      <w:pPr>
        <w:pStyle w:val="Heading1"/>
        <w:pageBreakBefore/>
      </w:pPr>
      <w:r>
        <w:t>Exceptions Telemetry and Input Tabs</w:t>
      </w:r>
    </w:p>
    <w:p>
      <w:pPr>
        <w:pStyle w:val="Heading2"/>
      </w:pPr>
      <w:r>
        <w:t>Exceptions</w:t>
      </w:r>
    </w:p>
    <w:p>
      <w:r>
        <w:t>Show issue ID, severity, validation rule/version, affected record, source, reason, owner, detected time and state. States: Open, Assigned, Resolved and Accepted exception only where the approved method permits it. Open the original row and linked evidence; capture the correction and revalidate. Never resolve a mandatory evidence gap merely by marking it acknowledged.</w:t>
      </w:r>
    </w:p>
    <w:p>
      <w:r>
        <w:t>Examples: invalid unit, missing facility, unknown product, duplicate record, missing evidence, implausible reading and conflict between sources. A successful import is not independent verification. Keep critical rejected data out of calculation inputs until corrected.</w:t>
      </w:r>
    </w:p>
    <w:p>
      <w:pPr>
        <w:pStyle w:val="Heading2"/>
      </w:pPr>
      <w:r>
        <w:t>Telemetry</w:t>
      </w:r>
    </w:p>
    <w:p>
      <w:r>
        <w:t>Show device ID, source/gateway, facility, process, parameter, quantity, unit, observed time, received time, data quality and latest connection status. Provide time filters, trend detail, gap flags, device configuration reference and related activities. Display measurement data separately from derived emissions.</w:t>
      </w:r>
    </w:p>
    <w:p>
      <w:r>
        <w:t>For cumulative energy counters, derive consumption from interval differences using explicit reset/rollover rules. Deduplicate readings, handle out-of-order arrivals and identify gaps. Do not silently substitute zero for missing readings. Link the derivation to source reading IDs and an approved batch/process allocation rule.</w:t>
      </w:r>
    </w:p>
    <w:p>
      <w:pPr>
        <w:pStyle w:val="Heading2"/>
      </w:pPr>
      <w:r>
        <w:t>Manual Entry</w:t>
      </w:r>
    </w:p>
    <w:p>
      <w:r>
        <w:t>Required fields: tenant and facility, activity type, reporting date or period, quantity, unit, source description and evidence reference where applicable. Include product/batch, process, supplier and logistics references as required by the selected record type. Show any proposed scope/category and its approval state.</w:t>
      </w:r>
    </w:p>
    <w:p>
      <w:r>
        <w:t>Actions: Save Draft, Validate and Submit Data. Display field errors beside the input. Save actor, timestamp and revision. An edit to data used by an issued passport must create a revision and impact notification rather than overwrite the issued snapshot.</w:t>
      </w:r>
    </w:p>
    <w:p>
      <w:pPr>
        <w:pStyle w:val="Heading2"/>
      </w:pPr>
      <w:r>
        <w:t>Bulk Upload</w:t>
      </w:r>
    </w:p>
    <w:p>
      <w:r>
        <w:t>Provide Download Template, Select File, Preview, Map Columns, Validate and Import Accepted Rows. For the PoC, document supported CSV and Excel formats, date/unit conventions and file limits. Report invalid rows with row number, field, value, reason and correction guidance. Clearly state partial-import behaviour and obtain an explicit import action after preview.</w:t>
      </w:r>
    </w:p>
    <w:p>
      <w:pPr>
        <w:pStyle w:val="Heading2"/>
      </w:pPr>
      <w:r>
        <w:t>Common record contract</w:t>
      </w:r>
    </w:p>
    <w:tbl>
      <w:tblPr>
        <w:tblW w:type="auto" w:w="0"/>
        <w:tblLayout w:type="fixed"/>
        <w:tblLook w:firstColumn="1" w:firstRow="1" w:lastColumn="0" w:lastRow="0" w:noHBand="0" w:noVBand="1" w:val="04A0"/>
      </w:tblPr>
      <w:tblGrid>
        <w:gridCol w:w="2160"/>
        <w:gridCol w:w="8064"/>
      </w:tblGrid>
      <w:tr>
        <w:trPr>
          <w:cantSplit/>
          <w:tblHeader/>
        </w:trPr>
        <w:tc>
          <w:tcPr>
            <w:tcW w:type="dxa" w:w="2160"/>
            <w:tcBorders>
              <w:top w:val="single" w:sz="4" w:color="D9D9D9"/>
              <w:left w:val="single" w:sz="4" w:color="D9D9D9"/>
              <w:bottom w:val="single" w:sz="4" w:color="D9D9D9"/>
              <w:right w:val="single" w:sz="4" w:color="D9D9D9"/>
            </w:tcBorders>
            <w:shd w:fill="17324D"/>
            <w:tcMar>
              <w:top w:w="60" w:type="dxa"/>
              <w:left w:w="60" w:type="dxa"/>
              <w:bottom w:w="60" w:type="dxa"/>
              <w:right w:w="60" w:type="dxa"/>
            </w:tcMar>
          </w:tcPr>
          <w:p>
            <w:pPr>
              <w:spacing w:after="40" w:before="40"/>
            </w:pPr>
            <w:r>
              <w:rPr>
                <w:b/>
                <w:color w:val="FFFFFF"/>
                <w:sz w:val="19"/>
              </w:rPr>
              <w:t>Field group</w:t>
            </w:r>
          </w:p>
        </w:tc>
        <w:tc>
          <w:tcPr>
            <w:tcW w:type="dxa" w:w="8064"/>
            <w:tcBorders>
              <w:top w:val="single" w:sz="4" w:color="D9D9D9"/>
              <w:left w:val="single" w:sz="4" w:color="D9D9D9"/>
              <w:bottom w:val="single" w:sz="4" w:color="D9D9D9"/>
              <w:right w:val="single" w:sz="4" w:color="D9D9D9"/>
            </w:tcBorders>
            <w:shd w:fill="17324D"/>
            <w:tcMar>
              <w:top w:w="60" w:type="dxa"/>
              <w:left w:w="60" w:type="dxa"/>
              <w:bottom w:w="60" w:type="dxa"/>
              <w:right w:w="60" w:type="dxa"/>
            </w:tcMar>
          </w:tcPr>
          <w:p>
            <w:pPr>
              <w:spacing w:after="40" w:before="40"/>
            </w:pPr>
            <w:r>
              <w:rPr>
                <w:b/>
                <w:color w:val="FFFFFF"/>
                <w:sz w:val="19"/>
              </w:rPr>
              <w:t>Minimum information</w:t>
            </w:r>
          </w:p>
        </w:tc>
      </w:tr>
      <w:tr>
        <w:trPr>
          <w:cantSplit/>
        </w:trPr>
        <w:tc>
          <w:tcPr>
            <w:tcW w:type="dxa" w:w="2160"/>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Identity</w:t>
            </w:r>
          </w:p>
        </w:tc>
        <w:tc>
          <w:tcPr>
            <w:tcW w:type="dxa" w:w="806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Record ID, tenant, source ID, external record ID and revision.</w:t>
            </w:r>
          </w:p>
        </w:tc>
      </w:tr>
      <w:tr>
        <w:trPr>
          <w:cantSplit/>
        </w:trPr>
        <w:tc>
          <w:tcPr>
            <w:tcW w:type="dxa" w:w="2160"/>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Context</w:t>
            </w:r>
          </w:p>
        </w:tc>
        <w:tc>
          <w:tcPr>
            <w:tcW w:type="dxa" w:w="806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Facility, process and applicable product/batch or reporting period.</w:t>
            </w:r>
          </w:p>
        </w:tc>
      </w:tr>
      <w:tr>
        <w:trPr>
          <w:cantSplit/>
        </w:trPr>
        <w:tc>
          <w:tcPr>
            <w:tcW w:type="dxa" w:w="2160"/>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Measurement</w:t>
            </w:r>
          </w:p>
        </w:tc>
        <w:tc>
          <w:tcPr>
            <w:tcW w:type="dxa" w:w="806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Activity type, quantity, original unit, normalised unit, observation time and timezone.</w:t>
            </w:r>
          </w:p>
        </w:tc>
      </w:tr>
      <w:tr>
        <w:trPr>
          <w:cantSplit/>
        </w:trPr>
        <w:tc>
          <w:tcPr>
            <w:tcW w:type="dxa" w:w="2160"/>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Provenance</w:t>
            </w:r>
          </w:p>
        </w:tc>
        <w:tc>
          <w:tcPr>
            <w:tcW w:type="dxa" w:w="806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Import job, mapping version, evidence IDs, source location, actor and received time.</w:t>
            </w:r>
          </w:p>
        </w:tc>
      </w:tr>
      <w:tr>
        <w:trPr>
          <w:cantSplit/>
        </w:trPr>
        <w:tc>
          <w:tcPr>
            <w:tcW w:type="dxa" w:w="2160"/>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Validation</w:t>
            </w:r>
          </w:p>
        </w:tc>
        <w:tc>
          <w:tcPr>
            <w:tcW w:type="dxa" w:w="806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Result, issues, rule version, classification state and calculation eligibility.</w:t>
            </w:r>
          </w:p>
        </w:tc>
      </w:tr>
    </w:tbl>
    <w:p>
      <w:pPr>
        <w:spacing w:after="0"/>
      </w:pPr>
    </w:p>
    <w:p>
      <w:pPr>
        <w:pStyle w:val="Heading1"/>
        <w:pageBreakBefore/>
      </w:pPr>
      <w:r>
        <w:t>Connections to Internal Menus</w:t>
      </w:r>
    </w:p>
    <w:p>
      <w:r>
        <w:t>Use stable shared record IDs rather than copying unrelated values into each screen. The destinations below describe desired menu connections; Dili must map them to existing routes and APIs. Inner page names are proposed if the application uses different labels.</w:t>
      </w:r>
    </w:p>
    <w:tbl>
      <w:tblPr>
        <w:tblW w:type="auto" w:w="0"/>
        <w:tblLayout w:type="fixed"/>
        <w:tblLook w:firstColumn="1" w:firstRow="1" w:lastColumn="0" w:lastRow="0" w:noHBand="0" w:noVBand="1" w:val="04A0"/>
      </w:tblPr>
      <w:tblGrid>
        <w:gridCol w:w="1872"/>
        <w:gridCol w:w="4104"/>
        <w:gridCol w:w="4248"/>
      </w:tblGrid>
      <w:tr>
        <w:trPr>
          <w:cantSplit/>
          <w:tblHeader/>
        </w:trPr>
        <w:tc>
          <w:tcPr>
            <w:tcW w:type="dxa" w:w="1872"/>
            <w:tcBorders>
              <w:top w:val="single" w:sz="4" w:color="D9D9D9"/>
              <w:left w:val="single" w:sz="4" w:color="D9D9D9"/>
              <w:bottom w:val="single" w:sz="4" w:color="D9D9D9"/>
              <w:right w:val="single" w:sz="4" w:color="D9D9D9"/>
            </w:tcBorders>
            <w:shd w:fill="17324D"/>
            <w:tcMar>
              <w:top w:w="60" w:type="dxa"/>
              <w:left w:w="60" w:type="dxa"/>
              <w:bottom w:w="60" w:type="dxa"/>
              <w:right w:w="60" w:type="dxa"/>
            </w:tcMar>
          </w:tcPr>
          <w:p>
            <w:pPr>
              <w:spacing w:after="40" w:before="40"/>
            </w:pPr>
            <w:r>
              <w:rPr>
                <w:b/>
                <w:color w:val="FFFFFF"/>
                <w:sz w:val="19"/>
              </w:rPr>
              <w:t>Internal menu</w:t>
            </w:r>
          </w:p>
        </w:tc>
        <w:tc>
          <w:tcPr>
            <w:tcW w:type="dxa" w:w="4104"/>
            <w:tcBorders>
              <w:top w:val="single" w:sz="4" w:color="D9D9D9"/>
              <w:left w:val="single" w:sz="4" w:color="D9D9D9"/>
              <w:bottom w:val="single" w:sz="4" w:color="D9D9D9"/>
              <w:right w:val="single" w:sz="4" w:color="D9D9D9"/>
            </w:tcBorders>
            <w:shd w:fill="17324D"/>
            <w:tcMar>
              <w:top w:w="60" w:type="dxa"/>
              <w:left w:w="60" w:type="dxa"/>
              <w:bottom w:w="60" w:type="dxa"/>
              <w:right w:w="60" w:type="dxa"/>
            </w:tcMar>
          </w:tcPr>
          <w:p>
            <w:pPr>
              <w:spacing w:after="40" w:before="40"/>
            </w:pPr>
            <w:r>
              <w:rPr>
                <w:b/>
                <w:color w:val="FFFFFF"/>
                <w:sz w:val="19"/>
              </w:rPr>
              <w:t>Connection from Integration Hub</w:t>
            </w:r>
          </w:p>
        </w:tc>
        <w:tc>
          <w:tcPr>
            <w:tcW w:type="dxa" w:w="4248"/>
            <w:tcBorders>
              <w:top w:val="single" w:sz="4" w:color="D9D9D9"/>
              <w:left w:val="single" w:sz="4" w:color="D9D9D9"/>
              <w:bottom w:val="single" w:sz="4" w:color="D9D9D9"/>
              <w:right w:val="single" w:sz="4" w:color="D9D9D9"/>
            </w:tcBorders>
            <w:shd w:fill="17324D"/>
            <w:tcMar>
              <w:top w:w="60" w:type="dxa"/>
              <w:left w:w="60" w:type="dxa"/>
              <w:bottom w:w="60" w:type="dxa"/>
              <w:right w:w="60" w:type="dxa"/>
            </w:tcMar>
          </w:tcPr>
          <w:p>
            <w:pPr>
              <w:spacing w:after="40" w:before="40"/>
            </w:pPr>
            <w:r>
              <w:rPr>
                <w:b/>
                <w:color w:val="FFFFFF"/>
                <w:sz w:val="19"/>
              </w:rPr>
              <w:t>Navigation and result</w:t>
            </w:r>
          </w:p>
        </w:tc>
      </w:tr>
      <w:tr>
        <w:trPr>
          <w:cantSplit/>
        </w:trPr>
        <w:tc>
          <w:tcPr>
            <w:tcW w:type="dxa" w:w="1872"/>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Home</w:t>
            </w:r>
          </w:p>
        </w:tc>
        <w:tc>
          <w:tcPr>
            <w:tcW w:type="dxa" w:w="410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Source health, unresolved issues and accepted activity counts.</w:t>
            </w:r>
          </w:p>
        </w:tc>
        <w:tc>
          <w:tcPr>
            <w:tcW w:type="dxa" w:w="4248"/>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Open Data alerts with matching facility and reporting filters.</w:t>
            </w:r>
          </w:p>
        </w:tc>
      </w:tr>
      <w:tr>
        <w:trPr>
          <w:cantSplit/>
        </w:trPr>
        <w:tc>
          <w:tcPr>
            <w:tcW w:type="dxa" w:w="1872"/>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Organisation</w:t>
            </w:r>
          </w:p>
        </w:tc>
        <w:tc>
          <w:tcPr>
            <w:tcW w:type="dxa" w:w="410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Tenant, facility, process, meter and product reference data.</w:t>
            </w:r>
          </w:p>
        </w:tc>
        <w:tc>
          <w:tcPr>
            <w:tcW w:type="dxa" w:w="4248"/>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Resolve unknown references or open the matching profile; return to the original import.</w:t>
            </w:r>
          </w:p>
        </w:tc>
      </w:tr>
      <w:tr>
        <w:trPr>
          <w:cantSplit/>
        </w:trPr>
        <w:tc>
          <w:tcPr>
            <w:tcW w:type="dxa" w:w="1872"/>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Carbon Accounting</w:t>
            </w:r>
          </w:p>
        </w:tc>
        <w:tc>
          <w:tcPr>
            <w:tcW w:type="dxa" w:w="410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Validated activities and confirmed classifications.</w:t>
            </w:r>
          </w:p>
        </w:tc>
        <w:tc>
          <w:tcPr>
            <w:tcW w:type="dxa" w:w="4248"/>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Open Activity Inventory with source/evidence trace. Aggregate under the selected company accounting method.</w:t>
            </w:r>
          </w:p>
        </w:tc>
      </w:tr>
      <w:tr>
        <w:trPr>
          <w:cantSplit/>
        </w:trPr>
        <w:tc>
          <w:tcPr>
            <w:tcW w:type="dxa" w:w="1872"/>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Value Chain</w:t>
            </w:r>
          </w:p>
        </w:tc>
        <w:tc>
          <w:tcPr>
            <w:tcW w:type="dxa" w:w="410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Material receipts, suppliers, declarations, logistics and stock movements.</w:t>
            </w:r>
          </w:p>
        </w:tc>
        <w:tc>
          <w:tcPr>
            <w:tcW w:type="dxa" w:w="4248"/>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Open receipt, supplier or declaration detail. Link consumed material lots to batches and stock balances.</w:t>
            </w:r>
          </w:p>
        </w:tc>
      </w:tr>
      <w:tr>
        <w:trPr>
          <w:cantSplit/>
        </w:trPr>
        <w:tc>
          <w:tcPr>
            <w:tcW w:type="dxa" w:w="1872"/>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PCF</w:t>
            </w:r>
          </w:p>
        </w:tc>
        <w:tc>
          <w:tcPr>
            <w:tcW w:type="dxa" w:w="410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Batch inputs, output quantities, energy allocation and inbound logistics.</w:t>
            </w:r>
          </w:p>
        </w:tc>
        <w:tc>
          <w:tcPr>
            <w:tcW w:type="dxa" w:w="4248"/>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Open Inventory, Allocation or Logistics for the selected batch; calculate a versioned product result.</w:t>
            </w:r>
          </w:p>
        </w:tc>
      </w:tr>
      <w:tr>
        <w:trPr>
          <w:cantSplit/>
        </w:trPr>
        <w:tc>
          <w:tcPr>
            <w:tcW w:type="dxa" w:w="1872"/>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CBAM</w:t>
            </w:r>
          </w:p>
        </w:tc>
        <w:tc>
          <w:tcPr>
            <w:tcW w:type="dxa" w:w="410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Applicable installation/product inputs and evidence.</w:t>
            </w:r>
          </w:p>
        </w:tc>
        <w:tc>
          <w:tcPr>
            <w:tcW w:type="dxa" w:w="4248"/>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Open the framework-specific calculation/readiness view. Do not reuse PCF totals without the required method transformation.</w:t>
            </w:r>
          </w:p>
        </w:tc>
      </w:tr>
      <w:tr>
        <w:trPr>
          <w:cantSplit/>
        </w:trPr>
        <w:tc>
          <w:tcPr>
            <w:tcW w:type="dxa" w:w="1872"/>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MRV and Verification</w:t>
            </w:r>
          </w:p>
        </w:tc>
        <w:tc>
          <w:tcPr>
            <w:tcW w:type="dxa" w:w="410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Frozen calculation inputs, evidence links and unresolved issues.</w:t>
            </w:r>
          </w:p>
        </w:tc>
        <w:tc>
          <w:tcPr>
            <w:tcW w:type="dxa" w:w="4248"/>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Open assigned engagement/workpapers. New corrections create revisions and findings responses.</w:t>
            </w:r>
          </w:p>
        </w:tc>
      </w:tr>
      <w:tr>
        <w:trPr>
          <w:cantSplit/>
        </w:trPr>
        <w:tc>
          <w:tcPr>
            <w:tcW w:type="dxa" w:w="1872"/>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Carbon Passports</w:t>
            </w:r>
          </w:p>
        </w:tc>
        <w:tc>
          <w:tcPr>
            <w:tcW w:type="dxa" w:w="410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Approved calculation snapshot and verification coverage.</w:t>
            </w:r>
          </w:p>
        </w:tc>
        <w:tc>
          <w:tcPr>
            <w:tcW w:type="dxa" w:w="4248"/>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Readiness links back to the exact data issue; Preview and Sign and Issue use the approved snapshot.</w:t>
            </w:r>
          </w:p>
        </w:tc>
      </w:tr>
      <w:tr>
        <w:trPr>
          <w:cantSplit/>
        </w:trPr>
        <w:tc>
          <w:tcPr>
            <w:tcW w:type="dxa" w:w="1872"/>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Trace Carbon</w:t>
            </w:r>
          </w:p>
        </w:tc>
        <w:tc>
          <w:tcPr>
            <w:tcW w:type="dxa" w:w="410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Source record → activity → calculation line → passport links.</w:t>
            </w:r>
          </w:p>
        </w:tc>
        <w:tc>
          <w:tcPr>
            <w:tcW w:type="dxa" w:w="4248"/>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Open lineage for a selected number and identify affected records after a correction.</w:t>
            </w:r>
          </w:p>
        </w:tc>
      </w:tr>
      <w:tr>
        <w:trPr>
          <w:cantSplit/>
        </w:trPr>
        <w:tc>
          <w:tcPr>
            <w:tcW w:type="dxa" w:w="1872"/>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Analytics</w:t>
            </w:r>
          </w:p>
        </w:tc>
        <w:tc>
          <w:tcPr>
            <w:tcW w:type="dxa" w:w="410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Authorised accepted records and calculation results.</w:t>
            </w:r>
          </w:p>
        </w:tc>
        <w:tc>
          <w:tcPr>
            <w:tcW w:type="dxa" w:w="4248"/>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Show labelled data/calculation coverage and trends. Distinguish estimates and simulated inputs.</w:t>
            </w:r>
          </w:p>
        </w:tc>
      </w:tr>
    </w:tbl>
    <w:p>
      <w:pPr>
        <w:spacing w:after="0"/>
      </w:pPr>
    </w:p>
    <w:p>
      <w:pPr>
        <w:pStyle w:val="Heading2"/>
      </w:pPr>
      <w:r>
        <w:t>Correction impact</w:t>
      </w:r>
    </w:p>
    <w:p>
      <w:r>
        <w:t>When a supplier quantity or meter-derived activity changes, record the new revision, invalidate affected draft calculations and readiness checks, and notify the appropriate owner. Preserve submitted/verified/issued snapshots. Trigger review before a replacement passport is issued; the original public link must retain its version and current lifecycle status.</w:t>
      </w:r>
    </w:p>
    <w:p>
      <w:pPr>
        <w:pStyle w:val="Heading2"/>
      </w:pPr>
      <w:r>
        <w:t>Context-preserving links</w:t>
      </w:r>
    </w:p>
    <w:p>
      <w:r>
        <w:t>Carry tenant, facility, period, source/job and product/batch references through navigation. A Return to import or Return to readiness link should restore the same selection. Enforce authorisation on backend reads and writes, not only on menu visibility.</w:t>
      </w:r>
    </w:p>
    <w:p>
      <w:pPr>
        <w:pStyle w:val="Heading1"/>
        <w:pageBreakBefore/>
      </w:pPr>
      <w:r>
        <w:t>PoC Walkthrough and Acceptance Tests</w:t>
      </w:r>
    </w:p>
    <w:p>
      <w:pPr>
        <w:pStyle w:val="Heading2"/>
      </w:pPr>
      <w:r>
        <w:t>One coherent demonstration</w:t>
      </w:r>
    </w:p>
    <w:p>
      <w:r>
        <w:t>Register the organisation and facility → create a product and batch → upload material receipts and activity data → map the source fields → show one rejected row → correct and revalidate → link accepted inputs in Value Chain and PCF → run the calculation → submit a frozen record to MRV → obtain simulated authorised review → issue a demo passport → open Trace Carbon from its result.</w:t>
      </w:r>
    </w:p>
    <w:p>
      <w:r>
        <w:t>Use Manual Entry to add one supported activity and Telemetry to demonstrate one source or clearly labelled simulation. CBAM may be a method-specific preview until the applicable calculation, checklist and verification coverage are implemented. Show integration capability and regulatory readiness honestly.</w:t>
      </w:r>
    </w:p>
    <w:p>
      <w:pPr>
        <w:pStyle w:val="Heading2"/>
      </w:pPr>
      <w:r>
        <w:t>Tests Dili should record</w:t>
      </w:r>
    </w:p>
    <w:tbl>
      <w:tblPr>
        <w:tblW w:type="auto" w:w="0"/>
        <w:tblLayout w:type="fixed"/>
        <w:tblLook w:firstColumn="1" w:firstRow="1" w:lastColumn="0" w:lastRow="0" w:noHBand="0" w:noVBand="1" w:val="04A0"/>
      </w:tblPr>
      <w:tblGrid>
        <w:gridCol w:w="2664"/>
        <w:gridCol w:w="7560"/>
      </w:tblGrid>
      <w:tr>
        <w:trPr>
          <w:cantSplit/>
          <w:tblHeader/>
        </w:trPr>
        <w:tc>
          <w:tcPr>
            <w:tcW w:type="dxa" w:w="2664"/>
            <w:tcBorders>
              <w:top w:val="single" w:sz="4" w:color="D9D9D9"/>
              <w:left w:val="single" w:sz="4" w:color="D9D9D9"/>
              <w:bottom w:val="single" w:sz="4" w:color="D9D9D9"/>
              <w:right w:val="single" w:sz="4" w:color="D9D9D9"/>
            </w:tcBorders>
            <w:shd w:fill="17324D"/>
            <w:tcMar>
              <w:top w:w="60" w:type="dxa"/>
              <w:left w:w="60" w:type="dxa"/>
              <w:bottom w:w="60" w:type="dxa"/>
              <w:right w:w="60" w:type="dxa"/>
            </w:tcMar>
          </w:tcPr>
          <w:p>
            <w:pPr>
              <w:spacing w:after="40" w:before="40"/>
            </w:pPr>
            <w:r>
              <w:rPr>
                <w:b/>
                <w:color w:val="FFFFFF"/>
                <w:sz w:val="19"/>
              </w:rPr>
              <w:t>Case</w:t>
            </w:r>
          </w:p>
        </w:tc>
        <w:tc>
          <w:tcPr>
            <w:tcW w:type="dxa" w:w="7560"/>
            <w:tcBorders>
              <w:top w:val="single" w:sz="4" w:color="D9D9D9"/>
              <w:left w:val="single" w:sz="4" w:color="D9D9D9"/>
              <w:bottom w:val="single" w:sz="4" w:color="D9D9D9"/>
              <w:right w:val="single" w:sz="4" w:color="D9D9D9"/>
            </w:tcBorders>
            <w:shd w:fill="17324D"/>
            <w:tcMar>
              <w:top w:w="60" w:type="dxa"/>
              <w:left w:w="60" w:type="dxa"/>
              <w:bottom w:w="60" w:type="dxa"/>
              <w:right w:w="60" w:type="dxa"/>
            </w:tcMar>
          </w:tcPr>
          <w:p>
            <w:pPr>
              <w:spacing w:after="40" w:before="40"/>
            </w:pPr>
            <w:r>
              <w:rPr>
                <w:b/>
                <w:color w:val="FFFFFF"/>
                <w:sz w:val="19"/>
              </w:rPr>
              <w:t>Expected result</w:t>
            </w:r>
          </w:p>
        </w:tc>
      </w:tr>
      <w:tr>
        <w:trPr>
          <w:cantSplit/>
        </w:trPr>
        <w:tc>
          <w:tcPr>
            <w:tcW w:type="dxa" w:w="266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Context switch</w:t>
            </w:r>
          </w:p>
        </w:tc>
        <w:tc>
          <w:tcPr>
            <w:tcW w:type="dxa" w:w="7560"/>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All metrics, jobs and record links update to the permitted facility and dates.</w:t>
            </w:r>
          </w:p>
        </w:tc>
      </w:tr>
      <w:tr>
        <w:trPr>
          <w:cantSplit/>
        </w:trPr>
        <w:tc>
          <w:tcPr>
            <w:tcW w:type="dxa" w:w="266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Missing mapping/reference</w:t>
            </w:r>
          </w:p>
        </w:tc>
        <w:tc>
          <w:tcPr>
            <w:tcW w:type="dxa" w:w="7560"/>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Invalid rows become actionable exceptions; no orphan activity is accepted.</w:t>
            </w:r>
          </w:p>
        </w:tc>
      </w:tr>
      <w:tr>
        <w:trPr>
          <w:cantSplit/>
        </w:trPr>
        <w:tc>
          <w:tcPr>
            <w:tcW w:type="dxa" w:w="266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Retry same import</w:t>
            </w:r>
          </w:p>
        </w:tc>
        <w:tc>
          <w:tcPr>
            <w:tcW w:type="dxa" w:w="7560"/>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No duplicate accepted records or inflated totals.</w:t>
            </w:r>
          </w:p>
        </w:tc>
      </w:tr>
      <w:tr>
        <w:trPr>
          <w:cantSplit/>
        </w:trPr>
        <w:tc>
          <w:tcPr>
            <w:tcW w:type="dxa" w:w="266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Correct rejected row</w:t>
            </w:r>
          </w:p>
        </w:tc>
        <w:tc>
          <w:tcPr>
            <w:tcW w:type="dxa" w:w="7560"/>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Revalidation succeeds; the original job and correction history remain traceable.</w:t>
            </w:r>
          </w:p>
        </w:tc>
      </w:tr>
      <w:tr>
        <w:trPr>
          <w:cantSplit/>
        </w:trPr>
        <w:tc>
          <w:tcPr>
            <w:tcW w:type="dxa" w:w="266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Missing mandatory evidence</w:t>
            </w:r>
          </w:p>
        </w:tc>
        <w:tc>
          <w:tcPr>
            <w:tcW w:type="dxa" w:w="7560"/>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Record cannot pass the required readiness gate; issue links back to its source.</w:t>
            </w:r>
          </w:p>
        </w:tc>
      </w:tr>
      <w:tr>
        <w:trPr>
          <w:cantSplit/>
        </w:trPr>
        <w:tc>
          <w:tcPr>
            <w:tcW w:type="dxa" w:w="266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Counter reset or data gap</w:t>
            </w:r>
          </w:p>
        </w:tc>
        <w:tc>
          <w:tcPr>
            <w:tcW w:type="dxa" w:w="7560"/>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Telemetry is flagged or processed by documented rules; no silent negative or zero consumption.</w:t>
            </w:r>
          </w:p>
        </w:tc>
      </w:tr>
      <w:tr>
        <w:trPr>
          <w:cantSplit/>
        </w:trPr>
        <w:tc>
          <w:tcPr>
            <w:tcW w:type="dxa" w:w="266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Meter/bill conflict</w:t>
            </w:r>
          </w:p>
        </w:tc>
        <w:tc>
          <w:tcPr>
            <w:tcW w:type="dxa" w:w="7560"/>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Configured reconciliation raises a review issue without silently changing either source.</w:t>
            </w:r>
          </w:p>
        </w:tc>
      </w:tr>
      <w:tr>
        <w:trPr>
          <w:cantSplit/>
        </w:trPr>
        <w:tc>
          <w:tcPr>
            <w:tcW w:type="dxa" w:w="266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Downstream navigation</w:t>
            </w:r>
          </w:p>
        </w:tc>
        <w:tc>
          <w:tcPr>
            <w:tcW w:type="dxa" w:w="7560"/>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Accepted record opens in the correct Value Chain/Accounting/PCF context and retains evidence links.</w:t>
            </w:r>
          </w:p>
        </w:tc>
      </w:tr>
      <w:tr>
        <w:trPr>
          <w:cantSplit/>
        </w:trPr>
        <w:tc>
          <w:tcPr>
            <w:tcW w:type="dxa" w:w="266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Issued input changed</w:t>
            </w:r>
          </w:p>
        </w:tc>
        <w:tc>
          <w:tcPr>
            <w:tcW w:type="dxa" w:w="7560"/>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New revision and impact alert created; issued snapshot remains unchanged.</w:t>
            </w:r>
          </w:p>
        </w:tc>
      </w:tr>
      <w:tr>
        <w:trPr>
          <w:cantSplit/>
        </w:trPr>
        <w:tc>
          <w:tcPr>
            <w:tcW w:type="dxa" w:w="266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Permissions and secrets</w:t>
            </w:r>
          </w:p>
        </w:tc>
        <w:tc>
          <w:tcPr>
            <w:tcW w:type="dxa" w:w="7560"/>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Other tenants cannot read data; verifier cannot alter source records; secrets excluded from UI logs and exports.</w:t>
            </w:r>
          </w:p>
        </w:tc>
      </w:tr>
      <w:tr>
        <w:trPr>
          <w:cantSplit/>
        </w:trPr>
        <w:tc>
          <w:tcPr>
            <w:tcW w:type="dxa" w:w="2664"/>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Simulated dataset</w:t>
            </w:r>
          </w:p>
        </w:tc>
        <w:tc>
          <w:tcPr>
            <w:tcW w:type="dxa" w:w="7560"/>
            <w:tcBorders>
              <w:top w:val="single" w:sz="4" w:color="D9D9D9"/>
              <w:left w:val="single" w:sz="4" w:color="D9D9D9"/>
              <w:bottom w:val="single" w:sz="4" w:color="D9D9D9"/>
              <w:right w:val="single" w:sz="4" w:color="D9D9D9"/>
            </w:tcBorders>
            <w:shd w:fill="F1F5F8"/>
            <w:tcMar>
              <w:top w:w="60" w:type="dxa"/>
              <w:left w:w="60" w:type="dxa"/>
              <w:bottom w:w="60" w:type="dxa"/>
              <w:right w:w="60" w:type="dxa"/>
            </w:tcMar>
          </w:tcPr>
          <w:p>
            <w:pPr>
              <w:spacing w:after="40" w:before="40"/>
            </w:pPr>
            <w:r>
              <w:rPr>
                <w:sz w:val="19"/>
              </w:rPr>
              <w:t>Simulation labels remain visible in summaries, exports and calculations.</w:t>
            </w:r>
          </w:p>
        </w:tc>
      </w:tr>
      <w:tr>
        <w:trPr>
          <w:cantSplit/>
        </w:trPr>
        <w:tc>
          <w:tcPr>
            <w:tcW w:type="dxa" w:w="2664"/>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Metric consistency</w:t>
            </w:r>
          </w:p>
        </w:tc>
        <w:tc>
          <w:tcPr>
            <w:tcW w:type="dxa" w:w="7560"/>
            <w:tcBorders>
              <w:top w:val="single" w:sz="4" w:color="D9D9D9"/>
              <w:left w:val="single" w:sz="4" w:color="D9D9D9"/>
              <w:bottom w:val="single" w:sz="4" w:color="D9D9D9"/>
              <w:right w:val="single" w:sz="4" w:color="D9D9D9"/>
            </w:tcBorders>
            <w:shd w:fill="FFFFFF"/>
            <w:tcMar>
              <w:top w:w="60" w:type="dxa"/>
              <w:left w:w="60" w:type="dxa"/>
              <w:bottom w:w="60" w:type="dxa"/>
              <w:right w:w="60" w:type="dxa"/>
            </w:tcMar>
          </w:tcPr>
          <w:p>
            <w:pPr>
              <w:spacing w:after="40" w:before="40"/>
            </w:pPr>
            <w:r>
              <w:rPr>
                <w:sz w:val="19"/>
              </w:rPr>
              <w:t>Counts reconcile within the declared filters; pending/rejected/accepted definitions are explicit.</w:t>
            </w:r>
          </w:p>
        </w:tc>
      </w:tr>
    </w:tbl>
    <w:p>
      <w:pPr>
        <w:spacing w:after="0"/>
      </w:pPr>
    </w:p>
    <w:p>
      <w:pPr>
        <w:pStyle w:val="Heading2"/>
      </w:pPr>
      <w:r>
        <w:t>Delivery and completion</w:t>
      </w:r>
    </w:p>
    <w:p>
      <w:r>
        <w:t>P0: manual/file intake, mappings, jobs, exceptions and downstream links. P1: one real connector, scheduling and reconciliation. Later: wider connectors and AI assistance. Reuse existing APIs where available. Completion requires a working UI walkthrough, sample export and recorded tests proving that an input can be corrected, calculated and traced from its passport. Screenshot metrics remain simulated until backed by implemented queries and real or seeded data.</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Development specification  •  13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SAURIENT  |  CARBON PASSPORT  |  DEVELOPER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