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Saurient Carbon Passport CCTS and ACV Development Handover</w:t>
      </w:r>
    </w:p>
    <w:p>
      <w:r>
        <w:t>Prepared for Dili and the Saurient product team • 5 October 2026 • Version 1.0</w:t>
      </w:r>
    </w:p>
    <w:p>
      <w:r>
        <w:t>Build an evidence and verification workspace that supports Indian Carbon Market workflows. Use this handover to review existing features, identify gaps and prepare a credible demonstration for BEE and independent Accredited Carbon Verification agencies.</w:t>
      </w:r>
    </w:p>
    <w:p>
      <w:pPr>
        <w:pStyle w:val="Heading1"/>
      </w:pPr>
      <w:r>
        <w:t>Decision and regulatory boundary</w:t>
      </w:r>
    </w:p>
    <w:p>
      <w:r>
        <w:t>Position Saurient first as a technology provider serving industrial entities and independent ACV agencies. The supplied BEE document governs accreditation of the agency performing validation or verification. A capable application does not itself confer ACV accreditation, authority to issue government carbon credits or guaranteed immediate permission.</w:t>
      </w:r>
    </w:p>
    <w:p>
      <w:r>
        <w:t>CCTS is a scheme, BEE is its administrator, and an ACV agency performs accredited validation or verification within its approved mechanism and sector scope. A Saurient passport records information and external verification references; it is not an official Carbon Credit Certificate.</w:t>
      </w:r>
    </w:p>
    <w:p>
      <w:pPr>
        <w:pStyle w:val="Heading1"/>
      </w:pPr>
      <w:r>
        <w:t>Source basis and limits</w:t>
      </w:r>
    </w:p>
    <w:p>
      <w:r>
        <w:t>Primary source: supplied Accreditation Procedure and Eligibility Criteria for Accredited Carbon Verification Agency, Version 1.0, July 2024. Clause numbers below refer to that document. The official BEE website also publishes ACV documents, a clarification concerning ISO 14065 and an agency register. Before production or an accreditation application, reconcile the supplied version against current official procedures, clarifications and mechanism-specific requirements.</w:t>
      </w:r>
    </w:p>
    <w:p>
      <w:r>
        <w:t>This is a proposed development specification. The current repository and deployed screens were not inspected for this task. Dili must mark every item Existing, Partial, Missing or Not applicable, link implementation evidence and create work items for gaps. No feature is assumed to be working.</w:t>
      </w:r>
    </w:p>
    <w:p>
      <w:pPr>
        <w:pStyle w:val="Heading1"/>
      </w:pPr>
      <w:r>
        <w:t>Recommended approval path</w:t>
      </w:r>
    </w:p>
    <w:p>
      <w:pPr>
        <w:pStyle w:val="ListBullet"/>
      </w:pPr>
      <w:r>
        <w:t>Seek a scoped pilot and technical feedback from BEE; ask explicitly which process, if any, applies to a software provider.</w:t>
      </w:r>
    </w:p>
    <w:p>
      <w:pPr>
        <w:pStyle w:val="ListBullet"/>
      </w:pPr>
      <w:r>
        <w:t>Partner with an agency whose current final accreditation covers the intended mechanism and sector; agree the workflow and report format with that agency.</w:t>
      </w:r>
    </w:p>
    <w:p>
      <w:pPr>
        <w:pStyle w:val="ListBullet"/>
      </w:pPr>
      <w:r>
        <w:t>If Saurient later seeks ACV accreditation, open a separate organisational eligibility workstream with qualified personnel, financial evidence and impartiality safeguards.</w:t>
      </w:r>
    </w:p>
    <w:p>
      <w:r>
        <w:br w:type="page"/>
      </w:r>
    </w:p>
    <w:p>
      <w:pPr>
        <w:pStyle w:val="Heading1"/>
      </w:pPr>
      <w:r>
        <w:t>Agency requirements and software support</w:t>
      </w:r>
    </w:p>
    <w:p>
      <w:r>
        <w:t>These are agency obligations drawn from the supplied document. Software can organise evidence and enforce workflow controls, but it cannot replace eligibility, professional competence or BEE decisions.</w:t>
      </w:r>
    </w:p>
    <w:tbl>
      <w:tblPr>
        <w:tblW w:type="auto" w:w="0"/>
        <w:tblLayout w:type="fixed"/>
        <w:tblLook w:firstColumn="1" w:firstRow="1" w:lastColumn="0" w:lastRow="0" w:noHBand="0" w:noVBand="1" w:val="04A0"/>
      </w:tblPr>
      <w:tblGrid>
        <w:gridCol w:w="3096"/>
        <w:gridCol w:w="4896"/>
        <w:gridCol w:w="2232"/>
      </w:tblGrid>
      <w:tr>
        <w:trPr>
          <w:tblHeader/>
          <w:cantSplit/>
        </w:trPr>
        <w:tc>
          <w:tcPr>
            <w:tcW w:type="dxa" w:w="3096"/>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Requirement and source</w:t>
            </w:r>
          </w:p>
        </w:tc>
        <w:tc>
          <w:tcPr>
            <w:tcW w:type="dxa" w:w="4896"/>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Developer support</w:t>
            </w:r>
          </w:p>
        </w:tc>
        <w:tc>
          <w:tcPr>
            <w:tcW w:type="dxa" w:w="2232"/>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Responsibility</w:t>
            </w:r>
          </w:p>
        </w:tc>
      </w:tr>
      <w:tr>
        <w:trPr>
          <w:cantSplit/>
        </w:trPr>
        <w:tc>
          <w:tcPr>
            <w:tcW w:type="dxa" w:w="309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Legal standing and judicial disclosures</w:t>
              <w:br/>
              <w:t>4.1; Annexure B</w:t>
            </w:r>
          </w:p>
        </w:tc>
        <w:tc>
          <w:tcPr>
            <w:tcW w:type="dxa" w:w="489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profile, legal evidence, declarations and change log.</w:t>
            </w:r>
          </w:p>
        </w:tc>
        <w:tc>
          <w:tcPr>
            <w:tcW w:type="dxa" w:w="223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management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Financial capacity</w:t>
              <w:br/>
              <w:t>4.2; Annexure E</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Evidence checklist for audited statements, net worth and liability arrangements.</w:t>
            </w:r>
          </w:p>
        </w:tc>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finance</w:t>
            </w:r>
          </w:p>
        </w:tc>
      </w:tr>
      <w:tr>
        <w:trPr>
          <w:cantSplit/>
        </w:trPr>
        <w:tc>
          <w:tcPr>
            <w:tcW w:type="dxa" w:w="309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ISO 14065 and ACV scope</w:t>
              <w:br/>
              <w:t>3.1–3.6</w:t>
            </w:r>
          </w:p>
        </w:tc>
        <w:tc>
          <w:tcPr>
            <w:tcW w:type="dxa" w:w="489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Accreditation status, mechanism, sectors, validity, official evidence and last checked date.</w:t>
            </w:r>
          </w:p>
        </w:tc>
        <w:tc>
          <w:tcPr>
            <w:tcW w:type="dxa" w:w="223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and BEE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Personnel and qualifications</w:t>
              <w:br/>
              <w:t>4.3–4.4</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Lead, verifiers, expert and independent reviewer profiles; qualification and employment evidence.</w:t>
            </w:r>
          </w:p>
        </w:tc>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w:t>
            </w:r>
          </w:p>
        </w:tc>
      </w:tr>
      <w:tr>
        <w:trPr>
          <w:cantSplit/>
        </w:trPr>
        <w:tc>
          <w:tcPr>
            <w:tcW w:type="dxa" w:w="309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Impartiality</w:t>
              <w:br/>
              <w:t>5.5</w:t>
            </w:r>
          </w:p>
        </w:tc>
        <w:tc>
          <w:tcPr>
            <w:tcW w:type="dxa" w:w="489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Declarations, consultancy history, relationship review and assignment blocks.</w:t>
            </w:r>
          </w:p>
        </w:tc>
        <w:tc>
          <w:tcPr>
            <w:tcW w:type="dxa" w:w="223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management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Confidentiality and liability</w:t>
              <w:br/>
              <w:t>5.1–5.2</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Restricted evidence access, agreements, insurance/reserve evidence and risk register.</w:t>
            </w:r>
          </w:p>
        </w:tc>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w:t>
            </w:r>
          </w:p>
        </w:tc>
      </w:tr>
      <w:tr>
        <w:trPr>
          <w:cantSplit/>
        </w:trPr>
        <w:tc>
          <w:tcPr>
            <w:tcW w:type="dxa" w:w="309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Competence and management system</w:t>
              <w:br/>
              <w:t>5.6; 6.5</w:t>
            </w:r>
          </w:p>
        </w:tc>
        <w:tc>
          <w:tcPr>
            <w:tcW w:type="dxa" w:w="489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Training records, controlled procedures, internal audits and corrective actions.</w:t>
            </w:r>
          </w:p>
        </w:tc>
        <w:tc>
          <w:tcPr>
            <w:tcW w:type="dxa" w:w="223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Records and appeals</w:t>
              <w:br/>
              <w:t>6.2–6.4</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Retention, complaints workflow, independent decisions and public process information.</w:t>
            </w:r>
          </w:p>
        </w:tc>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w:t>
            </w:r>
          </w:p>
        </w:tc>
      </w:tr>
    </w:tbl>
    <w:p>
      <w:pPr>
        <w:pStyle w:val="Heading2"/>
      </w:pPr>
      <w:r>
        <w:t>If Saurient applies as an ACV agency</w:t>
      </w:r>
    </w:p>
    <w:p>
      <w:r>
        <w:t>The supplied version specifies ₹50 lakh annual turnover in at least one of the preceding three years, or ₹20 lakh net worth for an entity incorporated within the preceding three years. It requires a full-time lead and two full-time verifiers for each mechanism, relevant expertise and independent review. Section 5.4.6 also specifies minimum verification team strength of four; confirm role-count interpretation with BEE rather than assuming three people suffice.</w:t>
      </w:r>
    </w:p>
    <w:p>
      <w:r>
        <w:t>Annexure F specifies a minimum score of 70, but failure of a minimum eligibility requirement disqualifies the application. These figures describe the supplied source and must be rechecked against current rules. Platform quality cannot compensate for missing eligibility.</w:t>
      </w:r>
    </w:p>
    <w:p>
      <w:r>
        <w:br w:type="page"/>
      </w:r>
    </w:p>
    <w:p>
      <w:pPr>
        <w:pStyle w:val="Heading1"/>
      </w:pPr>
      <w:r>
        <w:t>Priority zero controls for the PoC</w:t>
      </w:r>
    </w:p>
    <w:p>
      <w:r>
        <w:t>Complete these before the BEE or ACV demonstration. The menu placements below are recommendations; use the equivalent existing screen rather than creating duplicate modules.</w:t>
      </w:r>
    </w:p>
    <w:tbl>
      <w:tblPr>
        <w:tblW w:type="auto" w:w="0"/>
        <w:tblLayout w:type="fixed"/>
        <w:tblLook w:firstColumn="1" w:firstRow="1" w:lastColumn="0" w:lastRow="0" w:noHBand="0" w:noVBand="1" w:val="04A0"/>
      </w:tblPr>
      <w:tblGrid>
        <w:gridCol w:w="2088"/>
        <w:gridCol w:w="5184"/>
        <w:gridCol w:w="2952"/>
      </w:tblGrid>
      <w:tr>
        <w:trPr>
          <w:tblHeader/>
          <w:cantSplit/>
        </w:trPr>
        <w:tc>
          <w:tcPr>
            <w:tcW w:type="dxa" w:w="2088"/>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ID and menu</w:t>
            </w:r>
          </w:p>
        </w:tc>
        <w:tc>
          <w:tcPr>
            <w:tcW w:type="dxa" w:w="5184"/>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Required addition</w:t>
            </w:r>
          </w:p>
        </w:tc>
        <w:tc>
          <w:tcPr>
            <w:tcW w:type="dxa" w:w="2952"/>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Acceptance evidence</w:t>
            </w:r>
          </w:p>
        </w:tc>
      </w:tr>
      <w:tr>
        <w:trPr>
          <w:cantSplit/>
        </w:trPr>
        <w:tc>
          <w:tcPr>
            <w:tcW w:type="dxa" w:w="208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ACV01 Organisation</w:t>
            </w:r>
          </w:p>
        </w:tc>
        <w:tc>
          <w:tcPr>
            <w:tcW w:type="dxa" w:w="518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Installation, sector, mechanism, entity identifier and reporting period; legal and monitoring documents.</w:t>
            </w:r>
          </w:p>
        </w:tc>
        <w:tc>
          <w:tcPr>
            <w:tcW w:type="dxa" w:w="295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One entity has a complete, traceable profile.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ACV02 Administration</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Partner accreditation profile with status, scope, dates, source and manual official-register check. [3]</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Provisional, expired, suspended or wrong-scope agency cannot issue an accredited opinion.</w:t>
            </w:r>
          </w:p>
        </w:tc>
      </w:tr>
      <w:tr>
        <w:trPr>
          <w:cantSplit/>
        </w:trPr>
        <w:tc>
          <w:tcPr>
            <w:tcW w:type="dxa" w:w="208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ACV03 MRV and Verification</w:t>
            </w:r>
          </w:p>
        </w:tc>
        <w:tc>
          <w:tcPr>
            <w:tcW w:type="dxa" w:w="518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Engagement contract, scope, contract review and acceptance justification. [6.6]</w:t>
            </w:r>
          </w:p>
        </w:tc>
        <w:tc>
          <w:tcPr>
            <w:tcW w:type="dxa" w:w="295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Review cannot start until the agency accepts the engagement.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ACV04 MRV and Verification</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Team assignments, competence evidence and independent reviewer separation. [4.3–4.4; 5.4]</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 team member cannot independently review the same engagement.</w:t>
            </w:r>
          </w:p>
        </w:tc>
      </w:tr>
      <w:tr>
        <w:trPr>
          <w:cantSplit/>
        </w:trPr>
        <w:tc>
          <w:tcPr>
            <w:tcW w:type="dxa" w:w="208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ACV05 MRV and Verification</w:t>
            </w:r>
          </w:p>
        </w:tc>
        <w:tc>
          <w:tcPr>
            <w:tcW w:type="dxa" w:w="518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COI declarations and monitoring-plan consultancy relationship review. [5.5]</w:t>
            </w:r>
          </w:p>
        </w:tc>
        <w:tc>
          <w:tcPr>
            <w:tcW w:type="dxa" w:w="295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Unacceptable conflict blocks assignment and finalisation.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ACV06 Data and Calculations</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Raw evidence, activity values, units, factor sources, formulas, versions and complete lineage. [5.6]</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 reviewer traces a result back to the original record.</w:t>
            </w:r>
          </w:p>
        </w:tc>
      </w:tr>
      <w:tr>
        <w:trPr>
          <w:cantSplit/>
        </w:trPr>
        <w:tc>
          <w:tcPr>
            <w:tcW w:type="dxa" w:w="208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ACV07 MRV and Verification</w:t>
            </w:r>
          </w:p>
        </w:tc>
        <w:tc>
          <w:tcPr>
            <w:tcW w:type="dxa" w:w="518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Risk analysis, verification plan, sampling, workpapers and findings. [6.6.4]</w:t>
            </w:r>
          </w:p>
        </w:tc>
        <w:tc>
          <w:tcPr>
            <w:tcW w:type="dxa" w:w="295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Every tested item records evidence, conclusion and reviewer.</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ACV08 MRV and Verification</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Corrections, independent review and agency opinion/report. [4.4.3; 6.6.5]</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Submission is frozen; only authorised agency roles finalise.</w:t>
            </w:r>
          </w:p>
        </w:tc>
      </w:tr>
      <w:tr>
        <w:trPr>
          <w:cantSplit/>
        </w:trPr>
        <w:tc>
          <w:tcPr>
            <w:tcW w:type="dxa" w:w="208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ACV09 Carbon Passports</w:t>
            </w:r>
          </w:p>
        </w:tc>
        <w:tc>
          <w:tcPr>
            <w:tcW w:type="dxa" w:w="518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Separate passport issuance from ACV opinion and official credit status.</w:t>
            </w:r>
          </w:p>
        </w:tc>
        <w:tc>
          <w:tcPr>
            <w:tcW w:type="dxa" w:w="295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Public QR exposes approved summary and report reference only.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ACV10 Evidence and Export</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Versioned audit pack and configurable retention. [6.2]</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An export reconstructs the reviewed snapshot and decisions.</w:t>
            </w:r>
          </w:p>
        </w:tc>
      </w:tr>
    </w:tbl>
    <w:p>
      <w:r>
        <w:br w:type="page"/>
      </w:r>
    </w:p>
    <w:p>
      <w:pPr>
        <w:pStyle w:val="Heading1"/>
      </w:pPr>
      <w:r>
        <w:t>Data and calculation requirements</w:t>
      </w:r>
    </w:p>
    <w:p>
      <w:r>
        <w:t>Use a dedicated CCTS assessment record alongside PCF, CCF and CBAM assessments. Shared inputs may be reused, but boundaries, output definitions, factors and legal requirements must remain framework-specific. Scope 1 plus Scope 2 is not automatically the correct CCTS inventory.</w:t>
      </w:r>
    </w:p>
    <w:p>
      <w:pPr>
        <w:pStyle w:val="Heading2"/>
      </w:pPr>
      <w:r>
        <w:t>Minimum records</w:t>
      </w:r>
    </w:p>
    <w:tbl>
      <w:tblPr>
        <w:tblW w:type="auto" w:w="0"/>
        <w:tblLayout w:type="fixed"/>
        <w:tblLook w:firstColumn="1" w:firstRow="1" w:lastColumn="0" w:lastRow="0" w:noHBand="0" w:noVBand="1" w:val="04A0"/>
      </w:tblPr>
      <w:tblGrid>
        <w:gridCol w:w="2160"/>
        <w:gridCol w:w="8064"/>
      </w:tblGrid>
      <w:tr>
        <w:trPr>
          <w:tblHeader/>
          <w:cantSplit/>
        </w:trPr>
        <w:tc>
          <w:tcPr>
            <w:tcW w:type="dxa" w:w="2160"/>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Record</w:t>
            </w:r>
          </w:p>
        </w:tc>
        <w:tc>
          <w:tcPr>
            <w:tcW w:type="dxa" w:w="8064"/>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Fields to capture</w:t>
            </w:r>
          </w:p>
        </w:tc>
      </w:tr>
      <w:tr>
        <w:trPr>
          <w:cantSplit/>
        </w:trPr>
        <w:tc>
          <w:tcPr>
            <w:tcW w:type="dxa" w:w="2160"/>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Assessment</w:t>
            </w:r>
          </w:p>
        </w:tc>
        <w:tc>
          <w:tcPr>
            <w:tcW w:type="dxa" w:w="806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Organisation, installation, mechanism, sector, reporting year, official applicability evidence, procedure version and assessment status.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Activity and production</w:t>
            </w:r>
          </w:p>
        </w:tc>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Source stream, quantity, unit, period, meter or ERP source, production output definition, raw record, calibration/evidence and quality flag.</w:t>
            </w:r>
          </w:p>
        </w:tc>
      </w:tr>
      <w:tr>
        <w:trPr>
          <w:cantSplit/>
        </w:trPr>
        <w:tc>
          <w:tcPr>
            <w:tcW w:type="dxa" w:w="2160"/>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Calculation</w:t>
            </w:r>
          </w:p>
        </w:tc>
        <w:tc>
          <w:tcPr>
            <w:tcW w:type="dxa" w:w="806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Methodology and rule version, boundaries, gases and GWP basis where applicable, factor and source, conversions, allocations, uncertainty and output trace.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Target</w:t>
            </w:r>
          </w:p>
        </w:tc>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Notified entity identifier, baseline intensity and output basis, target year/intensity, notification reference and amendment history.</w:t>
            </w:r>
          </w:p>
        </w:tc>
      </w:tr>
      <w:tr>
        <w:trPr>
          <w:cantSplit/>
        </w:trPr>
        <w:tc>
          <w:tcPr>
            <w:tcW w:type="dxa" w:w="2160"/>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Evidence</w:t>
            </w:r>
          </w:p>
        </w:tc>
        <w:tc>
          <w:tcPr>
            <w:tcW w:type="dxa" w:w="806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Document ID, file version/hash, uploader, timestamp, confidentiality class, linked calculation/finding, retention date and legal hold.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Engagement</w:t>
            </w:r>
          </w:p>
        </w:tc>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current accreditation evidence, scope, contract, team, COI review, plan, findings, reviewer and opinion/report reference.</w:t>
            </w:r>
          </w:p>
        </w:tc>
      </w:tr>
    </w:tbl>
    <w:p>
      <w:pPr>
        <w:pStyle w:val="Heading2"/>
      </w:pPr>
      <w:r>
        <w:t>Calculation behavior</w:t>
      </w:r>
    </w:p>
    <w:p>
      <w:r>
        <w:t>Display annual eligible emissions divided by the procedure-defined equivalent product output as the relevant intensity only after methodology and units have been approved for that sector. Show actual intensity, notified target and variance with source references. Keep any indicative credit surplus/shortfall separate from officially issued credits. Implement certificate calculations only from the current detailed procedure with expert sign-off; do not infer the official formula from this accreditation document.</w:t>
      </w:r>
    </w:p>
    <w:p>
      <w:r>
        <w:t>Use a controlled rule registry: rule_id, framework, mechanism, sector, version, effective dates, legal_source, required_inputs, permitted_units, expression, dependencies and reviewer approval. Reject missing/zero denominators and mismatched periods; label estimated data. Input changes invalidate dependent calculations and create a new assessment version after submission.</w:t>
      </w:r>
    </w:p>
    <w:p>
      <w:pPr>
        <w:pStyle w:val="Heading2"/>
      </w:pPr>
      <w:r>
        <w:t>Telemetry and imports</w:t>
      </w:r>
    </w:p>
    <w:p>
      <w:r>
        <w:t>Preserve device ID, meter/channel mapping, timestamp/timezone, cumulative versus interval basis, unit and calibration reference. Detect duplicate records, meter resets and gaps. An IoT reading is activity evidence; convert it to emissions using the applicable approved methodology. Keep manual and ERP imports subject to the same validations.</w:t>
      </w:r>
    </w:p>
    <w:p>
      <w:r>
        <w:br w:type="page"/>
      </w:r>
    </w:p>
    <w:p>
      <w:pPr>
        <w:pStyle w:val="Heading1"/>
      </w:pPr>
      <w:r>
        <w:t>Verification workflow and trust gates</w:t>
      </w:r>
    </w:p>
    <w:p>
      <w:r>
        <w:t>Use the following sequence for a compliance assessment. Offset validation before project registration and later offset verification are separate engagement types with their own approved methodology and project requirements.</w:t>
      </w:r>
    </w:p>
    <w:tbl>
      <w:tblPr>
        <w:tblW w:type="auto" w:w="0"/>
        <w:tblLayout w:type="fixed"/>
        <w:tblLook w:firstColumn="1" w:firstRow="1" w:lastColumn="0" w:lastRow="0" w:noHBand="0" w:noVBand="1" w:val="04A0"/>
      </w:tblPr>
      <w:tblGrid>
        <w:gridCol w:w="2448"/>
        <w:gridCol w:w="7776"/>
      </w:tblGrid>
      <w:tr>
        <w:trPr>
          <w:tblHeader/>
          <w:cantSplit/>
        </w:trPr>
        <w:tc>
          <w:tcPr>
            <w:tcW w:type="dxa" w:w="2448"/>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Stage</w:t>
            </w:r>
          </w:p>
        </w:tc>
        <w:tc>
          <w:tcPr>
            <w:tcW w:type="dxa" w:w="7776"/>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Gate and output</w:t>
            </w:r>
          </w:p>
        </w:tc>
      </w:tr>
      <w:tr>
        <w:trPr>
          <w:cantSplit/>
        </w:trPr>
        <w:tc>
          <w:tcPr>
            <w:tcW w:type="dxa" w:w="244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Draft and readiness</w:t>
            </w:r>
          </w:p>
        </w:tc>
        <w:tc>
          <w:tcPr>
            <w:tcW w:type="dxa" w:w="777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Operator completes data, evidence and calculations. Automated checks produce a readiness result, not a verification opinion.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Engagement acceptance</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checks scope, contract, competence and impartiality. Store the decision and justification.</w:t>
            </w:r>
          </w:p>
        </w:tc>
      </w:tr>
      <w:tr>
        <w:trPr>
          <w:cantSplit/>
        </w:trPr>
        <w:tc>
          <w:tcPr>
            <w:tcW w:type="dxa" w:w="244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Submission</w:t>
            </w:r>
          </w:p>
        </w:tc>
        <w:tc>
          <w:tcPr>
            <w:tcW w:type="dxa" w:w="777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Freeze input, methodology and evidence versions. Record submission time and snapshot identifier.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Verification work</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completes strategic/risk analysis, plan, sampling and actual verification. Record site or remote activities as required by the applicable procedure.</w:t>
            </w:r>
          </w:p>
        </w:tc>
      </w:tr>
      <w:tr>
        <w:trPr>
          <w:cantSplit/>
        </w:trPr>
        <w:tc>
          <w:tcPr>
            <w:tcW w:type="dxa" w:w="244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Findings and corrections</w:t>
            </w:r>
          </w:p>
        </w:tc>
        <w:tc>
          <w:tcPr>
            <w:tcW w:type="dxa" w:w="777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Track finding type, affected result, severity, owner, response, evidence and agency closure. Preserve every revision.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Independent review</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Reviewer outside the engagement team checks evidence sufficiency, conflicting information, findings and the proposed report.</w:t>
            </w:r>
          </w:p>
        </w:tc>
      </w:tr>
      <w:tr>
        <w:trPr>
          <w:cantSplit/>
        </w:trPr>
        <w:tc>
          <w:tcPr>
            <w:tcW w:type="dxa" w:w="244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Final opinion and report</w:t>
            </w:r>
          </w:p>
        </w:tc>
        <w:tc>
          <w:tcPr>
            <w:tcW w:type="dxa" w:w="7776"/>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Authorised agency role finalises under its procedures. Store outcome, signature evidence, agency and accreditation reference.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Passport and external submission</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Publish only authorised summary. Record official submission receipt/reference when actually available; passport issuance does not issue a government credit.</w:t>
            </w:r>
          </w:p>
        </w:tc>
      </w:tr>
    </w:tbl>
    <w:p>
      <w:pPr>
        <w:pStyle w:val="Heading2"/>
      </w:pPr>
      <w:r>
        <w:t>Role controls</w:t>
      </w:r>
    </w:p>
    <w:p>
      <w:r>
        <w:t>Operator edits draft data and responds to findings. Verifier records workpapers and findings. Lead manages the verification engagement. Independent reviewer reviews without being part of its team. Agency authorised signatory finalises the report. Administrator manages configuration without silently changing decisions. Public viewer receives only explicitly approved passport data.</w:t>
      </w:r>
    </w:p>
    <w:p>
      <w:pPr>
        <w:pStyle w:val="Heading2"/>
      </w:pPr>
      <w:r>
        <w:t>Mandatory demonstration edge cases</w:t>
      </w:r>
    </w:p>
    <w:p>
      <w:pPr>
        <w:pStyle w:val="ListBullet"/>
      </w:pPr>
      <w:r>
        <w:t>Wrong sector or provisional accreditation blocks accredited finalisation; retain the official status check evidence.</w:t>
      </w:r>
    </w:p>
    <w:p>
      <w:pPr>
        <w:pStyle w:val="ListBullet"/>
      </w:pPr>
      <w:r>
        <w:t>A reviewer assigned to the verification team is rejected. A declared consultancy conflict blocks engagement acceptance.</w:t>
      </w:r>
    </w:p>
    <w:p>
      <w:pPr>
        <w:pStyle w:val="ListBullet"/>
      </w:pPr>
      <w:r>
        <w:t>Missing evidence prevents readiness. Changed activity data recalculates the draft and invalidates prior approval.</w:t>
      </w:r>
    </w:p>
    <w:p>
      <w:pPr>
        <w:pStyle w:val="ListBullet"/>
      </w:pPr>
      <w:r>
        <w:t>A verified snapshot cannot be overwritten. Corrections create a new version and preserve the previous report.</w:t>
      </w:r>
    </w:p>
    <w:p>
      <w:pPr>
        <w:pStyle w:val="ListBullet"/>
      </w:pPr>
      <w:r>
        <w:t>A revoked passport shows revoked status. Public QR does not reveal workpapers, personal records or confidential contracts.</w:t>
      </w:r>
    </w:p>
    <w:p>
      <w:r>
        <w:br w:type="page"/>
      </w:r>
    </w:p>
    <w:p>
      <w:pPr>
        <w:pStyle w:val="Heading1"/>
      </w:pPr>
      <w:r>
        <w:t>Priority one and two backlog</w:t>
      </w:r>
    </w:p>
    <w:tbl>
      <w:tblPr>
        <w:tblW w:type="auto" w:w="0"/>
        <w:tblLayout w:type="fixed"/>
        <w:tblLook w:firstColumn="1" w:firstRow="1" w:lastColumn="0" w:lastRow="0" w:noHBand="0" w:noVBand="1" w:val="04A0"/>
      </w:tblPr>
      <w:tblGrid>
        <w:gridCol w:w="792"/>
        <w:gridCol w:w="3528"/>
        <w:gridCol w:w="5904"/>
      </w:tblGrid>
      <w:tr>
        <w:trPr>
          <w:tblHeader/>
          <w:cantSplit/>
        </w:trPr>
        <w:tc>
          <w:tcPr>
            <w:tcW w:type="dxa" w:w="792"/>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Priority</w:t>
            </w:r>
          </w:p>
        </w:tc>
        <w:tc>
          <w:tcPr>
            <w:tcW w:type="dxa" w:w="3528"/>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Item and clause</w:t>
            </w:r>
          </w:p>
        </w:tc>
        <w:tc>
          <w:tcPr>
            <w:tcW w:type="dxa" w:w="5904"/>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Implementation outcome</w:t>
            </w:r>
          </w:p>
        </w:tc>
      </w:tr>
      <w:tr>
        <w:trPr>
          <w:cantSplit/>
        </w:trPr>
        <w:tc>
          <w:tcPr>
            <w:tcW w:type="dxa" w:w="79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P1</w:t>
            </w:r>
          </w:p>
        </w:tc>
        <w:tc>
          <w:tcPr>
            <w:tcW w:type="dxa" w:w="352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Appeals and complaints [6.3]</w:t>
            </w:r>
          </w:p>
        </w:tc>
        <w:tc>
          <w:tcPr>
            <w:tcW w:type="dxa" w:w="590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Case intake, acknowledgement, progress/outcome, independent decision maker and public procedure.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P1</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Controlled management system [6.5]</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Policy versions, approvals, internal audits, management review and corrective-action register.</w:t>
            </w:r>
          </w:p>
        </w:tc>
      </w:tr>
      <w:tr>
        <w:trPr>
          <w:cantSplit/>
        </w:trPr>
        <w:tc>
          <w:tcPr>
            <w:tcW w:type="dxa" w:w="79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P1</w:t>
            </w:r>
          </w:p>
        </w:tc>
        <w:tc>
          <w:tcPr>
            <w:tcW w:type="dxa" w:w="352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Personnel changes and competence [5.6; 6.1]</w:t>
            </w:r>
          </w:p>
        </w:tc>
        <w:tc>
          <w:tcPr>
            <w:tcW w:type="dxa" w:w="590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Training, experience, expiry, replacement evidence and notification tracking; source specifies 30-day change reporting.</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P1</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Records and confidentiality [5.2; 6.2]</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Minimum three-year ACV record retention from completion under supplied procedure; apply longer framework/legal retention where required.</w:t>
            </w:r>
          </w:p>
        </w:tc>
      </w:tr>
      <w:tr>
        <w:trPr>
          <w:cantSplit/>
        </w:trPr>
        <w:tc>
          <w:tcPr>
            <w:tcW w:type="dxa" w:w="79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P1</w:t>
            </w:r>
          </w:p>
        </w:tc>
        <w:tc>
          <w:tcPr>
            <w:tcW w:type="dxa" w:w="352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Accreditation lifecycle [8; 10; 12]</w:t>
            </w:r>
          </w:p>
        </w:tc>
        <w:tc>
          <w:tcPr>
            <w:tcW w:type="dxa" w:w="590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Renewal, suspension, scope changes and performance-monitoring records; affected engagements flagged for review.</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P1</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Security and recovery</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Tenant isolation, least privilege, access events, backup/restore test and sensitive-field redaction. These are recommended engineering controls.</w:t>
            </w:r>
          </w:p>
        </w:tc>
      </w:tr>
      <w:tr>
        <w:trPr>
          <w:cantSplit/>
        </w:trPr>
        <w:tc>
          <w:tcPr>
            <w:tcW w:type="dxa" w:w="79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P2</w:t>
            </w:r>
          </w:p>
        </w:tc>
        <w:tc>
          <w:tcPr>
            <w:tcW w:type="dxa" w:w="3528"/>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Offset mechanism workspace</w:t>
            </w:r>
          </w:p>
        </w:tc>
        <w:tc>
          <w:tcPr>
            <w:tcW w:type="dxa" w:w="5904"/>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Project validation/registration and monitoring verification under approved methodology; baseline, additionality and other tests only when required by that methodology.</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P2</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External integration</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Implement BEE/ICM/registry submission only against authorised documentation, credentials and a confirmed interface. Until then use export plus receipt upload.</w:t>
            </w:r>
          </w:p>
        </w:tc>
      </w:tr>
    </w:tbl>
    <w:p>
      <w:pPr>
        <w:pStyle w:val="Heading2"/>
      </w:pPr>
      <w:r>
        <w:t>Developer completion record</w:t>
      </w:r>
    </w:p>
    <w:p>
      <w:r>
        <w:t>For each ACV item record: implementation status, relevant source clause, UI route, backend endpoint, persistence record, owner, acceptance result, evidence link and remaining defect. Use Not assessed as the default. Claim production readiness only after the controls and operations have been validated.</w:t>
      </w:r>
    </w:p>
    <w:p>
      <w:pPr>
        <w:pStyle w:val="Heading2"/>
      </w:pPr>
      <w:r>
        <w:t>Suggested development cycle</w:t>
      </w:r>
    </w:p>
    <w:p>
      <w:r>
        <w:t>Cycle 1: confirm source versions, partner scope and applicability; add agency profile, engagement and role gates. Cycle 2: implement immutable evidence lineage, calculation snapshots and findings. Cycle 3: independent review, report linking, passport safeguards and export. Cycle 4: run the negative cases, fix defects and rehearse the partner pilot. Agree dates with Dili after reviewing the repository; no delivery duration is assumed.</w:t>
      </w:r>
    </w:p>
    <w:p>
      <w:r>
        <w:br w:type="page"/>
      </w:r>
    </w:p>
    <w:p>
      <w:pPr>
        <w:pStyle w:val="Heading1"/>
      </w:pPr>
      <w:r>
        <w:t>BEE and ACV demonstration pack</w:t>
      </w:r>
    </w:p>
    <w:p>
      <w:r>
        <w:t>Aim for a documented pilot decision, a verification partner and clarity on the regulatory route. Immediate permissions cannot be promised by a product demonstration.</w:t>
      </w:r>
    </w:p>
    <w:p>
      <w:pPr>
        <w:pStyle w:val="Heading2"/>
      </w:pPr>
      <w:r>
        <w:t>Ten minute walkthrough</w:t>
      </w:r>
    </w:p>
    <w:tbl>
      <w:tblPr>
        <w:tblW w:type="auto" w:w="0"/>
        <w:tblLayout w:type="fixed"/>
        <w:tblLook w:firstColumn="1" w:firstRow="1" w:lastColumn="0" w:lastRow="0" w:noHBand="0" w:noVBand="1" w:val="04A0"/>
      </w:tblPr>
      <w:tblGrid>
        <w:gridCol w:w="1152"/>
        <w:gridCol w:w="5112"/>
        <w:gridCol w:w="3960"/>
      </w:tblGrid>
      <w:tr>
        <w:trPr>
          <w:tblHeader/>
          <w:cantSplit/>
        </w:trPr>
        <w:tc>
          <w:tcPr>
            <w:tcW w:type="dxa" w:w="1152"/>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Time</w:t>
            </w:r>
          </w:p>
        </w:tc>
        <w:tc>
          <w:tcPr>
            <w:tcW w:type="dxa" w:w="5112"/>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Show</w:t>
            </w:r>
          </w:p>
        </w:tc>
        <w:tc>
          <w:tcPr>
            <w:tcW w:type="dxa" w:w="3960"/>
            <w:vAlign w:val="center"/>
            <w:shd w:fill="0B111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What it proves</w:t>
            </w:r>
          </w:p>
        </w:tc>
      </w:tr>
      <w:tr>
        <w:trPr>
          <w:cantSplit/>
        </w:trPr>
        <w:tc>
          <w:tcPr>
            <w:tcW w:type="dxa" w:w="115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0–2 min</w:t>
            </w:r>
          </w:p>
        </w:tc>
        <w:tc>
          <w:tcPr>
            <w:tcW w:type="dxa" w:w="511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Installation and applicable assessment with source-backed rule version.</w:t>
            </w:r>
          </w:p>
        </w:tc>
        <w:tc>
          <w:tcPr>
            <w:tcW w:type="dxa" w:w="3960"/>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The platform understands the entity, mechanism and reporting period.</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2–4 min</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Meter/import record through factor, formula and calculated intensity.</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An emission result is reproducible and evidence-linked.</w:t>
            </w:r>
          </w:p>
        </w:tc>
      </w:tr>
      <w:tr>
        <w:trPr>
          <w:cantSplit/>
        </w:trPr>
        <w:tc>
          <w:tcPr>
            <w:tcW w:type="dxa" w:w="115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4–6 min</w:t>
            </w:r>
          </w:p>
        </w:tc>
        <w:tc>
          <w:tcPr>
            <w:tcW w:type="dxa" w:w="511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Agency scope and competence checks; deliberate conflict or role failure.</w:t>
            </w:r>
          </w:p>
        </w:tc>
        <w:tc>
          <w:tcPr>
            <w:tcW w:type="dxa" w:w="3960"/>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Verification independence and accreditation controls work.</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6–8 min</w:t>
            </w:r>
          </w:p>
        </w:tc>
        <w:tc>
          <w:tcPr>
            <w:tcW w:type="dxa" w:w="51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Finding, correction and independent review of a frozen snapshot.</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The ACV controls its professional decision.</w:t>
            </w:r>
          </w:p>
        </w:tc>
      </w:tr>
      <w:tr>
        <w:trPr>
          <w:cantSplit/>
        </w:trPr>
        <w:tc>
          <w:tcPr>
            <w:tcW w:type="dxa" w:w="115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8–10 min</w:t>
            </w:r>
          </w:p>
        </w:tc>
        <w:tc>
          <w:tcPr>
            <w:tcW w:type="dxa" w:w="5112"/>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Audit export, approved passport QR and external submission status.</w:t>
            </w:r>
          </w:p>
        </w:tc>
        <w:tc>
          <w:tcPr>
            <w:tcW w:type="dxa" w:w="3960"/>
            <w:vAlign w:val="center"/>
            <w:shd w:fill="EEF6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The product separates evidence, opinion, passport and official issuance.</w:t>
            </w:r>
          </w:p>
        </w:tc>
      </w:tr>
    </w:tbl>
    <w:p>
      <w:pPr>
        <w:pStyle w:val="Heading2"/>
      </w:pPr>
      <w:r>
        <w:t>Materials to take</w:t>
      </w:r>
    </w:p>
    <w:p>
      <w:pPr>
        <w:pStyle w:val="ListBullet"/>
      </w:pPr>
      <w:r>
        <w:t>A short product note describing technology-provider scope, pilot objective and requested decision.</w:t>
      </w:r>
    </w:p>
    <w:p>
      <w:pPr>
        <w:pStyle w:val="ListBullet"/>
      </w:pPr>
      <w:r>
        <w:t>A clause-to-feature matrix with screenshots, acceptance-test results and known limitations.</w:t>
      </w:r>
    </w:p>
    <w:p>
      <w:pPr>
        <w:pStyle w:val="ListBullet"/>
      </w:pPr>
      <w:r>
        <w:t>A complete synthetic or permissioned pilot dossier: monitoring records, evidence, calculations, findings and sample independent review.</w:t>
      </w:r>
    </w:p>
    <w:p>
      <w:pPr>
        <w:pStyle w:val="ListBullet"/>
      </w:pPr>
      <w:r>
        <w:t>Partner accreditation evidence and agreement; distinguish any real verification opinion from a simulated demo.</w:t>
      </w:r>
    </w:p>
    <w:p>
      <w:pPr>
        <w:pStyle w:val="ListBullet"/>
      </w:pPr>
      <w:r>
        <w:t>Security/access and backup evidence, controlled rule governance and an implementation roadmap.</w:t>
      </w:r>
    </w:p>
    <w:p>
      <w:pPr>
        <w:pStyle w:val="Heading2"/>
      </w:pPr>
      <w:r>
        <w:t>Suggested request to BEE</w:t>
      </w:r>
    </w:p>
    <w:p>
      <w:r>
        <w:t>We request technical feedback and a scoped pilot of Saurient Carbon Passport as an evidence-management and verification-workflow platform supporting CCTS participants and independent ACV agencies. Please advise the applicable process for software providers, acceptable exchange formats and any authorisation required for access to official systems. We will retain agency independence and distinguish our passport from official carbon credit issuance.</w:t>
      </w:r>
    </w:p>
    <w:p>
      <w:pPr>
        <w:pStyle w:val="Heading2"/>
      </w:pPr>
      <w:r>
        <w:t>Official references and maintenance</w:t>
      </w:r>
    </w:p>
    <w:p>
      <w:r>
        <w:t>1. Supplied July 2024 ACV procedure: sections 3–6 and annexures A–F. Clause mappings in this document primarily rely on this supplied source.</w:t>
      </w:r>
    </w:p>
    <w:p>
      <w:r>
        <w:t>2. Official BEE ACV procedure publication: https://beeindia.gov.in/sites/default/files/ACV_Procedure_Doc_18102024_Published.pdf</w:t>
      </w:r>
    </w:p>
    <w:p>
      <w:r>
        <w:t>3. Official ACV register: https://beeindia.gov.in/view_content.php?lang=1&amp;lid=568</w:t>
      </w:r>
    </w:p>
    <w:p>
      <w:r>
        <w:t>4. BEE carbon market resources: https://beeindia.gov.in/show_content.php?lang=1&amp;level=1&amp;lid=294&amp;ls_id=189</w:t>
      </w:r>
    </w:p>
    <w:p>
      <w:r>
        <w:t>BEE lists a separate ISO 14065 clarification. Its operative text was not retrieved for this handover, so do not hard-code provisional permissions or ISO deadlines without current confirmation. Maintain a dated register of applicable detailed procedures, target notifications, methodologies and clarifications. Changes require review and a new rule version.</w:t>
      </w:r>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Saurient Carbon Passport   |   Developer handover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