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BA93" w14:textId="77777777" w:rsidR="00627091" w:rsidRDefault="007A0AEA">
      <w:pPr>
        <w:pStyle w:val="Title"/>
      </w:pPr>
      <w:r>
        <w:t>What would other emergency stroke teams do? Using explainable machine learning to understand variation in thrombolysis practice.</w:t>
      </w:r>
    </w:p>
    <w:p w14:paraId="4A0D7E71" w14:textId="77777777" w:rsidR="00627091" w:rsidRDefault="007A0AEA">
      <w:pPr>
        <w:pStyle w:val="BodyText"/>
      </w:pPr>
      <w:r>
        <w:t>Kerry Pearn</w:t>
      </w:r>
      <w:r>
        <w:rPr>
          <w:vertAlign w:val="superscript"/>
        </w:rPr>
        <w:t>1,2</w:t>
      </w:r>
      <w:r>
        <w:t>, Michael Allen*</w:t>
      </w:r>
      <w:r>
        <w:rPr>
          <w:vertAlign w:val="superscript"/>
        </w:rPr>
        <w:t>1,2</w:t>
      </w:r>
      <w:r>
        <w:t>, Anna Laws</w:t>
      </w:r>
      <w:r>
        <w:rPr>
          <w:vertAlign w:val="superscript"/>
        </w:rPr>
        <w:t>1,2</w:t>
      </w:r>
      <w:r>
        <w:t>, Thomas Monks</w:t>
      </w:r>
      <w:r>
        <w:rPr>
          <w:vertAlign w:val="superscript"/>
        </w:rPr>
        <w:t>1,2</w:t>
      </w:r>
      <w:r>
        <w:t>, Richard Everson</w:t>
      </w:r>
      <w:proofErr w:type="gramStart"/>
      <w:r>
        <w:rPr>
          <w:vertAlign w:val="superscript"/>
        </w:rPr>
        <w:t>4</w:t>
      </w:r>
      <w:r>
        <w:t xml:space="preserve"> ,</w:t>
      </w:r>
      <w:proofErr w:type="gramEnd"/>
      <w:r>
        <w:t xml:space="preserve"> and Martin James</w:t>
      </w:r>
      <w:r>
        <w:rPr>
          <w:vertAlign w:val="superscript"/>
        </w:rPr>
        <w:t xml:space="preserve">2,3 </w:t>
      </w:r>
    </w:p>
    <w:p w14:paraId="02B89FE7" w14:textId="77777777" w:rsidR="00627091" w:rsidRDefault="007A0AEA">
      <w:pPr>
        <w:pStyle w:val="BodyText"/>
      </w:pPr>
      <w:r>
        <w:rPr>
          <w:vertAlign w:val="superscript"/>
        </w:rPr>
        <w:t>1</w:t>
      </w:r>
      <w:r>
        <w:t xml:space="preserve">University of Exeter Medical School, </w:t>
      </w:r>
      <w:r>
        <w:rPr>
          <w:vertAlign w:val="superscript"/>
        </w:rPr>
        <w:t>2</w:t>
      </w:r>
      <w:r>
        <w:t xml:space="preserve">NIHR </w:t>
      </w:r>
      <w:proofErr w:type="gramStart"/>
      <w:r>
        <w:t>South West</w:t>
      </w:r>
      <w:proofErr w:type="gramEnd"/>
      <w:r>
        <w:t xml:space="preserve"> Peninsula Applied Research Collaboration (ARC), </w:t>
      </w:r>
      <w:r>
        <w:rPr>
          <w:vertAlign w:val="superscript"/>
        </w:rPr>
        <w:t>3</w:t>
      </w:r>
      <w:r>
        <w:t xml:space="preserve">Royal Devon University Healthcare NHS Foundation Trust. </w:t>
      </w:r>
      <w:r>
        <w:rPr>
          <w:vertAlign w:val="superscript"/>
        </w:rPr>
        <w:t>4</w:t>
      </w:r>
      <w:r>
        <w:t>Computer Science, University of Exeter *Corresponding author: m.allen@exeter.ac.uk</w:t>
      </w:r>
    </w:p>
    <w:p w14:paraId="7FDB1524" w14:textId="77777777" w:rsidR="00627091" w:rsidRDefault="007A0AEA">
      <w:pPr>
        <w:pStyle w:val="Heading1"/>
      </w:pPr>
      <w:r>
        <w:t>Abstract</w:t>
      </w:r>
    </w:p>
    <w:p w14:paraId="12C6F713" w14:textId="77777777" w:rsidR="00627091" w:rsidRDefault="007A0AEA">
      <w:pPr>
        <w:pStyle w:val="FirstParagraph"/>
      </w:pPr>
      <w:r>
        <w:rPr>
          <w:i/>
          <w:iCs/>
        </w:rPr>
        <w:t>Obje</w:t>
      </w:r>
      <w:r>
        <w:rPr>
          <w:i/>
          <w:iCs/>
        </w:rPr>
        <w:t>ctives</w:t>
      </w:r>
      <w:r>
        <w:t>: To understand between-hospital variation in thrombolysis use among emergency stroke admissions in England and Wales.</w:t>
      </w:r>
    </w:p>
    <w:p w14:paraId="76015B28" w14:textId="77777777" w:rsidR="00627091" w:rsidRDefault="007A0AEA">
      <w:pPr>
        <w:pStyle w:val="BodyText"/>
      </w:pPr>
      <w:r>
        <w:rPr>
          <w:i/>
          <w:iCs/>
        </w:rPr>
        <w:t>Design</w:t>
      </w:r>
      <w:r>
        <w:t xml:space="preserve">: Machine learning was applied to the Sentinel Stroke National Audit </w:t>
      </w:r>
      <w:proofErr w:type="spellStart"/>
      <w:r>
        <w:t>Programme</w:t>
      </w:r>
      <w:proofErr w:type="spellEnd"/>
      <w:r>
        <w:t xml:space="preserve"> (SSNAP) data set, to learn which patients in e</w:t>
      </w:r>
      <w:r>
        <w:t>ach hospital would likely receive thrombolysis.</w:t>
      </w:r>
    </w:p>
    <w:p w14:paraId="2D1303C5" w14:textId="77777777" w:rsidR="00627091" w:rsidRDefault="007A0AEA">
      <w:pPr>
        <w:pStyle w:val="BodyText"/>
      </w:pPr>
      <w:r>
        <w:rPr>
          <w:i/>
          <w:iCs/>
        </w:rPr>
        <w:t>Setting</w:t>
      </w:r>
      <w:r>
        <w:t>: All hospitals (n=132) providing emergency stroke care in England and Wales.</w:t>
      </w:r>
    </w:p>
    <w:p w14:paraId="4D846852" w14:textId="77777777" w:rsidR="00627091" w:rsidRDefault="007A0AEA">
      <w:pPr>
        <w:pStyle w:val="BodyText"/>
      </w:pPr>
      <w:r>
        <w:rPr>
          <w:i/>
          <w:iCs/>
        </w:rPr>
        <w:t>Participants</w:t>
      </w:r>
      <w:r>
        <w:t>: 88,928 patients who arrived at hospital within 4 hours of stroke onset, from 2016 to 2018.</w:t>
      </w:r>
    </w:p>
    <w:p w14:paraId="6BA2DDC4" w14:textId="77777777" w:rsidR="00627091" w:rsidRDefault="007A0AEA">
      <w:pPr>
        <w:pStyle w:val="BodyText"/>
      </w:pPr>
      <w:r>
        <w:rPr>
          <w:i/>
          <w:iCs/>
        </w:rPr>
        <w:t>Intervention</w:t>
      </w:r>
      <w:r>
        <w:t xml:space="preserve">: </w:t>
      </w:r>
      <w:proofErr w:type="spellStart"/>
      <w:r>
        <w:t>XGBo</w:t>
      </w:r>
      <w:r>
        <w:t>ost</w:t>
      </w:r>
      <w:proofErr w:type="spellEnd"/>
      <w:r>
        <w:t xml:space="preserve"> machine learning models, with a SHAP model for explainability.</w:t>
      </w:r>
    </w:p>
    <w:p w14:paraId="62228915" w14:textId="77777777" w:rsidR="00627091" w:rsidRDefault="007A0AEA">
      <w:pPr>
        <w:pStyle w:val="BodyText"/>
      </w:pPr>
      <w:r>
        <w:rPr>
          <w:i/>
          <w:iCs/>
        </w:rPr>
        <w:t>Main Outcome Measures</w:t>
      </w:r>
      <w:r>
        <w:t>: Shapley (SHAP) values, providing estimates of how patient features, and hospital identity, influence the odds of receiving thrombolysis.</w:t>
      </w:r>
    </w:p>
    <w:p w14:paraId="61F1E596" w14:textId="77777777" w:rsidR="00627091" w:rsidRDefault="007A0AEA">
      <w:pPr>
        <w:pStyle w:val="BodyText"/>
      </w:pPr>
      <w:r>
        <w:rPr>
          <w:i/>
          <w:iCs/>
        </w:rPr>
        <w:t>Results</w:t>
      </w:r>
      <w:r>
        <w:t xml:space="preserve">: Thrombolysis use in </w:t>
      </w:r>
      <w:r>
        <w:t>patients arriving within 4 hours of known or estimated stroke onset ranged 7%-49% between hospitals. The odds of receiving thrombolysis reduced 9-fold over the first 120 minutes of arrival-to-scan time, varied 30-fold with stroke severity, reduced 3-fold w</w:t>
      </w:r>
      <w:r>
        <w:t>ith estimated rather than precise stroke onset time, fell 6-fold with increasing pre-stroke disability, fell 4-fold with onset during sleep, fell 5-fold with use of anticoagulants, fell 2-fold between 80-110 years of age, reduced 3 fold between 120-240 min</w:t>
      </w:r>
      <w:r>
        <w:t>utes of onset-to-arrival time, and varied 13-fold between hospitals. The majority of between-hospital variance was explained by the hospital, rather than the differences in local patient populations.</w:t>
      </w:r>
    </w:p>
    <w:p w14:paraId="1801881B" w14:textId="77777777" w:rsidR="00627091" w:rsidRDefault="007A0AEA">
      <w:pPr>
        <w:pStyle w:val="BodyText"/>
      </w:pPr>
      <w:r>
        <w:rPr>
          <w:i/>
          <w:iCs/>
        </w:rPr>
        <w:t>Conclusions</w:t>
      </w:r>
      <w:r>
        <w:t>: Using explainable machine learning, we iden</w:t>
      </w:r>
      <w:r>
        <w:t xml:space="preserve">tified that </w:t>
      </w:r>
      <w:proofErr w:type="gramStart"/>
      <w:r>
        <w:t>the majority of</w:t>
      </w:r>
      <w:proofErr w:type="gramEnd"/>
      <w:r>
        <w:t xml:space="preserve"> the between-hospital variation in thrombolysis use in England and Wales may be explained by differences in in-hospital processes and differences in attitudes to judging suitability for thrombolysis.</w:t>
      </w:r>
    </w:p>
    <w:p w14:paraId="0DCF3AC5" w14:textId="77777777" w:rsidR="00627091" w:rsidRDefault="00627091">
      <w:pPr>
        <w:pStyle w:val="BodyText"/>
      </w:pPr>
    </w:p>
    <w:p w14:paraId="620E4B91" w14:textId="77777777" w:rsidR="00627091" w:rsidRDefault="007A0AEA">
      <w:pPr>
        <w:pStyle w:val="BodyText"/>
      </w:pPr>
      <w:r>
        <w:rPr>
          <w:b/>
          <w:bCs/>
        </w:rPr>
        <w:t>Keywords</w:t>
      </w:r>
      <w:r>
        <w:t>: stroke, thrombolys</w:t>
      </w:r>
      <w:r>
        <w:t>is, machine learning</w:t>
      </w:r>
    </w:p>
    <w:p w14:paraId="5975D5C3" w14:textId="77777777" w:rsidR="00627091" w:rsidRDefault="007A0AEA">
      <w:pPr>
        <w:pStyle w:val="Heading1"/>
      </w:pPr>
      <w:bookmarkStart w:id="0" w:name="abstract"/>
      <w:bookmarkEnd w:id="0"/>
      <w:r>
        <w:lastRenderedPageBreak/>
        <w:t>Introduction</w:t>
      </w:r>
    </w:p>
    <w:p w14:paraId="18967CBF" w14:textId="77777777" w:rsidR="00627091" w:rsidRDefault="007A0AEA">
      <w:pPr>
        <w:pStyle w:val="FirstParagraph"/>
      </w:pPr>
      <w:r>
        <w:t>Stroke remains one of the leading global causes of death and disability</w:t>
      </w:r>
      <w:r>
        <w:rPr>
          <w:vertAlign w:val="superscript"/>
        </w:rPr>
        <w:t>1</w:t>
      </w:r>
      <w:r>
        <w:t>. Despite reductions in age-</w:t>
      </w:r>
      <w:proofErr w:type="spellStart"/>
      <w:r>
        <w:t>standardised</w:t>
      </w:r>
      <w:proofErr w:type="spellEnd"/>
      <w:r>
        <w:t xml:space="preserve"> rates of stroke, ageing populations are driving an increase in the absolute number of strokes</w:t>
      </w:r>
      <w:r>
        <w:rPr>
          <w:vertAlign w:val="superscript"/>
        </w:rPr>
        <w:t>1</w:t>
      </w:r>
      <w:r>
        <w:t>. Across Europe</w:t>
      </w:r>
      <w:r>
        <w:t>, in 2017, stroke was found to cost healthcare systems billion, or 1.7% of health expenditure</w:t>
      </w:r>
      <w:r>
        <w:rPr>
          <w:vertAlign w:val="superscript"/>
        </w:rPr>
        <w:t>2</w:t>
      </w:r>
      <w:r>
        <w:t xml:space="preserve">. Thrombolysis with recombinant tissue plasminogen activator can significantly reduce disability after </w:t>
      </w:r>
      <w:proofErr w:type="spellStart"/>
      <w:r>
        <w:t>ischaemic</w:t>
      </w:r>
      <w:proofErr w:type="spellEnd"/>
      <w:r>
        <w:t xml:space="preserve"> stroke, so long as it is given in the first few h</w:t>
      </w:r>
      <w:r>
        <w:t>ours after stroke onset</w:t>
      </w:r>
      <w:r>
        <w:rPr>
          <w:vertAlign w:val="superscript"/>
        </w:rPr>
        <w:t>3</w:t>
      </w:r>
      <w:r>
        <w:t xml:space="preserve">. Despite thrombolysis being of proven benefit in </w:t>
      </w:r>
      <w:proofErr w:type="spellStart"/>
      <w:r>
        <w:t>ischaemic</w:t>
      </w:r>
      <w:proofErr w:type="spellEnd"/>
      <w:r>
        <w:t xml:space="preserve"> stroke, use of thrombolysis varies significantly both between and within European countries</w:t>
      </w:r>
      <w:r>
        <w:rPr>
          <w:vertAlign w:val="superscript"/>
        </w:rPr>
        <w:t>4</w:t>
      </w:r>
      <w:r>
        <w:t xml:space="preserve">. In England and </w:t>
      </w:r>
      <w:proofErr w:type="gramStart"/>
      <w:r>
        <w:t>Wales</w:t>
      </w:r>
      <w:proofErr w:type="gramEnd"/>
      <w:r>
        <w:t xml:space="preserve"> the national stroke audit reported that in 2021/22 thromb</w:t>
      </w:r>
      <w:r>
        <w:t>olysis rates for emergency stroke admissions varied from just 1% to 28% between hospitals</w:t>
      </w:r>
      <w:r>
        <w:rPr>
          <w:vertAlign w:val="superscript"/>
        </w:rPr>
        <w:t>5</w:t>
      </w:r>
      <w:r>
        <w:t>, with a median rate of 10.4%, against a 2019 NHS England long term plan that 20% of patients of emergency stroke admissions should be receiving thrombolysis</w:t>
      </w:r>
      <w:r>
        <w:rPr>
          <w:vertAlign w:val="superscript"/>
        </w:rPr>
        <w:t>6</w:t>
      </w:r>
      <w:r>
        <w:t>.</w:t>
      </w:r>
    </w:p>
    <w:p w14:paraId="603C7C3C" w14:textId="77777777" w:rsidR="00627091" w:rsidRDefault="007A0AEA">
      <w:pPr>
        <w:pStyle w:val="BodyText"/>
      </w:pPr>
      <w:r>
        <w:t>Studie</w:t>
      </w:r>
      <w:r>
        <w:t>s have shown that reasons for low and varying thrombolysis rates are multi-factorial. Reasons include late presentation</w:t>
      </w:r>
      <w:r>
        <w:rPr>
          <w:vertAlign w:val="superscript"/>
        </w:rPr>
        <w:t>4</w:t>
      </w:r>
      <w:r>
        <w:t>, lack of expertise</w:t>
      </w:r>
      <w:r>
        <w:rPr>
          <w:vertAlign w:val="superscript"/>
        </w:rPr>
        <w:t>4</w:t>
      </w:r>
      <w:r>
        <w:t xml:space="preserve"> or lack of clear protocols or training</w:t>
      </w:r>
      <w:r>
        <w:rPr>
          <w:vertAlign w:val="superscript"/>
        </w:rPr>
        <w:t>7</w:t>
      </w:r>
      <w:r>
        <w:t>, delayed access to specialists</w:t>
      </w:r>
      <w:r>
        <w:rPr>
          <w:vertAlign w:val="superscript"/>
        </w:rPr>
        <w:t>8</w:t>
      </w:r>
      <w:r>
        <w:t xml:space="preserve">, and poor triage by ambulance or emergency </w:t>
      </w:r>
      <w:r>
        <w:t>department staff</w:t>
      </w:r>
      <w:r>
        <w:rPr>
          <w:vertAlign w:val="superscript"/>
        </w:rPr>
        <w:t>7</w:t>
      </w:r>
      <w:r>
        <w:t xml:space="preserve">. For many factors, the establishment of primary stroke </w:t>
      </w:r>
      <w:proofErr w:type="spellStart"/>
      <w:r>
        <w:t>centres</w:t>
      </w:r>
      <w:proofErr w:type="spellEnd"/>
      <w:r>
        <w:t xml:space="preserve"> has been suggested to improve the emergency care of patients with stroke and reduce barriers to thrombolysis</w:t>
      </w:r>
      <w:r>
        <w:rPr>
          <w:vertAlign w:val="superscript"/>
        </w:rPr>
        <w:t>7</w:t>
      </w:r>
      <w:r>
        <w:t xml:space="preserve">, with a </w:t>
      </w:r>
      <w:proofErr w:type="spellStart"/>
      <w:r>
        <w:t>centralised</w:t>
      </w:r>
      <w:proofErr w:type="spellEnd"/>
      <w:r>
        <w:t xml:space="preserve"> model of primary stroke </w:t>
      </w:r>
      <w:proofErr w:type="spellStart"/>
      <w:r>
        <w:t>centres</w:t>
      </w:r>
      <w:proofErr w:type="spellEnd"/>
      <w:r>
        <w:t xml:space="preserve"> leading to in</w:t>
      </w:r>
      <w:r>
        <w:t>creased likelihood of thrombolysis</w:t>
      </w:r>
      <w:r>
        <w:rPr>
          <w:vertAlign w:val="superscript"/>
        </w:rPr>
        <w:t>9–11</w:t>
      </w:r>
      <w:r>
        <w:t>.</w:t>
      </w:r>
    </w:p>
    <w:p w14:paraId="0B76E344" w14:textId="77777777" w:rsidR="00627091" w:rsidRDefault="007A0AEA">
      <w:pPr>
        <w:pStyle w:val="BodyText"/>
      </w:pPr>
      <w:r>
        <w:t xml:space="preserve">In addition to </w:t>
      </w:r>
      <w:proofErr w:type="spellStart"/>
      <w:r>
        <w:t>organisational</w:t>
      </w:r>
      <w:proofErr w:type="spellEnd"/>
      <w:r>
        <w:t xml:space="preserve"> factors, clinicians can have varying attitudes to which patients are suitable candidates for thrombolysis. In a discrete choice experiment</w:t>
      </w:r>
      <w:r>
        <w:rPr>
          <w:vertAlign w:val="superscript"/>
        </w:rPr>
        <w:t>12</w:t>
      </w:r>
      <w:r>
        <w:t>, the authors concluded that there was conside</w:t>
      </w:r>
      <w:r>
        <w:t>rable heterogeneity among respondents in their thrombolysis decision-making. Areas of difference were around whether to give thrombolysis to mild strokes, to older patients beyond 3 hours from stroke onset, and when there was pre-existing disability.</w:t>
      </w:r>
    </w:p>
    <w:p w14:paraId="6AF95688" w14:textId="77777777" w:rsidR="00627091" w:rsidRDefault="007A0AEA">
      <w:pPr>
        <w:pStyle w:val="BodyText"/>
      </w:pPr>
      <w:r>
        <w:t>Based</w:t>
      </w:r>
      <w:r>
        <w:t xml:space="preserve"> on national audit data from three years of emergency stroke admissions, we have previously built models of the emergency stroke pathway</w:t>
      </w:r>
      <w:r>
        <w:rPr>
          <w:vertAlign w:val="superscript"/>
        </w:rPr>
        <w:t>13,14</w:t>
      </w:r>
      <w:r>
        <w:t xml:space="preserve">, including using machine learning to compare thrombolysis decisions between hospitals. Using these </w:t>
      </w:r>
      <w:proofErr w:type="gramStart"/>
      <w:r>
        <w:t>models</w:t>
      </w:r>
      <w:proofErr w:type="gramEnd"/>
      <w:r>
        <w:t xml:space="preserve"> we found</w:t>
      </w:r>
      <w:r>
        <w:t xml:space="preserve"> that it would be credible to target an increase in average thrombolysis in England and Wales, from 11% to 18%, but that each hospital should have its own target, reflecting differences in local populations. We found that the largest increase in thrombolys</w:t>
      </w:r>
      <w:r>
        <w:t xml:space="preserve">is use would come from replicating thrombolysis decision-making practice from higher to lower </w:t>
      </w:r>
      <w:proofErr w:type="spellStart"/>
      <w:r>
        <w:t>thrombolysing</w:t>
      </w:r>
      <w:proofErr w:type="spellEnd"/>
      <w:r>
        <w:t xml:space="preserve"> hospitals.</w:t>
      </w:r>
    </w:p>
    <w:p w14:paraId="7A798D66" w14:textId="77777777" w:rsidR="00627091" w:rsidRDefault="007A0AEA">
      <w:pPr>
        <w:pStyle w:val="BodyText"/>
      </w:pPr>
      <w:r>
        <w:t>In our previous work we established that we could predict the use of thrombolysis in patients arriving within 4 hours of known stroke ons</w:t>
      </w:r>
      <w:r>
        <w:t>et with 84.3% accuracy</w:t>
      </w:r>
      <w:r>
        <w:rPr>
          <w:vertAlign w:val="superscript"/>
        </w:rPr>
        <w:t>14</w:t>
      </w:r>
      <w:r>
        <w:t xml:space="preserve">. We could then ask the question “What if this patient attended another hospital - would they likely be given thrombolysis?" As this was a </w:t>
      </w:r>
      <w:r>
        <w:rPr>
          <w:i/>
          <w:iCs/>
        </w:rPr>
        <w:t>‘black-box’</w:t>
      </w:r>
      <w:r>
        <w:t xml:space="preserve"> decision-forest model we could not effectively explain the relationship between patient level data (‘feat</w:t>
      </w:r>
      <w:r>
        <w:t xml:space="preserve">ures’) and their chance of receiving </w:t>
      </w:r>
      <w:proofErr w:type="gramStart"/>
      <w:r>
        <w:t>thrombolysis, or</w:t>
      </w:r>
      <w:proofErr w:type="gramEnd"/>
      <w:r>
        <w:t xml:space="preserve"> identify and explain the features which different hospitals would differ on.</w:t>
      </w:r>
    </w:p>
    <w:p w14:paraId="243274C6" w14:textId="77777777" w:rsidR="00627091" w:rsidRDefault="007A0AEA">
      <w:pPr>
        <w:pStyle w:val="BodyText"/>
      </w:pPr>
      <w:r>
        <w:t xml:space="preserve">In this paper, therefore, we seek to use </w:t>
      </w:r>
      <w:r>
        <w:rPr>
          <w:i/>
          <w:iCs/>
        </w:rPr>
        <w:t>explainable machine learning</w:t>
      </w:r>
      <w:r>
        <w:t xml:space="preserve"> to understand the relationship between patient and hosp</w:t>
      </w:r>
      <w:r>
        <w:t xml:space="preserve">ital features and the use of thrombolysis across England and Wales, and we seek to understand how hospitals differ in their attitudes to use of thrombolysis, and how much difference in use of thrombolysis may be explained by those differences. We use an </w:t>
      </w:r>
      <w:proofErr w:type="spellStart"/>
      <w:r>
        <w:rPr>
          <w:i/>
          <w:iCs/>
        </w:rPr>
        <w:t>eX</w:t>
      </w:r>
      <w:r>
        <w:rPr>
          <w:i/>
          <w:iCs/>
        </w:rPr>
        <w:t>treme</w:t>
      </w:r>
      <w:proofErr w:type="spellEnd"/>
      <w:r>
        <w:rPr>
          <w:i/>
          <w:iCs/>
        </w:rPr>
        <w:t xml:space="preserve"> Gradient Boosting model</w:t>
      </w:r>
      <w:r>
        <w:rPr>
          <w:i/>
          <w:iCs/>
          <w:vertAlign w:val="superscript"/>
        </w:rPr>
        <w:t>15</w:t>
      </w:r>
      <w:r>
        <w:t xml:space="preserve"> (</w:t>
      </w:r>
      <w:proofErr w:type="spellStart"/>
      <w:r>
        <w:t>XGBoost</w:t>
      </w:r>
      <w:proofErr w:type="spellEnd"/>
      <w:r>
        <w:t xml:space="preserve">) to make predictions and then </w:t>
      </w:r>
      <w:r>
        <w:lastRenderedPageBreak/>
        <w:t xml:space="preserve">use an additional </w:t>
      </w:r>
      <w:proofErr w:type="spellStart"/>
      <w:r>
        <w:rPr>
          <w:i/>
          <w:iCs/>
        </w:rPr>
        <w:t>SHapley</w:t>
      </w:r>
      <w:proofErr w:type="spellEnd"/>
      <w:r>
        <w:rPr>
          <w:i/>
          <w:iCs/>
        </w:rPr>
        <w:t xml:space="preserve"> Additive exPlanations</w:t>
      </w:r>
      <w:r>
        <w:rPr>
          <w:vertAlign w:val="superscript"/>
        </w:rPr>
        <w:t>16</w:t>
      </w:r>
      <w:r>
        <w:t xml:space="preserve"> (SHAP) model to explain the contribution of each feature to the model prediction.</w:t>
      </w:r>
    </w:p>
    <w:p w14:paraId="3EB68701" w14:textId="77777777" w:rsidR="00627091" w:rsidRDefault="007A0AEA">
      <w:pPr>
        <w:pStyle w:val="Heading1"/>
      </w:pPr>
      <w:bookmarkStart w:id="1" w:name="introduction"/>
      <w:bookmarkEnd w:id="1"/>
      <w:r>
        <w:t>Methods</w:t>
      </w:r>
    </w:p>
    <w:p w14:paraId="7B65F83E" w14:textId="77777777" w:rsidR="00627091" w:rsidRDefault="007A0AEA">
      <w:pPr>
        <w:pStyle w:val="FirstParagraph"/>
      </w:pPr>
      <w:r>
        <w:t>Note: further details of methods may be found</w:t>
      </w:r>
      <w:r>
        <w:t xml:space="preserve"> in the online appendix.</w:t>
      </w:r>
    </w:p>
    <w:p w14:paraId="11F15C49" w14:textId="77777777" w:rsidR="00627091" w:rsidRDefault="007A0AEA">
      <w:pPr>
        <w:pStyle w:val="Heading2"/>
      </w:pPr>
      <w:r>
        <w:t>Data</w:t>
      </w:r>
    </w:p>
    <w:p w14:paraId="736E1670" w14:textId="77777777" w:rsidR="00627091" w:rsidRDefault="007A0AEA">
      <w:pPr>
        <w:pStyle w:val="FirstParagraph"/>
      </w:pPr>
      <w:r>
        <w:t xml:space="preserve">Data were retrieved for 246,676 emergency stroke admissions to acute stroke teams in England and Wales for the years 2016 - 2018, obtained from the Sentinel Stroke National Audit </w:t>
      </w:r>
      <w:proofErr w:type="spellStart"/>
      <w:r>
        <w:t>Programme</w:t>
      </w:r>
      <w:proofErr w:type="spellEnd"/>
      <w:r>
        <w:t xml:space="preserve"> (SSNAP). Data fields were provided fo</w:t>
      </w:r>
      <w:r>
        <w:t xml:space="preserve">r the hyper-acute phase of the stroke pathway, up to and including our target feature: </w:t>
      </w:r>
      <w:r>
        <w:rPr>
          <w:i/>
          <w:iCs/>
        </w:rPr>
        <w:t>receive thrombolysis</w:t>
      </w:r>
      <w:r>
        <w:t>. Of these patients, 88,928 arrived within 4 hours of known stroke onset, and were used in this modelling study. The data included 132 acute stroke h</w:t>
      </w:r>
      <w:r>
        <w:t>ospitals.</w:t>
      </w:r>
    </w:p>
    <w:p w14:paraId="615FB02F" w14:textId="77777777" w:rsidR="00627091" w:rsidRDefault="007A0AEA">
      <w:pPr>
        <w:pStyle w:val="Heading2"/>
      </w:pPr>
      <w:bookmarkStart w:id="2" w:name="data"/>
      <w:bookmarkEnd w:id="2"/>
      <w:r>
        <w:t>Machine learning models (to predict thrombolysis use)</w:t>
      </w:r>
    </w:p>
    <w:p w14:paraId="2EF6F1B0" w14:textId="77777777" w:rsidR="00627091" w:rsidRDefault="007A0AEA">
      <w:pPr>
        <w:pStyle w:val="FirstParagraph"/>
      </w:pPr>
      <w:r>
        <w:t>We used XGBoost</w:t>
      </w:r>
      <w:r>
        <w:rPr>
          <w:vertAlign w:val="superscript"/>
        </w:rPr>
        <w:t>15</w:t>
      </w:r>
      <w:r>
        <w:t xml:space="preserve"> to predict the probability of use of thrombolysis for each patient from their other feature values.</w:t>
      </w:r>
    </w:p>
    <w:p w14:paraId="52A2B505" w14:textId="77777777" w:rsidR="00627091" w:rsidRDefault="007A0AEA">
      <w:pPr>
        <w:pStyle w:val="Heading3"/>
      </w:pPr>
      <w:r>
        <w:t>Feature selection</w:t>
      </w:r>
    </w:p>
    <w:p w14:paraId="4707509D" w14:textId="77777777" w:rsidR="00627091" w:rsidRDefault="007A0AEA">
      <w:pPr>
        <w:pStyle w:val="FirstParagraph"/>
      </w:pPr>
      <w:proofErr w:type="gramStart"/>
      <w:r>
        <w:t>In order to</w:t>
      </w:r>
      <w:proofErr w:type="gramEnd"/>
      <w:r>
        <w:t xml:space="preserve"> simplify the model (for enhanced </w:t>
      </w:r>
      <w:r>
        <w:t>explainability) we selected those features most predictive of thrombolysis use. Features were selected by forward-feature selection, identifying one feature at a time that led to the greatest improvement in accuracy as measured by Receiver Operating Charac</w:t>
      </w:r>
      <w:r>
        <w:t xml:space="preserve">teristic (ROC) Area Under Curve (AUC). We repeated this process to identify the top 25 </w:t>
      </w:r>
      <w:proofErr w:type="gramStart"/>
      <w:r>
        <w:t>features, and</w:t>
      </w:r>
      <w:proofErr w:type="gramEnd"/>
      <w:r>
        <w:t xml:space="preserve"> used these results to identify the number of features to include in our machine learning models.</w:t>
      </w:r>
    </w:p>
    <w:p w14:paraId="7EAC8207" w14:textId="77777777" w:rsidR="00627091" w:rsidRDefault="007A0AEA">
      <w:pPr>
        <w:pStyle w:val="Heading3"/>
      </w:pPr>
      <w:bookmarkStart w:id="3" w:name="feature-selection"/>
      <w:bookmarkEnd w:id="3"/>
      <w:r>
        <w:t>Model accuracy</w:t>
      </w:r>
    </w:p>
    <w:p w14:paraId="3B05556F" w14:textId="77777777" w:rsidR="00627091" w:rsidRDefault="007A0AEA">
      <w:pPr>
        <w:pStyle w:val="FirstParagraph"/>
      </w:pPr>
      <w:r>
        <w:t xml:space="preserve">Model accuracy, ROC AUC, </w:t>
      </w:r>
      <w:proofErr w:type="gramStart"/>
      <w:r>
        <w:t>sensitivity</w:t>
      </w:r>
      <w:proofErr w:type="gramEnd"/>
      <w:r>
        <w:t xml:space="preserve"> and sp</w:t>
      </w:r>
      <w:r>
        <w:t>ecificity were measured using stratified 5-fold cross validation. Predicted thrombolysis rate was compared with actual thrombolysis use at hospital-level.</w:t>
      </w:r>
    </w:p>
    <w:p w14:paraId="56AB45C9" w14:textId="77777777" w:rsidR="00627091" w:rsidRDefault="007A0AEA">
      <w:pPr>
        <w:pStyle w:val="Heading3"/>
      </w:pPr>
      <w:bookmarkStart w:id="4" w:name="model-accuracy"/>
      <w:bookmarkEnd w:id="4"/>
      <w:r>
        <w:t>Machine learning models</w:t>
      </w:r>
    </w:p>
    <w:p w14:paraId="03A10E49" w14:textId="77777777" w:rsidR="00627091" w:rsidRDefault="007A0AEA">
      <w:pPr>
        <w:pStyle w:val="FirstParagraph"/>
      </w:pPr>
      <w:r>
        <w:t xml:space="preserve">For the different analysis included in this paper, we trained three </w:t>
      </w:r>
      <w:proofErr w:type="spellStart"/>
      <w:r>
        <w:t>XGBoost</w:t>
      </w:r>
      <w:proofErr w:type="spellEnd"/>
      <w:r>
        <w:t xml:space="preserve"> m</w:t>
      </w:r>
      <w:r>
        <w:t>odels:</w:t>
      </w:r>
    </w:p>
    <w:p w14:paraId="54ADA6F6" w14:textId="77777777" w:rsidR="00627091" w:rsidRDefault="007A0AEA">
      <w:pPr>
        <w:numPr>
          <w:ilvl w:val="0"/>
          <w:numId w:val="7"/>
        </w:numPr>
      </w:pPr>
      <w:r>
        <w:rPr>
          <w:i/>
          <w:iCs/>
        </w:rPr>
        <w:t>K-fold</w:t>
      </w:r>
      <w:r>
        <w:t xml:space="preserve"> model: A 5-fold train-test cross validation used to test the accuracy of the model, and to test reproducibility of SHAP values.</w:t>
      </w:r>
    </w:p>
    <w:p w14:paraId="24EB1E29" w14:textId="77777777" w:rsidR="00627091" w:rsidRDefault="007A0AEA">
      <w:pPr>
        <w:numPr>
          <w:ilvl w:val="0"/>
          <w:numId w:val="1"/>
        </w:numPr>
      </w:pPr>
      <w:r>
        <w:rPr>
          <w:i/>
          <w:iCs/>
        </w:rPr>
        <w:t>All data</w:t>
      </w:r>
      <w:r>
        <w:t xml:space="preserve"> model: A single model trained on all patients, used to investigate the relationship between feature value</w:t>
      </w:r>
      <w:r>
        <w:t>s and predictions.</w:t>
      </w:r>
    </w:p>
    <w:p w14:paraId="6AF0C8DC" w14:textId="77777777" w:rsidR="00627091" w:rsidRDefault="007A0AEA">
      <w:pPr>
        <w:numPr>
          <w:ilvl w:val="0"/>
          <w:numId w:val="1"/>
        </w:numPr>
      </w:pPr>
      <w:r>
        <w:rPr>
          <w:i/>
          <w:iCs/>
        </w:rPr>
        <w:t>10k holdout</w:t>
      </w:r>
      <w:r>
        <w:t xml:space="preserve"> model: A model trained on all data apart from a 10k hold-out set. This model is used to mimic a 10k cohort of patients that </w:t>
      </w:r>
      <w:proofErr w:type="gramStart"/>
      <w:r>
        <w:t>attends</w:t>
      </w:r>
      <w:proofErr w:type="gramEnd"/>
      <w:r>
        <w:t xml:space="preserve"> all hospitals (by changing the hospital </w:t>
      </w:r>
      <w:r>
        <w:lastRenderedPageBreak/>
        <w:t>encoding) to further investigate variation in thrombo</w:t>
      </w:r>
      <w:r>
        <w:t>lysis decision-making between hospitals.</w:t>
      </w:r>
    </w:p>
    <w:p w14:paraId="32568214" w14:textId="77777777" w:rsidR="00627091" w:rsidRDefault="007A0AEA">
      <w:pPr>
        <w:pStyle w:val="Heading2"/>
      </w:pPr>
      <w:bookmarkStart w:id="5" w:name="Xd0ff3af14a2bd65440e558d403a10d54ad5473c"/>
      <w:bookmarkStart w:id="6" w:name="machine-learning-models"/>
      <w:bookmarkEnd w:id="5"/>
      <w:bookmarkEnd w:id="6"/>
      <w:proofErr w:type="spellStart"/>
      <w:r>
        <w:t>SHapley</w:t>
      </w:r>
      <w:proofErr w:type="spellEnd"/>
      <w:r>
        <w:t xml:space="preserve"> Additive </w:t>
      </w:r>
      <w:proofErr w:type="spellStart"/>
      <w:r>
        <w:t>exPlanation</w:t>
      </w:r>
      <w:proofErr w:type="spellEnd"/>
      <w:r>
        <w:t xml:space="preserve"> (SHAP) values</w:t>
      </w:r>
    </w:p>
    <w:p w14:paraId="3BC9114F" w14:textId="77777777" w:rsidR="00627091" w:rsidRDefault="007A0AEA">
      <w:pPr>
        <w:pStyle w:val="FirstParagraph"/>
      </w:pPr>
      <w:r>
        <w:t>We sought to make our models explainable using SHAP values (calculated using the SHAP library</w:t>
      </w:r>
      <w:r>
        <w:rPr>
          <w:vertAlign w:val="superscript"/>
        </w:rPr>
        <w:t>16</w:t>
      </w:r>
      <w:r>
        <w:t>). SHAP provides a measure of the contribution of each feature value to the f</w:t>
      </w:r>
      <w:r>
        <w:t xml:space="preserve">inal predicted probability of receiving thrombolysis for that individual. The SHAP values for each feature are comprised of the feature’s main effect (the effect of that feature in isolation) and </w:t>
      </w:r>
      <w:proofErr w:type="gramStart"/>
      <w:r>
        <w:t>all of</w:t>
      </w:r>
      <w:proofErr w:type="gramEnd"/>
      <w:r>
        <w:t xml:space="preserve"> the pairwise interaction effects with each of the oth</w:t>
      </w:r>
      <w:r>
        <w:t>er features. SHAP values provide the influence of each feature as the change in log-odds of receiving thrombolysis (SHAP values expressed as log-odds are additive).</w:t>
      </w:r>
    </w:p>
    <w:p w14:paraId="2BA9C796" w14:textId="77777777" w:rsidR="00627091" w:rsidRDefault="007A0AEA">
      <w:pPr>
        <w:pStyle w:val="Heading2"/>
      </w:pPr>
      <w:bookmarkStart w:id="7" w:name="shapley-additive-explanation-shap-values"/>
      <w:bookmarkEnd w:id="7"/>
      <w:r>
        <w:t xml:space="preserve">The relationship between feature values and the odds of receiving </w:t>
      </w:r>
      <w:proofErr w:type="gramStart"/>
      <w:r>
        <w:t>thrombolysis</w:t>
      </w:r>
      <w:proofErr w:type="gramEnd"/>
    </w:p>
    <w:p w14:paraId="2B5A8EB3" w14:textId="77777777" w:rsidR="00627091" w:rsidRDefault="007A0AEA">
      <w:pPr>
        <w:pStyle w:val="FirstParagraph"/>
      </w:pPr>
      <w:r>
        <w:t>For each fea</w:t>
      </w:r>
      <w:r>
        <w:t xml:space="preserve">ture, we examined the relationship between feature values and their corresponding SHAP values (we used values from </w:t>
      </w:r>
      <w:proofErr w:type="gramStart"/>
      <w:r>
        <w:t xml:space="preserve">the </w:t>
      </w:r>
      <w:r>
        <w:rPr>
          <w:i/>
          <w:iCs/>
        </w:rPr>
        <w:t>all</w:t>
      </w:r>
      <w:proofErr w:type="gramEnd"/>
      <w:r>
        <w:rPr>
          <w:i/>
          <w:iCs/>
        </w:rPr>
        <w:t xml:space="preserve"> data</w:t>
      </w:r>
      <w:r>
        <w:t xml:space="preserve"> model).</w:t>
      </w:r>
    </w:p>
    <w:p w14:paraId="4C212E43" w14:textId="77777777" w:rsidR="00627091" w:rsidRDefault="007A0AEA">
      <w:pPr>
        <w:pStyle w:val="Heading2"/>
      </w:pPr>
      <w:bookmarkStart w:id="8" w:name="Xbf2c0da9b8c50008b5dc0598bcb6ee8c5acdd77"/>
      <w:bookmarkEnd w:id="8"/>
      <w:r>
        <w:t>Investigating how the identity of a hospital influences thrombolysis rate</w:t>
      </w:r>
    </w:p>
    <w:p w14:paraId="2FF893E3" w14:textId="77777777" w:rsidR="00627091" w:rsidRDefault="007A0AEA">
      <w:pPr>
        <w:pStyle w:val="FirstParagraph"/>
      </w:pPr>
      <w:r>
        <w:t>For each hospital we compared the mean SHAP ma</w:t>
      </w:r>
      <w:r>
        <w:t xml:space="preserve">in effect value for the hospital attended (using values from </w:t>
      </w:r>
      <w:proofErr w:type="gramStart"/>
      <w:r>
        <w:t xml:space="preserve">the </w:t>
      </w:r>
      <w:r>
        <w:rPr>
          <w:i/>
          <w:iCs/>
        </w:rPr>
        <w:t>all</w:t>
      </w:r>
      <w:proofErr w:type="gramEnd"/>
      <w:r>
        <w:rPr>
          <w:i/>
          <w:iCs/>
        </w:rPr>
        <w:t xml:space="preserve"> data</w:t>
      </w:r>
      <w:r>
        <w:t xml:space="preserve"> model) with the hospitals observed thrombolysis use.</w:t>
      </w:r>
    </w:p>
    <w:p w14:paraId="6E4E333E" w14:textId="77777777" w:rsidR="00627091" w:rsidRDefault="007A0AEA">
      <w:pPr>
        <w:pStyle w:val="BodyText"/>
      </w:pPr>
      <w:r>
        <w:t>To reveal the variation in thrombolysis rate due to hospital, rather than patient mix, we also compared the mean hospital attende</w:t>
      </w:r>
      <w:r>
        <w:t xml:space="preserve">d SHAP main effect value for the identical 10k patient cohort attending each hospital, with the hospitals’ predicted thrombolysis use for this 10k patient cohort (we used values from the </w:t>
      </w:r>
      <w:r>
        <w:rPr>
          <w:i/>
          <w:iCs/>
        </w:rPr>
        <w:t>10k holdout</w:t>
      </w:r>
      <w:r>
        <w:t xml:space="preserve"> model).</w:t>
      </w:r>
    </w:p>
    <w:p w14:paraId="4910D22D" w14:textId="77777777" w:rsidR="00627091" w:rsidRDefault="007A0AEA">
      <w:pPr>
        <w:pStyle w:val="Heading2"/>
      </w:pPr>
      <w:bookmarkStart w:id="9" w:name="X70a388d2afddbc777bce98a381b0c3985acf8d4"/>
      <w:bookmarkEnd w:id="9"/>
      <w:r>
        <w:t>Investigating how patient populations and hospita</w:t>
      </w:r>
      <w:r>
        <w:t>l identity and processes influences thrombolysis rate</w:t>
      </w:r>
    </w:p>
    <w:p w14:paraId="255BDD8B" w14:textId="77777777" w:rsidR="00627091" w:rsidRDefault="007A0AEA">
      <w:pPr>
        <w:pStyle w:val="FirstParagraph"/>
      </w:pPr>
      <w:r>
        <w:t xml:space="preserve">The 10 features in the model can be classified into two subsets: 1) ‘patient descriptive features’ (features that describe the </w:t>
      </w:r>
      <w:proofErr w:type="gramStart"/>
      <w:r>
        <w:t>patients</w:t>
      </w:r>
      <w:proofErr w:type="gramEnd"/>
      <w:r>
        <w:t xml:space="preserve"> characteristics), and 2) ‘hospital descriptive features’ (features</w:t>
      </w:r>
      <w:r>
        <w:t xml:space="preserve"> that describe the hospital’s identity or processes). To </w:t>
      </w:r>
      <w:proofErr w:type="spellStart"/>
      <w:r>
        <w:t>analyse</w:t>
      </w:r>
      <w:proofErr w:type="spellEnd"/>
      <w:r>
        <w:t xml:space="preserve"> the influence that each subset of features has on the thrombolysis rate, using values from </w:t>
      </w:r>
      <w:proofErr w:type="gramStart"/>
      <w:r>
        <w:t xml:space="preserve">the </w:t>
      </w:r>
      <w:r>
        <w:rPr>
          <w:i/>
          <w:iCs/>
        </w:rPr>
        <w:t>all</w:t>
      </w:r>
      <w:proofErr w:type="gramEnd"/>
      <w:r>
        <w:rPr>
          <w:i/>
          <w:iCs/>
        </w:rPr>
        <w:t xml:space="preserve"> data</w:t>
      </w:r>
      <w:r>
        <w:t xml:space="preserve"> model, we calculated the ‘subset SHAP value’ for each feature, which only includes the </w:t>
      </w:r>
      <w:r>
        <w:t>components of its SHAP value that contain effects from the features in the same subset. This is expressed as the sum of the main effect and the interaction effects with the other features in the same subset. Multiple regression models were then fitted to t</w:t>
      </w:r>
      <w:r>
        <w:t>he mean subset SHAP values.</w:t>
      </w:r>
    </w:p>
    <w:p w14:paraId="504EE520" w14:textId="77777777" w:rsidR="00627091" w:rsidRDefault="007A0AEA">
      <w:pPr>
        <w:pStyle w:val="Heading2"/>
      </w:pPr>
      <w:bookmarkStart w:id="10" w:name="X4fe236a87e8f2f6d2dc4ae9d525e4c87965365c"/>
      <w:bookmarkEnd w:id="10"/>
      <w:r>
        <w:t xml:space="preserve">Variation in hospital thrombolysis use for patient </w:t>
      </w:r>
      <w:proofErr w:type="gramStart"/>
      <w:r>
        <w:t>subgroups</w:t>
      </w:r>
      <w:proofErr w:type="gramEnd"/>
    </w:p>
    <w:p w14:paraId="7DB8EF56" w14:textId="77777777" w:rsidR="00627091" w:rsidRDefault="007A0AEA">
      <w:pPr>
        <w:pStyle w:val="FirstParagraph"/>
      </w:pPr>
      <w:r>
        <w:t xml:space="preserve">Informed by the SHAP values, we </w:t>
      </w:r>
      <w:proofErr w:type="spellStart"/>
      <w:r>
        <w:t>analysed</w:t>
      </w:r>
      <w:proofErr w:type="spellEnd"/>
      <w:r>
        <w:t xml:space="preserve"> the observed and predicted use of thrombolysis in eleven subgroups of patients: one subgroup for ‘ideally’ </w:t>
      </w:r>
      <w:proofErr w:type="spellStart"/>
      <w:r>
        <w:t>thrombolysable</w:t>
      </w:r>
      <w:proofErr w:type="spellEnd"/>
      <w:r>
        <w:t xml:space="preserve"> pati</w:t>
      </w:r>
      <w:r>
        <w:t xml:space="preserve">ents, nine ‘sub-optimal’ </w:t>
      </w:r>
      <w:proofErr w:type="spellStart"/>
      <w:r>
        <w:t>thrombolysable</w:t>
      </w:r>
      <w:proofErr w:type="spellEnd"/>
      <w:r>
        <w:t xml:space="preserve"> patient subgroups (one subgroup per feature), and one subgroup with two sub-optimal features. The eleven patient subgroups were defined as:</w:t>
      </w:r>
    </w:p>
    <w:p w14:paraId="3AC2B9F7" w14:textId="77777777" w:rsidR="00627091" w:rsidRDefault="007A0AEA">
      <w:pPr>
        <w:numPr>
          <w:ilvl w:val="0"/>
          <w:numId w:val="8"/>
        </w:numPr>
      </w:pPr>
      <w:r>
        <w:t xml:space="preserve">An </w:t>
      </w:r>
      <w:r>
        <w:rPr>
          <w:i/>
          <w:iCs/>
        </w:rPr>
        <w:t>‘ideally’</w:t>
      </w:r>
      <w:r>
        <w:t xml:space="preserve"> </w:t>
      </w:r>
      <w:proofErr w:type="spellStart"/>
      <w:r>
        <w:t>thrombolysable</w:t>
      </w:r>
      <w:proofErr w:type="spellEnd"/>
      <w:r>
        <w:t xml:space="preserve"> patient:</w:t>
      </w:r>
    </w:p>
    <w:p w14:paraId="5B651F28" w14:textId="77777777" w:rsidR="00627091" w:rsidRDefault="007A0AEA">
      <w:pPr>
        <w:numPr>
          <w:ilvl w:val="1"/>
          <w:numId w:val="3"/>
        </w:numPr>
      </w:pPr>
      <w:r>
        <w:lastRenderedPageBreak/>
        <w:t xml:space="preserve">Stroke caused by </w:t>
      </w:r>
      <w:proofErr w:type="gramStart"/>
      <w:r>
        <w:t>infarction</w:t>
      </w:r>
      <w:proofErr w:type="gramEnd"/>
    </w:p>
    <w:p w14:paraId="516926FC" w14:textId="7DE33092" w:rsidR="00627091" w:rsidRDefault="007A0AEA">
      <w:pPr>
        <w:numPr>
          <w:ilvl w:val="1"/>
          <w:numId w:val="3"/>
        </w:numPr>
      </w:pPr>
      <w:r>
        <w:t>Arrival-to-</w:t>
      </w:r>
      <w:r>
        <w:t xml:space="preserve">scan time </w:t>
      </w:r>
      <w:r w:rsidR="00B04625">
        <w:t>&lt;</w:t>
      </w:r>
      <w:r>
        <w:t>30 minutes</w:t>
      </w:r>
    </w:p>
    <w:p w14:paraId="4A096923" w14:textId="77777777" w:rsidR="00627091" w:rsidRDefault="007A0AEA">
      <w:pPr>
        <w:numPr>
          <w:ilvl w:val="1"/>
          <w:numId w:val="3"/>
        </w:numPr>
      </w:pPr>
      <w:r>
        <w:t>NIHSS in range 10-25</w:t>
      </w:r>
    </w:p>
    <w:p w14:paraId="66134A84" w14:textId="77777777" w:rsidR="00627091" w:rsidRDefault="007A0AEA">
      <w:pPr>
        <w:numPr>
          <w:ilvl w:val="1"/>
          <w:numId w:val="3"/>
        </w:numPr>
      </w:pPr>
      <w:r>
        <w:t xml:space="preserve">Precise stroke onset time </w:t>
      </w:r>
      <w:proofErr w:type="gramStart"/>
      <w:r>
        <w:t>known</w:t>
      </w:r>
      <w:proofErr w:type="gramEnd"/>
    </w:p>
    <w:p w14:paraId="0D1E8BE3" w14:textId="77777777" w:rsidR="00627091" w:rsidRDefault="007A0AEA">
      <w:pPr>
        <w:numPr>
          <w:ilvl w:val="1"/>
          <w:numId w:val="3"/>
        </w:numPr>
      </w:pPr>
      <w:r>
        <w:t>No pre-stroke disability (modified Rankin Scale, mRS, 0)</w:t>
      </w:r>
    </w:p>
    <w:p w14:paraId="67E94673" w14:textId="77777777" w:rsidR="00627091" w:rsidRDefault="007A0AEA">
      <w:pPr>
        <w:numPr>
          <w:ilvl w:val="1"/>
          <w:numId w:val="3"/>
        </w:numPr>
      </w:pPr>
      <w:r>
        <w:t>Not taking atrial fibrillation anticoagulants</w:t>
      </w:r>
    </w:p>
    <w:p w14:paraId="7B409273" w14:textId="0FCB5691" w:rsidR="00627091" w:rsidRDefault="007A0AEA">
      <w:pPr>
        <w:numPr>
          <w:ilvl w:val="1"/>
          <w:numId w:val="3"/>
        </w:numPr>
      </w:pPr>
      <w:r>
        <w:t xml:space="preserve">Onset-to-arrival time </w:t>
      </w:r>
      <w:r w:rsidR="00B04625">
        <w:t>&lt;</w:t>
      </w:r>
      <w:r>
        <w:t>90 minutes</w:t>
      </w:r>
    </w:p>
    <w:p w14:paraId="773F3C76" w14:textId="06C4A02B" w:rsidR="00627091" w:rsidRDefault="007A0AEA">
      <w:pPr>
        <w:numPr>
          <w:ilvl w:val="1"/>
          <w:numId w:val="3"/>
        </w:numPr>
      </w:pPr>
      <w:r>
        <w:t>Age</w:t>
      </w:r>
      <w:r w:rsidR="00B04625">
        <w:t>&lt;</w:t>
      </w:r>
      <w:r>
        <w:t xml:space="preserve"> 80 years old</w:t>
      </w:r>
    </w:p>
    <w:p w14:paraId="4FFF7047" w14:textId="77777777" w:rsidR="00627091" w:rsidRDefault="007A0AEA">
      <w:pPr>
        <w:numPr>
          <w:ilvl w:val="1"/>
          <w:numId w:val="3"/>
        </w:numPr>
      </w:pPr>
      <w:r>
        <w:t>Onset not during sleep</w:t>
      </w:r>
    </w:p>
    <w:p w14:paraId="158345E9" w14:textId="77777777" w:rsidR="00627091" w:rsidRDefault="007A0AEA">
      <w:pPr>
        <w:numPr>
          <w:ilvl w:val="0"/>
          <w:numId w:val="9"/>
        </w:numPr>
      </w:pPr>
      <w:proofErr w:type="spellStart"/>
      <w:r>
        <w:t>Haemorrhagic</w:t>
      </w:r>
      <w:proofErr w:type="spellEnd"/>
      <w:r>
        <w:t xml:space="preserve"> stroke</w:t>
      </w:r>
    </w:p>
    <w:p w14:paraId="681DC79F" w14:textId="77777777" w:rsidR="00627091" w:rsidRDefault="007A0AEA">
      <w:pPr>
        <w:numPr>
          <w:ilvl w:val="0"/>
          <w:numId w:val="10"/>
        </w:numPr>
      </w:pPr>
      <w:r>
        <w:t>Arrival-to-scan time 60-90 minutes</w:t>
      </w:r>
    </w:p>
    <w:p w14:paraId="597FFFA5" w14:textId="40413A88" w:rsidR="00627091" w:rsidRDefault="007A0AEA">
      <w:pPr>
        <w:numPr>
          <w:ilvl w:val="0"/>
          <w:numId w:val="11"/>
        </w:numPr>
      </w:pPr>
      <w:r>
        <w:t xml:space="preserve">NIHSS </w:t>
      </w:r>
      <w:r w:rsidR="00B04625">
        <w:t>&lt;</w:t>
      </w:r>
      <w:r>
        <w:t>5</w:t>
      </w:r>
    </w:p>
    <w:p w14:paraId="1E7F3177" w14:textId="77777777" w:rsidR="00627091" w:rsidRDefault="007A0AEA">
      <w:pPr>
        <w:numPr>
          <w:ilvl w:val="0"/>
          <w:numId w:val="12"/>
        </w:numPr>
      </w:pPr>
      <w:r>
        <w:t xml:space="preserve">Estimated stroke onset </w:t>
      </w:r>
      <w:proofErr w:type="gramStart"/>
      <w:r>
        <w:t>time</w:t>
      </w:r>
      <w:proofErr w:type="gramEnd"/>
    </w:p>
    <w:p w14:paraId="10995183" w14:textId="6401F07F" w:rsidR="00627091" w:rsidRDefault="007A0AEA">
      <w:pPr>
        <w:numPr>
          <w:ilvl w:val="0"/>
          <w:numId w:val="13"/>
        </w:numPr>
      </w:pPr>
      <w:r>
        <w:t xml:space="preserve">Existing pre-stroke disability (mRS </w:t>
      </w:r>
      <w:r w:rsidR="00B04625">
        <w:t>&gt;</w:t>
      </w:r>
      <w:r>
        <w:t>2)</w:t>
      </w:r>
    </w:p>
    <w:p w14:paraId="64D8D9AB" w14:textId="77777777" w:rsidR="00627091" w:rsidRDefault="007A0AEA">
      <w:pPr>
        <w:numPr>
          <w:ilvl w:val="0"/>
          <w:numId w:val="14"/>
        </w:numPr>
      </w:pPr>
      <w:r>
        <w:t>Using atrial fibrillation anticoagulants</w:t>
      </w:r>
    </w:p>
    <w:p w14:paraId="6E234F1C" w14:textId="77777777" w:rsidR="00627091" w:rsidRDefault="007A0AEA">
      <w:pPr>
        <w:numPr>
          <w:ilvl w:val="0"/>
          <w:numId w:val="15"/>
        </w:numPr>
      </w:pPr>
      <w:r>
        <w:t>Onset-to-arrival time 150-180 minutes</w:t>
      </w:r>
    </w:p>
    <w:p w14:paraId="5B9EC4C7" w14:textId="77777777" w:rsidR="00627091" w:rsidRDefault="007A0AEA">
      <w:pPr>
        <w:numPr>
          <w:ilvl w:val="0"/>
          <w:numId w:val="16"/>
        </w:numPr>
      </w:pPr>
      <w:r>
        <w:t>Age 80+ years old</w:t>
      </w:r>
    </w:p>
    <w:p w14:paraId="74EFFDCD" w14:textId="77777777" w:rsidR="00627091" w:rsidRDefault="007A0AEA">
      <w:pPr>
        <w:numPr>
          <w:ilvl w:val="0"/>
          <w:numId w:val="17"/>
        </w:numPr>
      </w:pPr>
      <w:r>
        <w:t>Onset during sleep</w:t>
      </w:r>
    </w:p>
    <w:p w14:paraId="35E896D0" w14:textId="39742815" w:rsidR="00627091" w:rsidRDefault="007A0AEA">
      <w:pPr>
        <w:numPr>
          <w:ilvl w:val="0"/>
          <w:numId w:val="18"/>
        </w:numPr>
      </w:pPr>
      <w:proofErr w:type="gramStart"/>
      <w:r>
        <w:t xml:space="preserve">NIHSS  </w:t>
      </w:r>
      <w:r w:rsidR="00B04625">
        <w:t>&lt;</w:t>
      </w:r>
      <w:proofErr w:type="gramEnd"/>
      <w:r>
        <w:t xml:space="preserve">5 </w:t>
      </w:r>
      <w:r>
        <w:rPr>
          <w:i/>
          <w:iCs/>
        </w:rPr>
        <w:t>a</w:t>
      </w:r>
      <w:r>
        <w:rPr>
          <w:i/>
          <w:iCs/>
        </w:rPr>
        <w:t>nd</w:t>
      </w:r>
      <w:r>
        <w:t xml:space="preserve"> with estimated stroke onset time</w:t>
      </w:r>
    </w:p>
    <w:p w14:paraId="36EE6E6C" w14:textId="77777777" w:rsidR="00627091" w:rsidRDefault="007A0AEA">
      <w:pPr>
        <w:pStyle w:val="FirstParagraph"/>
      </w:pPr>
      <w:r>
        <w:t xml:space="preserve">The observed thrombolysis </w:t>
      </w:r>
      <w:proofErr w:type="gramStart"/>
      <w:r>
        <w:t>use</w:t>
      </w:r>
      <w:proofErr w:type="gramEnd"/>
      <w:r>
        <w:t xml:space="preserve"> for each subgroup at each hospital was taken from the SSNAP dataset. </w:t>
      </w:r>
      <w:proofErr w:type="gramStart"/>
      <w:r>
        <w:t>In order to</w:t>
      </w:r>
      <w:proofErr w:type="gramEnd"/>
      <w:r>
        <w:t xml:space="preserve"> further reveal the variation in thrombolysis use that was due to hospital decision-making we predicted thromb</w:t>
      </w:r>
      <w:r>
        <w:t xml:space="preserve">olysis use for the same patient subgroups at each hospital by using the </w:t>
      </w:r>
      <w:r>
        <w:rPr>
          <w:i/>
          <w:iCs/>
        </w:rPr>
        <w:t>10k holdout</w:t>
      </w:r>
      <w:r>
        <w:t xml:space="preserve"> model.</w:t>
      </w:r>
    </w:p>
    <w:p w14:paraId="740EFC4C" w14:textId="77777777" w:rsidR="00627091" w:rsidRDefault="007A0AEA">
      <w:pPr>
        <w:pStyle w:val="Heading1"/>
      </w:pPr>
      <w:bookmarkStart w:id="11" w:name="methods"/>
      <w:bookmarkStart w:id="12" w:name="Xd4d7e63cd08853a36f5e3ac2652fce14bae2afa"/>
      <w:bookmarkEnd w:id="11"/>
      <w:bookmarkEnd w:id="12"/>
      <w:r>
        <w:t>Results</w:t>
      </w:r>
    </w:p>
    <w:p w14:paraId="7DF1F25B" w14:textId="77777777" w:rsidR="00627091" w:rsidRDefault="007A0AEA">
      <w:pPr>
        <w:pStyle w:val="Heading2"/>
      </w:pPr>
      <w:r>
        <w:t>Variation in observed hospital thrombolysis use</w:t>
      </w:r>
    </w:p>
    <w:p w14:paraId="45EB8BEA" w14:textId="77777777" w:rsidR="00627091" w:rsidRDefault="007A0AEA">
      <w:pPr>
        <w:pStyle w:val="FirstParagraph"/>
      </w:pPr>
      <w:r>
        <w:t>Thrombolysis use in the original data varied between hospitals from 1.5% to 24.3% of all patients, and 7.3% t</w:t>
      </w:r>
      <w:r>
        <w:t>o 49.7% of patients arriving within 4 hours of known (precise or estimated) stroke onset.</w:t>
      </w:r>
    </w:p>
    <w:p w14:paraId="78635769" w14:textId="77777777" w:rsidR="00627091" w:rsidRDefault="007A0AEA">
      <w:pPr>
        <w:pStyle w:val="Heading2"/>
      </w:pPr>
      <w:bookmarkStart w:id="13" w:name="X75f3fa5b66abbb69736ca6b39e97c522b0dfc1f"/>
      <w:bookmarkEnd w:id="13"/>
      <w:r>
        <w:lastRenderedPageBreak/>
        <w:t>Feature selection</w:t>
      </w:r>
    </w:p>
    <w:p w14:paraId="161D5B52" w14:textId="77777777" w:rsidR="00627091" w:rsidRDefault="007A0AEA">
      <w:pPr>
        <w:pStyle w:val="FirstParagraph"/>
      </w:pPr>
      <w:r>
        <w:t>A model using 10 features had an ROC AUC of 0.923, compared to 0.922 for a model using all available features. We selected 10 features for all subse</w:t>
      </w:r>
      <w:r>
        <w:t>quent work, which were (in order of selection):</w:t>
      </w:r>
    </w:p>
    <w:p w14:paraId="7F451C25" w14:textId="77777777" w:rsidR="00627091" w:rsidRDefault="007A0AEA">
      <w:pPr>
        <w:numPr>
          <w:ilvl w:val="0"/>
          <w:numId w:val="19"/>
        </w:numPr>
      </w:pPr>
      <w:r>
        <w:rPr>
          <w:i/>
          <w:iCs/>
        </w:rPr>
        <w:t>Arrival-to-scan time</w:t>
      </w:r>
      <w:r>
        <w:t xml:space="preserve"> (minutes)</w:t>
      </w:r>
    </w:p>
    <w:p w14:paraId="1955C2F6" w14:textId="77777777" w:rsidR="00627091" w:rsidRDefault="007A0AEA">
      <w:pPr>
        <w:numPr>
          <w:ilvl w:val="0"/>
          <w:numId w:val="20"/>
        </w:numPr>
      </w:pPr>
      <w:r>
        <w:rPr>
          <w:i/>
          <w:iCs/>
        </w:rPr>
        <w:t>Infarction</w:t>
      </w:r>
      <w:r>
        <w:t xml:space="preserve">: Stroke type (1 = infarction, 0 = </w:t>
      </w:r>
      <w:proofErr w:type="spellStart"/>
      <w:r>
        <w:t>haemorrhage</w:t>
      </w:r>
      <w:proofErr w:type="spellEnd"/>
      <w:r>
        <w:t>)</w:t>
      </w:r>
    </w:p>
    <w:p w14:paraId="0A25133D" w14:textId="77777777" w:rsidR="00627091" w:rsidRDefault="007A0AEA">
      <w:pPr>
        <w:numPr>
          <w:ilvl w:val="0"/>
          <w:numId w:val="21"/>
        </w:numPr>
      </w:pPr>
      <w:r>
        <w:rPr>
          <w:i/>
          <w:iCs/>
        </w:rPr>
        <w:t>Stroke severity</w:t>
      </w:r>
      <w:r>
        <w:t xml:space="preserve"> (NIHSS on arrival)</w:t>
      </w:r>
    </w:p>
    <w:p w14:paraId="4B5FC3A8" w14:textId="77777777" w:rsidR="00627091" w:rsidRDefault="007A0AEA">
      <w:pPr>
        <w:numPr>
          <w:ilvl w:val="0"/>
          <w:numId w:val="22"/>
        </w:numPr>
      </w:pPr>
      <w:r>
        <w:rPr>
          <w:i/>
          <w:iCs/>
        </w:rPr>
        <w:t>Precise onset time</w:t>
      </w:r>
      <w:r>
        <w:t xml:space="preserve"> (1 = precise, 0 = best estimate)</w:t>
      </w:r>
    </w:p>
    <w:p w14:paraId="33E1DC39" w14:textId="77777777" w:rsidR="00627091" w:rsidRDefault="007A0AEA">
      <w:pPr>
        <w:numPr>
          <w:ilvl w:val="0"/>
          <w:numId w:val="23"/>
        </w:numPr>
      </w:pPr>
      <w:r>
        <w:rPr>
          <w:i/>
          <w:iCs/>
        </w:rPr>
        <w:t>Prior disability level</w:t>
      </w:r>
      <w:r>
        <w:t xml:space="preserve"> (mRS before stroke)</w:t>
      </w:r>
    </w:p>
    <w:p w14:paraId="7ACA4887" w14:textId="77777777" w:rsidR="00627091" w:rsidRDefault="007A0AEA">
      <w:pPr>
        <w:numPr>
          <w:ilvl w:val="0"/>
          <w:numId w:val="24"/>
        </w:numPr>
      </w:pPr>
      <w:r>
        <w:rPr>
          <w:i/>
          <w:iCs/>
        </w:rPr>
        <w:t>Stroke team</w:t>
      </w:r>
    </w:p>
    <w:p w14:paraId="3D4D4A5F" w14:textId="77777777" w:rsidR="00627091" w:rsidRDefault="007A0AEA">
      <w:pPr>
        <w:numPr>
          <w:ilvl w:val="0"/>
          <w:numId w:val="25"/>
        </w:numPr>
      </w:pPr>
      <w:r>
        <w:rPr>
          <w:i/>
          <w:iCs/>
        </w:rPr>
        <w:t>Use of anticoagulants</w:t>
      </w:r>
      <w:r>
        <w:t xml:space="preserve"> (prior to stroke onset; 1 = Yes, 0 = No)</w:t>
      </w:r>
    </w:p>
    <w:p w14:paraId="592AE492" w14:textId="77777777" w:rsidR="00627091" w:rsidRDefault="007A0AEA">
      <w:pPr>
        <w:numPr>
          <w:ilvl w:val="0"/>
          <w:numId w:val="26"/>
        </w:numPr>
      </w:pPr>
      <w:r>
        <w:rPr>
          <w:i/>
          <w:iCs/>
        </w:rPr>
        <w:t>Onset-to-arrival time</w:t>
      </w:r>
      <w:r>
        <w:t xml:space="preserve"> (minutes)</w:t>
      </w:r>
    </w:p>
    <w:p w14:paraId="5D8F8882" w14:textId="77777777" w:rsidR="00627091" w:rsidRDefault="007A0AEA">
      <w:pPr>
        <w:numPr>
          <w:ilvl w:val="0"/>
          <w:numId w:val="27"/>
        </w:numPr>
      </w:pPr>
      <w:r>
        <w:rPr>
          <w:i/>
          <w:iCs/>
        </w:rPr>
        <w:t>Onset during sleep</w:t>
      </w:r>
      <w:r>
        <w:t xml:space="preserve"> (1 = Yes, 0 = No)</w:t>
      </w:r>
    </w:p>
    <w:p w14:paraId="6674CA67" w14:textId="77777777" w:rsidR="00627091" w:rsidRDefault="007A0AEA">
      <w:pPr>
        <w:numPr>
          <w:ilvl w:val="0"/>
          <w:numId w:val="28"/>
        </w:numPr>
      </w:pPr>
      <w:r>
        <w:rPr>
          <w:i/>
          <w:iCs/>
        </w:rPr>
        <w:t>Age</w:t>
      </w:r>
      <w:r>
        <w:t xml:space="preserve"> (midpoint of </w:t>
      </w:r>
      <w:proofErr w:type="gramStart"/>
      <w:r>
        <w:t>5 year</w:t>
      </w:r>
      <w:proofErr w:type="gramEnd"/>
      <w:r>
        <w:t xml:space="preserve"> age bands)</w:t>
      </w:r>
    </w:p>
    <w:p w14:paraId="2985AFD4" w14:textId="77777777" w:rsidR="00627091" w:rsidRDefault="007A0AEA">
      <w:pPr>
        <w:pStyle w:val="FirstParagraph"/>
      </w:pPr>
      <w:r>
        <w:t xml:space="preserve">Correlations between the 10 features were measured. All </w:t>
      </w:r>
      <w:r>
        <w:t>r-squared were less than 0.05 except a) age and prior disability level (r-squared 0.146), and b) onset during sleep and precise onset time (r-squared 0.078).</w:t>
      </w:r>
    </w:p>
    <w:p w14:paraId="08B72CC3" w14:textId="77777777" w:rsidR="00627091" w:rsidRDefault="007A0AEA">
      <w:pPr>
        <w:pStyle w:val="Heading3"/>
      </w:pPr>
      <w:r>
        <w:t>Model accuracy</w:t>
      </w:r>
    </w:p>
    <w:p w14:paraId="763CF906" w14:textId="77777777" w:rsidR="00627091" w:rsidRDefault="007A0AEA">
      <w:pPr>
        <w:pStyle w:val="FirstParagraph"/>
      </w:pPr>
      <w:r>
        <w:t>Model accuracy was measured using stratified 5-fold cross validation. Overall accur</w:t>
      </w:r>
      <w:r>
        <w:t>acy was 85.0% (83.9% sensitivity and specificity could be achieved simultaneously). The model predicted hospital thrombolysis use at each hospital with very good accuracy (r-squared = 0.977, with a mean absolute error of 1.1 percentage points). The appendi</w:t>
      </w:r>
      <w:r>
        <w:t>x contains further model accuracy analysis.</w:t>
      </w:r>
    </w:p>
    <w:p w14:paraId="1C2A4043" w14:textId="77777777" w:rsidR="00627091" w:rsidRDefault="007A0AEA">
      <w:pPr>
        <w:pStyle w:val="Heading2"/>
      </w:pPr>
      <w:bookmarkStart w:id="14" w:name="feature-selection-1"/>
      <w:bookmarkStart w:id="15" w:name="model-accuracy-1"/>
      <w:bookmarkEnd w:id="14"/>
      <w:bookmarkEnd w:id="15"/>
      <w:r>
        <w:t>Individual patient SHAP values</w:t>
      </w:r>
    </w:p>
    <w:p w14:paraId="1BEFFF2B" w14:textId="77777777" w:rsidR="00627091" w:rsidRDefault="007A0AEA">
      <w:pPr>
        <w:pStyle w:val="FirstParagraph"/>
      </w:pPr>
      <w:r>
        <w:t xml:space="preserve">SHAP values are calculated as how they affect log odds of receiving thrombolysis, but for individual predictions, probability values are more intuitive. Figure 1 shows </w:t>
      </w:r>
      <w:r>
        <w:rPr>
          <w:i/>
          <w:iCs/>
        </w:rPr>
        <w:t>waterfall</w:t>
      </w:r>
      <w:r>
        <w:t xml:space="preserve"> </w:t>
      </w:r>
      <w:proofErr w:type="gramStart"/>
      <w:r>
        <w:t>plo</w:t>
      </w:r>
      <w:r>
        <w:t>ts</w:t>
      </w:r>
      <w:proofErr w:type="gramEnd"/>
      <w:r>
        <w:t xml:space="preserve"> for example patients with low and high probability of receiving thrombolysis. Waterfall plots show the influence of features for an individual prediction (in our case, patient). The SHAP model starts with a base prediction of a 24% probability of receiv</w:t>
      </w:r>
      <w:r>
        <w:t xml:space="preserve">ing thrombolysis, before feature values are </w:t>
      </w:r>
      <w:proofErr w:type="gramStart"/>
      <w:r>
        <w:t>taken into account</w:t>
      </w:r>
      <w:proofErr w:type="gramEnd"/>
      <w:r>
        <w:t xml:space="preserve">. For the patient with a low probability of receiving thrombolysis, the two most influential features reducing the probability of thrombolysis were a long arrival-to-scan time (138 minutes) and </w:t>
      </w:r>
      <w:r>
        <w:t>a low stroke severity (NIHSS=2). For the patient with a high probability of receiving thrombolysis, the two most influential features increasing the probability of thrombolysis were a short arrival-to-scan time (17 minutes) and a moderate stroke severity (</w:t>
      </w:r>
      <w:r>
        <w:t>NIHSS=14).</w:t>
      </w:r>
    </w:p>
    <w:p w14:paraId="611CCA45" w14:textId="77777777" w:rsidR="00627091" w:rsidRDefault="007A0AEA">
      <w:pPr>
        <w:pStyle w:val="Heading2"/>
      </w:pPr>
      <w:bookmarkStart w:id="16" w:name="individual-patient-shap-values"/>
      <w:bookmarkEnd w:id="16"/>
      <w:r>
        <w:lastRenderedPageBreak/>
        <w:t xml:space="preserve">The relationship between feature values and the odds of receiving </w:t>
      </w:r>
      <w:proofErr w:type="gramStart"/>
      <w:r>
        <w:t>thrombolysis</w:t>
      </w:r>
      <w:proofErr w:type="gramEnd"/>
    </w:p>
    <w:p w14:paraId="28889501" w14:textId="77777777" w:rsidR="00627091" w:rsidRDefault="007A0AEA">
      <w:pPr>
        <w:pStyle w:val="FirstParagraph"/>
      </w:pPr>
      <w:r>
        <w:t>Figure 2 shows the relationship between patient level feature values and their SHAP values. Key observations are:</w:t>
      </w:r>
    </w:p>
    <w:p w14:paraId="1AC91C56" w14:textId="77777777" w:rsidR="00627091" w:rsidRDefault="007A0AEA">
      <w:pPr>
        <w:numPr>
          <w:ilvl w:val="0"/>
          <w:numId w:val="29"/>
        </w:numPr>
      </w:pPr>
      <w:r>
        <w:rPr>
          <w:i/>
          <w:iCs/>
        </w:rPr>
        <w:t>Stroke type</w:t>
      </w:r>
      <w:r>
        <w:t>: The SHAP values for stroke type show th</w:t>
      </w:r>
      <w:r>
        <w:t xml:space="preserve">at the model effectively eliminated any probability of receiving thrombolysis for </w:t>
      </w:r>
      <w:proofErr w:type="spellStart"/>
      <w:r>
        <w:t>haemorrhagic</w:t>
      </w:r>
      <w:proofErr w:type="spellEnd"/>
      <w:r>
        <w:t xml:space="preserve"> stroke.</w:t>
      </w:r>
    </w:p>
    <w:p w14:paraId="3050C1F8" w14:textId="77777777" w:rsidR="00627091" w:rsidRDefault="007A0AEA">
      <w:pPr>
        <w:numPr>
          <w:ilvl w:val="0"/>
          <w:numId w:val="30"/>
        </w:numPr>
      </w:pPr>
      <w:r>
        <w:rPr>
          <w:i/>
          <w:iCs/>
        </w:rPr>
        <w:t>Arrival-to-scan time</w:t>
      </w:r>
      <w:r>
        <w:t>: The odds of receiving thrombolysis reduced by 9-fold over the first 120 minutes of arrival-to-scan time.</w:t>
      </w:r>
    </w:p>
    <w:p w14:paraId="252E1FD0" w14:textId="77777777" w:rsidR="00627091" w:rsidRDefault="007A0AEA">
      <w:pPr>
        <w:numPr>
          <w:ilvl w:val="0"/>
          <w:numId w:val="31"/>
        </w:numPr>
      </w:pPr>
      <w:r>
        <w:rPr>
          <w:i/>
          <w:iCs/>
        </w:rPr>
        <w:t xml:space="preserve">Stroke severity </w:t>
      </w:r>
      <w:r>
        <w:rPr>
          <w:i/>
          <w:iCs/>
        </w:rPr>
        <w:t>(NIHSS)</w:t>
      </w:r>
      <w:r>
        <w:t>: The odds of receiving thrombolysis were lowest at NIHSS 0, increased and peaked at NIHSS 15-25, and then fell again with higher stroke severity (NIHSS above 25). The difference between minimum odds and maximum odds of receiving thrombolysis was 30</w:t>
      </w:r>
      <w:r>
        <w:t>-fold.</w:t>
      </w:r>
    </w:p>
    <w:p w14:paraId="7587246F" w14:textId="77777777" w:rsidR="00627091" w:rsidRDefault="007A0AEA">
      <w:pPr>
        <w:numPr>
          <w:ilvl w:val="0"/>
          <w:numId w:val="32"/>
        </w:numPr>
      </w:pPr>
      <w:r>
        <w:rPr>
          <w:i/>
          <w:iCs/>
        </w:rPr>
        <w:t>Stroke onset time type</w:t>
      </w:r>
      <w:r>
        <w:t>: The odds of receiving thrombolysis were 3-fold greater for precise onset time than estimated onset time.</w:t>
      </w:r>
    </w:p>
    <w:p w14:paraId="5C8DA72A" w14:textId="77777777" w:rsidR="00627091" w:rsidRDefault="007A0AEA">
      <w:pPr>
        <w:numPr>
          <w:ilvl w:val="0"/>
          <w:numId w:val="33"/>
        </w:numPr>
      </w:pPr>
      <w:r>
        <w:rPr>
          <w:i/>
          <w:iCs/>
        </w:rPr>
        <w:t>Disability level (mRS) before stroke</w:t>
      </w:r>
      <w:r>
        <w:t>: The odds of receiving thrombolysis fell 6-fold between mRS 0-5.</w:t>
      </w:r>
    </w:p>
    <w:p w14:paraId="4152E560" w14:textId="77777777" w:rsidR="00627091" w:rsidRDefault="007A0AEA">
      <w:pPr>
        <w:numPr>
          <w:ilvl w:val="0"/>
          <w:numId w:val="34"/>
        </w:numPr>
      </w:pPr>
      <w:r>
        <w:rPr>
          <w:i/>
          <w:iCs/>
        </w:rPr>
        <w:t xml:space="preserve">Use of AF </w:t>
      </w:r>
      <w:r>
        <w:rPr>
          <w:i/>
          <w:iCs/>
        </w:rPr>
        <w:t>anticoagulants</w:t>
      </w:r>
      <w:r>
        <w:t>: The odds of receiving thrombolysis were reduced 5-fold with anticoagulant use.</w:t>
      </w:r>
    </w:p>
    <w:p w14:paraId="24367C07" w14:textId="77777777" w:rsidR="00627091" w:rsidRDefault="007A0AEA">
      <w:pPr>
        <w:numPr>
          <w:ilvl w:val="0"/>
          <w:numId w:val="35"/>
        </w:numPr>
      </w:pPr>
      <w:r>
        <w:rPr>
          <w:i/>
          <w:iCs/>
        </w:rPr>
        <w:t>Onset-to-arrival time</w:t>
      </w:r>
      <w:r>
        <w:t>: The odds of receiving thrombolysis were similar below 120 minutes, then fell 3-fold between 120-240 minutes.</w:t>
      </w:r>
    </w:p>
    <w:p w14:paraId="5940DE73" w14:textId="77777777" w:rsidR="00627091" w:rsidRDefault="007A0AEA">
      <w:pPr>
        <w:numPr>
          <w:ilvl w:val="0"/>
          <w:numId w:val="36"/>
        </w:numPr>
      </w:pPr>
      <w:r>
        <w:rPr>
          <w:i/>
          <w:iCs/>
        </w:rPr>
        <w:t>Age</w:t>
      </w:r>
      <w:r>
        <w:t>: The odds of receiving th</w:t>
      </w:r>
      <w:r>
        <w:t>rombolysis were similar below 80 years old, then fell 2-fold between 80-110 years old.</w:t>
      </w:r>
    </w:p>
    <w:p w14:paraId="28A2CDAD" w14:textId="77777777" w:rsidR="00627091" w:rsidRDefault="007A0AEA">
      <w:pPr>
        <w:numPr>
          <w:ilvl w:val="0"/>
          <w:numId w:val="37"/>
        </w:numPr>
      </w:pPr>
      <w:r>
        <w:rPr>
          <w:i/>
          <w:iCs/>
        </w:rPr>
        <w:t>Onset during sleep</w:t>
      </w:r>
      <w:r>
        <w:t>: The odds of receiving thrombolysis were 4-fold lower for onset during sleep.</w:t>
      </w:r>
    </w:p>
    <w:p w14:paraId="08B92EE8" w14:textId="77777777" w:rsidR="00627091" w:rsidRDefault="007A0AEA">
      <w:pPr>
        <w:numPr>
          <w:ilvl w:val="0"/>
          <w:numId w:val="38"/>
        </w:numPr>
      </w:pPr>
      <w:r>
        <w:rPr>
          <w:i/>
          <w:iCs/>
        </w:rPr>
        <w:t>Hospital attended</w:t>
      </w:r>
      <w:r>
        <w:t>: There was a 13-fold difference in odds of receiving t</w:t>
      </w:r>
      <w:r>
        <w:t>hrombolysis between hospitals.</w:t>
      </w:r>
    </w:p>
    <w:p w14:paraId="43493194" w14:textId="77777777" w:rsidR="00627091" w:rsidRDefault="007A0AEA">
      <w:pPr>
        <w:pStyle w:val="Heading2"/>
      </w:pPr>
      <w:bookmarkStart w:id="17" w:name="Xd55496b37dced61097c16b15105dd93d0494355"/>
      <w:bookmarkEnd w:id="17"/>
      <w:r>
        <w:t>Investigating how the identity of a hospital influences thrombolysis rate</w:t>
      </w:r>
    </w:p>
    <w:p w14:paraId="69FFD68D" w14:textId="139FD452" w:rsidR="00627091" w:rsidRDefault="007A0AEA">
      <w:pPr>
        <w:pStyle w:val="FirstParagraph"/>
      </w:pPr>
      <w:r>
        <w:t>The mean hospital SHAP main effect value correlated with the observed hospital thrombolysis rate with an r-squared of 0.558 (figure 3, left), suggestin</w:t>
      </w:r>
      <w:r>
        <w:t>g that 56% (P=</w:t>
      </w:r>
      <w:r>
        <w:t xml:space="preserve">0.0001) of the between-hospital variance in thrombolysis use may be explained by the attended hospitals’ SHAP main effect values, </w:t>
      </w:r>
      <w:proofErr w:type="gramStart"/>
      <w:r>
        <w:t>i.e.</w:t>
      </w:r>
      <w:proofErr w:type="gramEnd"/>
      <w:r>
        <w:t xml:space="preserve"> the hospitals’ predisposition and/or preparedness to use thrombolysis.</w:t>
      </w:r>
    </w:p>
    <w:p w14:paraId="16D6CC9F" w14:textId="77777777" w:rsidR="00627091" w:rsidRDefault="007A0AEA">
      <w:pPr>
        <w:pStyle w:val="BodyText"/>
      </w:pPr>
      <w:r>
        <w:t xml:space="preserve">Using the </w:t>
      </w:r>
      <w:r>
        <w:rPr>
          <w:i/>
          <w:iCs/>
        </w:rPr>
        <w:t>10k holdout</w:t>
      </w:r>
      <w:r>
        <w:t xml:space="preserve"> model, the pred</w:t>
      </w:r>
      <w:r>
        <w:t>icted use of thrombolysis across the 132 hospitals for the identical 10k cohort of patients ranged from 10% to 45%. The mean hospital SHAP main effect value for the 10k cohort correlated very closely with the predicted thrombolysis use in the 10k cohort at</w:t>
      </w:r>
      <w:r>
        <w:t xml:space="preserve"> each hospital (r-squared of 0.971, figure 3, right), confirming that the hospital SHAP main effect value is providing direct insight into hospitals’ propensity to use thrombolysis.</w:t>
      </w:r>
    </w:p>
    <w:p w14:paraId="4974AABB" w14:textId="77777777" w:rsidR="00627091" w:rsidRDefault="007A0AEA">
      <w:pPr>
        <w:pStyle w:val="Heading2"/>
      </w:pPr>
      <w:bookmarkStart w:id="18" w:name="Xc1a2ae7dc8a13c8ae23ddbfa6f93fea837be030"/>
      <w:bookmarkEnd w:id="18"/>
      <w:r>
        <w:lastRenderedPageBreak/>
        <w:t xml:space="preserve">Investigating how patient populations and hospital identity and processes </w:t>
      </w:r>
      <w:r>
        <w:t>influences thrombolysis rate</w:t>
      </w:r>
    </w:p>
    <w:p w14:paraId="1BC69FE7" w14:textId="46BFB725" w:rsidR="00627091" w:rsidRDefault="007A0AEA">
      <w:pPr>
        <w:pStyle w:val="FirstParagraph"/>
      </w:pPr>
      <w:r>
        <w:t>We predicted thrombolysis use using mean subset SHAP values for patients attending each hospital. Figure 4 shows that 36% (P=</w:t>
      </w:r>
      <w:r>
        <w:t>0.0001) of the variance in observed between-hospital thrombolysis use can be explained by the patient p</w:t>
      </w:r>
      <w:r>
        <w:t>opulation, 74% (P=</w:t>
      </w:r>
      <w:r>
        <w:t>0.0001) can be explained by hospital identity and processes, and that 95% (P=</w:t>
      </w:r>
      <w:r>
        <w:t>0.0001) can be explained by the combined information from both the patient population and hospital identity and processes.</w:t>
      </w:r>
    </w:p>
    <w:p w14:paraId="2DF11DD6" w14:textId="77777777" w:rsidR="00627091" w:rsidRDefault="007A0AEA">
      <w:pPr>
        <w:pStyle w:val="Heading2"/>
      </w:pPr>
      <w:bookmarkStart w:id="19" w:name="X23f04ddb3f921d02b969d2165f00ca5a8f6247e"/>
      <w:bookmarkEnd w:id="19"/>
      <w:r>
        <w:t>Variation in hospital thrombolysis use f</w:t>
      </w:r>
      <w:r>
        <w:t xml:space="preserve">or patient </w:t>
      </w:r>
      <w:proofErr w:type="gramStart"/>
      <w:r>
        <w:t>subgroups</w:t>
      </w:r>
      <w:proofErr w:type="gramEnd"/>
    </w:p>
    <w:p w14:paraId="16126812" w14:textId="77777777" w:rsidR="00627091" w:rsidRDefault="007A0AEA">
      <w:pPr>
        <w:pStyle w:val="FirstParagraph"/>
      </w:pPr>
      <w:r>
        <w:t xml:space="preserve">Figure 5 shows observed and predicted use of thrombolysis, broken down by patient subgroup. The subgroups of patients with one defined non-ideal feature all had reduced thrombolysis use than the complete patient </w:t>
      </w:r>
      <w:proofErr w:type="gramStart"/>
      <w:r>
        <w:t>population, and</w:t>
      </w:r>
      <w:proofErr w:type="gramEnd"/>
      <w:r>
        <w:t xml:space="preserve"> combini</w:t>
      </w:r>
      <w:r>
        <w:t xml:space="preserve">ng these non-ideal features reduced thrombolysis use further. There was, however, significant variation between hospitals’ thrombolysis </w:t>
      </w:r>
      <w:proofErr w:type="gramStart"/>
      <w:r>
        <w:t>use</w:t>
      </w:r>
      <w:proofErr w:type="gramEnd"/>
      <w:r>
        <w:t xml:space="preserve"> in each of these subgroups. The observed and predicted thrombolysis use show the same general patterns.</w:t>
      </w:r>
    </w:p>
    <w:p w14:paraId="5B2F3F66" w14:textId="77777777" w:rsidR="00627091" w:rsidRDefault="007A0AEA">
      <w:pPr>
        <w:pStyle w:val="Heading1"/>
      </w:pPr>
      <w:bookmarkStart w:id="20" w:name="results"/>
      <w:bookmarkStart w:id="21" w:name="X6381367b1aad157de606852710f93412909d6ca"/>
      <w:bookmarkStart w:id="22" w:name="discussion"/>
      <w:bookmarkEnd w:id="20"/>
      <w:bookmarkEnd w:id="21"/>
      <w:r>
        <w:t>Discussion</w:t>
      </w:r>
    </w:p>
    <w:p w14:paraId="3EA0031F" w14:textId="77777777" w:rsidR="00627091" w:rsidRDefault="007A0AEA">
      <w:pPr>
        <w:pStyle w:val="FirstParagraph"/>
      </w:pPr>
      <w:r>
        <w:t>W</w:t>
      </w:r>
      <w:r>
        <w:t xml:space="preserve">e have built on our previous work to predict thrombolysis use from patient level data, by creating an </w:t>
      </w:r>
      <w:r>
        <w:rPr>
          <w:i/>
          <w:iCs/>
        </w:rPr>
        <w:t>explainable machine learning model</w:t>
      </w:r>
      <w:r>
        <w:t xml:space="preserve"> which maintains the high accuracy that we previously achieved (85%)</w:t>
      </w:r>
      <w:r>
        <w:rPr>
          <w:vertAlign w:val="superscript"/>
        </w:rPr>
        <w:t>14</w:t>
      </w:r>
      <w:r>
        <w:t>. Predicted thrombolysis use at each hospital also</w:t>
      </w:r>
      <w:r>
        <w:t xml:space="preserve"> very closely matched observed thrombolysis use. The SSNAP registry data used therefore appears to contain most of the information used to make thrombolysis decisions in clinical </w:t>
      </w:r>
      <w:proofErr w:type="gramStart"/>
      <w:r>
        <w:t>practice, and</w:t>
      </w:r>
      <w:proofErr w:type="gramEnd"/>
      <w:r>
        <w:t xml:space="preserve"> can explain the very large majority of between-hospital variati</w:t>
      </w:r>
      <w:r>
        <w:t>on in thrombolysis use.</w:t>
      </w:r>
    </w:p>
    <w:p w14:paraId="1BA498A7" w14:textId="77777777" w:rsidR="00627091" w:rsidRDefault="007A0AEA">
      <w:pPr>
        <w:pStyle w:val="BodyText"/>
      </w:pPr>
      <w:r>
        <w:t>In general, using SHAP values to uncover the relationship between patient characteristics and the probability of receiving thrombolysis, we found that the probability of receiving thrombolysis fell with increasing arrival-to-scan ti</w:t>
      </w:r>
      <w:r>
        <w:t>mes, was dependent on stroke severity with the probability of receiving thrombolysis being highest between NIHSS 10 and 25, was lower when onset time was estimated rather than known precisely, and fell with increasing disability prior to stroke. These patt</w:t>
      </w:r>
      <w:r>
        <w:t xml:space="preserve">erns are </w:t>
      </w:r>
      <w:proofErr w:type="gramStart"/>
      <w:r>
        <w:t>similar to</w:t>
      </w:r>
      <w:proofErr w:type="gramEnd"/>
      <w:r>
        <w:t xml:space="preserve"> the observations of a discrete choice experiment with hypothetical patients</w:t>
      </w:r>
      <w:r>
        <w:rPr>
          <w:vertAlign w:val="superscript"/>
        </w:rPr>
        <w:t>12</w:t>
      </w:r>
      <w:r>
        <w:t>, but in our study we confirm these patterns in actual use of thrombolysis, can be quantitative about the effect, and we add the importance of time-to-scan and</w:t>
      </w:r>
      <w:r>
        <w:t xml:space="preserve"> whether an onset time is known precisely.</w:t>
      </w:r>
    </w:p>
    <w:p w14:paraId="1480F0B9" w14:textId="77777777" w:rsidR="00627091" w:rsidRDefault="007A0AEA">
      <w:pPr>
        <w:pStyle w:val="BodyText"/>
      </w:pPr>
      <w:r>
        <w:t>Hospital SHAP values correlated very closely with the predicted use of thrombolysis in a 10k cohort of patients, confirming that the hospital SHAP main effect value provides a measure of the predisposition of a ho</w:t>
      </w:r>
      <w:r>
        <w:t>spital to use thrombolysis. We found that hospital identity and processes explained 74% of the variance in observed thrombolysis for patients arriving in time to receive thrombolysis.</w:t>
      </w:r>
    </w:p>
    <w:p w14:paraId="319FA992" w14:textId="77777777" w:rsidR="00627091" w:rsidRDefault="007A0AEA">
      <w:pPr>
        <w:pStyle w:val="BodyText"/>
      </w:pPr>
      <w:r>
        <w:t>After observing the general patterns that exist in the use of thrombolys</w:t>
      </w:r>
      <w:r>
        <w:t xml:space="preserve">is, we created a subgroup of patients reflecting what appeared to be an </w:t>
      </w:r>
      <w:r>
        <w:rPr>
          <w:i/>
          <w:iCs/>
        </w:rPr>
        <w:t>ideal</w:t>
      </w:r>
      <w:r>
        <w:t xml:space="preserve"> candidate for thrombolysis, </w:t>
      </w:r>
      <w:proofErr w:type="gramStart"/>
      <w:r>
        <w:t>and also</w:t>
      </w:r>
      <w:proofErr w:type="gramEnd"/>
      <w:r>
        <w:t xml:space="preserve"> a subgroup per feature where we expected to see lower use of thrombolysis. Observed thrombolysis </w:t>
      </w:r>
      <w:r>
        <w:lastRenderedPageBreak/>
        <w:t>in these groups reflected the patterns ident</w:t>
      </w:r>
      <w:r>
        <w:t xml:space="preserve">ified by the SHAP analysis. For the </w:t>
      </w:r>
      <w:r>
        <w:rPr>
          <w:i/>
          <w:iCs/>
        </w:rPr>
        <w:t>ideal</w:t>
      </w:r>
      <w:r>
        <w:t xml:space="preserve"> candidates of thrombolysis, half of stroke units would give thrombolysis to at least 90% of these patients, but some units gave it to significantly fewer patients. Use of thrombolysis in the other subgroups of pati</w:t>
      </w:r>
      <w:r>
        <w:t>ents was, as expected, lower, but use also varied significantly between hospitals. Hospitals have different levels of tolerance for non-ideal patient characteristics. These patterns, of lower but varying use, were repeated with expected use of thrombolysis</w:t>
      </w:r>
      <w:r>
        <w:t xml:space="preserve"> in the same 10k patient cohort of patients.</w:t>
      </w:r>
    </w:p>
    <w:p w14:paraId="55392100" w14:textId="77777777" w:rsidR="00627091" w:rsidRDefault="007A0AEA">
      <w:pPr>
        <w:pStyle w:val="BodyText"/>
      </w:pPr>
      <w:r>
        <w:t>This novel analysis examines and aids understanding of between-hospital variation in clinical decision making in the acute stroke setting. The use of large datasets such as SSNAP to understand sources of variati</w:t>
      </w:r>
      <w:r>
        <w:t xml:space="preserve">on in clinical practice between large number of acute stroke </w:t>
      </w:r>
      <w:proofErr w:type="spellStart"/>
      <w:r>
        <w:t>centres</w:t>
      </w:r>
      <w:proofErr w:type="spellEnd"/>
      <w:r>
        <w:t xml:space="preserve"> across the UK presents a unique opportunity to understand the specific influences behind the significant residual between-hospital variation in thrombolysis use. </w:t>
      </w:r>
      <w:proofErr w:type="gramStart"/>
      <w:r>
        <w:t>In particular, it</w:t>
      </w:r>
      <w:proofErr w:type="gramEnd"/>
      <w:r>
        <w:t xml:space="preserve"> allows </w:t>
      </w:r>
      <w:r>
        <w:t>national quality improvement projects such as SSNAP to counter one of the most common objections raised to comparative audit: that the patients presenting to any one particular site are in some way unique, thereby accounting for most of the variation in cl</w:t>
      </w:r>
      <w:r>
        <w:t xml:space="preserve">inical quality between that site and all the others. Although the patient population does vary between </w:t>
      </w:r>
      <w:proofErr w:type="gramStart"/>
      <w:r>
        <w:t>hospitals, and</w:t>
      </w:r>
      <w:proofErr w:type="gramEnd"/>
      <w:r>
        <w:t xml:space="preserve"> will contribute to the thrombolysis use achievable by an individual hospital, the majority of between-hospital variation can be explained </w:t>
      </w:r>
      <w:r>
        <w:t>by hospital-level rather than patient-level factors.</w:t>
      </w:r>
    </w:p>
    <w:p w14:paraId="0BB3EA79" w14:textId="77777777" w:rsidR="00627091" w:rsidRDefault="007A0AEA">
      <w:pPr>
        <w:pStyle w:val="BodyText"/>
      </w:pPr>
      <w:r>
        <w:t>It is disappointing that even though this disability-saving treatment was first licensed for approval for use over 20 years ago, it is still subject to such large variation in clinical judgement or opini</w:t>
      </w:r>
      <w:r>
        <w:t>on regarding the selection of patients most appropriate for use. In our previous work</w:t>
      </w:r>
      <w:r>
        <w:rPr>
          <w:vertAlign w:val="superscript"/>
        </w:rPr>
        <w:t>13</w:t>
      </w:r>
      <w:r>
        <w:t xml:space="preserve">, we have shown that increasing the uptake of thrombolysis through the administration of treatment to more patients and sooner after stroke, offers the prospect of more </w:t>
      </w:r>
      <w:r>
        <w:t xml:space="preserve">than doubling the proportion of patients after stroke who are left with little or no disability (mRS 0 or 1). At a time when there is an appropriate focus of effort on expanding the use of endovascular therapy in acute </w:t>
      </w:r>
      <w:proofErr w:type="spellStart"/>
      <w:r>
        <w:t>ischaemic</w:t>
      </w:r>
      <w:proofErr w:type="spellEnd"/>
      <w:r>
        <w:t xml:space="preserve"> stroke, it is sobering to c</w:t>
      </w:r>
      <w:r>
        <w:t xml:space="preserve">onsider how much population benefit there </w:t>
      </w:r>
      <w:proofErr w:type="gramStart"/>
      <w:r>
        <w:t>still remains</w:t>
      </w:r>
      <w:proofErr w:type="gramEnd"/>
      <w:r>
        <w:t xml:space="preserve"> to accrue from the fullest possible implementation of a cheaper technology that has been available for over 20 years. Far greater scrutiny of such residual variation in clinical practice is clearly wa</w:t>
      </w:r>
      <w:r>
        <w:t xml:space="preserve">rranted, given the extent to which it appears to be acting as a barrier to successful implementation. Recent studies have highlighted that clinicians can be reluctant to modify their </w:t>
      </w:r>
      <w:proofErr w:type="spellStart"/>
      <w:r>
        <w:t>behaviour</w:t>
      </w:r>
      <w:proofErr w:type="spellEnd"/>
      <w:r>
        <w:t xml:space="preserve"> in response to audit and feedback when it is not seen to be cli</w:t>
      </w:r>
      <w:r>
        <w:t>nically meaningful, recent or reliable</w:t>
      </w:r>
      <w:r>
        <w:rPr>
          <w:vertAlign w:val="superscript"/>
        </w:rPr>
        <w:t>17</w:t>
      </w:r>
      <w:r>
        <w:t>, so the full potential of audit and feedback is not realised</w:t>
      </w:r>
      <w:r>
        <w:rPr>
          <w:vertAlign w:val="superscript"/>
        </w:rPr>
        <w:t>18</w:t>
      </w:r>
      <w:r>
        <w:t xml:space="preserve"> despite the evidence of a beneficial effect especially when baseline performance is low</w:t>
      </w:r>
      <w:r>
        <w:rPr>
          <w:vertAlign w:val="superscript"/>
        </w:rPr>
        <w:t>19</w:t>
      </w:r>
      <w:r>
        <w:t xml:space="preserve">. The development of bespoke, </w:t>
      </w:r>
      <w:proofErr w:type="spellStart"/>
      <w:r>
        <w:t>individualised</w:t>
      </w:r>
      <w:proofErr w:type="spellEnd"/>
      <w:r>
        <w:t xml:space="preserve"> feedback (at least</w:t>
      </w:r>
      <w:r>
        <w:t xml:space="preserve"> at hospital level) based on actual and recent activity may increase the impact of efforts at data-driven quality improvement targeted at increasing overall uptake of thrombolysis through reducing variation.</w:t>
      </w:r>
    </w:p>
    <w:p w14:paraId="1036E5E6" w14:textId="77777777" w:rsidR="00627091" w:rsidRDefault="007A0AEA">
      <w:pPr>
        <w:pStyle w:val="Heading2"/>
      </w:pPr>
      <w:r>
        <w:t>Limitations</w:t>
      </w:r>
    </w:p>
    <w:p w14:paraId="251E560A" w14:textId="77777777" w:rsidR="00627091" w:rsidRDefault="007A0AEA">
      <w:pPr>
        <w:pStyle w:val="FirstParagraph"/>
      </w:pPr>
      <w:r>
        <w:t>This machine learning study is neces</w:t>
      </w:r>
      <w:r>
        <w:t>sarily limited to data collected for the national stroke audit. Though we have high accuracy, and can identify clear patterns of use of thrombolysis, the data will not be sufficient to provide a decision-support tool or to review decision-making at an indi</w:t>
      </w:r>
      <w:r>
        <w:t xml:space="preserve">vidual patient level. Nor is it a causal model. We may also be missing information that could otherwise have improved the accuracy still further. The model has high accuracy and can identify clear patterns, suggesting the capability to identify and </w:t>
      </w:r>
      <w:proofErr w:type="spellStart"/>
      <w:r>
        <w:t>charact</w:t>
      </w:r>
      <w:r>
        <w:t>erise</w:t>
      </w:r>
      <w:proofErr w:type="spellEnd"/>
      <w:r>
        <w:t xml:space="preserve"> a </w:t>
      </w:r>
      <w:proofErr w:type="spellStart"/>
      <w:r>
        <w:t>centre’s</w:t>
      </w:r>
      <w:proofErr w:type="spellEnd"/>
      <w:r>
        <w:t xml:space="preserve"> culture in the use of </w:t>
      </w:r>
      <w:r>
        <w:lastRenderedPageBreak/>
        <w:t>thrombolysis, but we do not identify variation in thrombolysis between individual clinicians in the same hospital.</w:t>
      </w:r>
    </w:p>
    <w:p w14:paraId="17D77AED" w14:textId="77777777" w:rsidR="00627091" w:rsidRDefault="007A0AEA">
      <w:pPr>
        <w:pStyle w:val="BodyText"/>
      </w:pPr>
      <w:r>
        <w:t xml:space="preserve">We acknowledge that not all countries have a national stroke audit dataset, however we hope that this </w:t>
      </w:r>
      <w:r>
        <w:t>paper helps to demonstrate what type of analysis can be done should resources be allocated to collect their national data.</w:t>
      </w:r>
    </w:p>
    <w:p w14:paraId="40939FE7" w14:textId="77777777" w:rsidR="00627091" w:rsidRDefault="007A0AEA">
      <w:pPr>
        <w:pStyle w:val="Heading2"/>
      </w:pPr>
      <w:bookmarkStart w:id="23" w:name="limitations"/>
      <w:bookmarkStart w:id="24" w:name="refs"/>
      <w:bookmarkStart w:id="25" w:name="X570b387210fe5a38f18deb3c8ce27a10fa2b317"/>
      <w:bookmarkEnd w:id="23"/>
      <w:r>
        <w:t>References</w:t>
      </w:r>
    </w:p>
    <w:p w14:paraId="7A6A3788" w14:textId="77777777" w:rsidR="00627091" w:rsidRDefault="007A0AEA">
      <w:pPr>
        <w:pStyle w:val="BodyText"/>
      </w:pPr>
      <w:r>
        <w:t xml:space="preserve">1. </w:t>
      </w:r>
      <w:r>
        <w:tab/>
      </w:r>
      <w:proofErr w:type="spellStart"/>
      <w:r>
        <w:t>Feigin</w:t>
      </w:r>
      <w:proofErr w:type="spellEnd"/>
      <w:r>
        <w:t xml:space="preserve">, V. L. </w:t>
      </w:r>
      <w:r>
        <w:rPr>
          <w:i/>
          <w:iCs/>
        </w:rPr>
        <w:t>et al.</w:t>
      </w:r>
      <w:r>
        <w:t xml:space="preserve"> </w:t>
      </w:r>
      <w:hyperlink r:id="rId5">
        <w:r>
          <w:rPr>
            <w:rStyle w:val="Hyperlink"/>
          </w:rPr>
          <w:t>Global, regional, and national bur</w:t>
        </w:r>
        <w:r>
          <w:rPr>
            <w:rStyle w:val="Hyperlink"/>
          </w:rPr>
          <w:t>den of stroke and its risk factors, 1990–2019: A systematic analysis for the Global Burden of Disease Study 2019</w:t>
        </w:r>
      </w:hyperlink>
      <w:r>
        <w:t xml:space="preserve">. </w:t>
      </w:r>
      <w:r>
        <w:rPr>
          <w:i/>
          <w:iCs/>
        </w:rPr>
        <w:t>The Lancet Neurology</w:t>
      </w:r>
      <w:r>
        <w:t xml:space="preserve"> </w:t>
      </w:r>
      <w:r>
        <w:rPr>
          <w:b/>
          <w:bCs/>
        </w:rPr>
        <w:t>20</w:t>
      </w:r>
      <w:r>
        <w:t>, 795–820 (2021).</w:t>
      </w:r>
    </w:p>
    <w:p w14:paraId="57E15BB5" w14:textId="77777777" w:rsidR="00627091" w:rsidRDefault="007A0AEA">
      <w:pPr>
        <w:pStyle w:val="BodyText"/>
      </w:pPr>
      <w:bookmarkStart w:id="26" w:name="ref-feigin_global_2021"/>
      <w:bookmarkEnd w:id="26"/>
      <w:r>
        <w:t xml:space="preserve">2. </w:t>
      </w:r>
      <w:r>
        <w:tab/>
      </w:r>
      <w:proofErr w:type="spellStart"/>
      <w:r>
        <w:t>Luengo</w:t>
      </w:r>
      <w:proofErr w:type="spellEnd"/>
      <w:r>
        <w:t xml:space="preserve">-Fernandez, R., </w:t>
      </w:r>
      <w:proofErr w:type="spellStart"/>
      <w:r>
        <w:t>Violato</w:t>
      </w:r>
      <w:proofErr w:type="spellEnd"/>
      <w:r>
        <w:t xml:space="preserve">, M., </w:t>
      </w:r>
      <w:proofErr w:type="spellStart"/>
      <w:r>
        <w:t>Candio</w:t>
      </w:r>
      <w:proofErr w:type="spellEnd"/>
      <w:r>
        <w:t xml:space="preserve">, P. &amp; Leal, J. </w:t>
      </w:r>
      <w:hyperlink r:id="rId6">
        <w:r>
          <w:rPr>
            <w:rStyle w:val="Hyperlink"/>
          </w:rPr>
          <w:t>Economic burden of stroke across Europe: A population-based cost analysis</w:t>
        </w:r>
      </w:hyperlink>
      <w:r>
        <w:t xml:space="preserve">. </w:t>
      </w:r>
      <w:r>
        <w:rPr>
          <w:i/>
          <w:iCs/>
        </w:rPr>
        <w:t>European Stroke Journal</w:t>
      </w:r>
      <w:r>
        <w:t xml:space="preserve"> </w:t>
      </w:r>
      <w:r>
        <w:rPr>
          <w:b/>
          <w:bCs/>
        </w:rPr>
        <w:t>5</w:t>
      </w:r>
      <w:r>
        <w:t>, 17–2</w:t>
      </w:r>
      <w:r>
        <w:t>5 (2020).</w:t>
      </w:r>
    </w:p>
    <w:p w14:paraId="7B881FF8" w14:textId="77777777" w:rsidR="00627091" w:rsidRDefault="007A0AEA">
      <w:pPr>
        <w:pStyle w:val="BodyText"/>
      </w:pPr>
      <w:bookmarkStart w:id="27" w:name="ref-luengo-fernandez_economic_2020"/>
      <w:bookmarkEnd w:id="27"/>
      <w:r>
        <w:t xml:space="preserve">3. </w:t>
      </w:r>
      <w:r>
        <w:tab/>
        <w:t xml:space="preserve">Emberson, J. </w:t>
      </w:r>
      <w:r>
        <w:rPr>
          <w:i/>
          <w:iCs/>
        </w:rPr>
        <w:t>et al.</w:t>
      </w:r>
      <w:r>
        <w:t xml:space="preserve"> </w:t>
      </w:r>
      <w:hyperlink r:id="rId7">
        <w:r>
          <w:rPr>
            <w:rStyle w:val="Hyperlink"/>
          </w:rPr>
          <w:t xml:space="preserve">Effect of treatment delay, age, and stroke severity on the effects of intravenous thrombolysis with alteplase for acute </w:t>
        </w:r>
        <w:proofErr w:type="spellStart"/>
        <w:r>
          <w:rPr>
            <w:rStyle w:val="Hyperlink"/>
          </w:rPr>
          <w:t>ischaemic</w:t>
        </w:r>
        <w:proofErr w:type="spellEnd"/>
        <w:r>
          <w:rPr>
            <w:rStyle w:val="Hyperlink"/>
          </w:rPr>
          <w:t xml:space="preserve"> stroke: A </w:t>
        </w:r>
        <w:r>
          <w:rPr>
            <w:rStyle w:val="Hyperlink"/>
          </w:rPr>
          <w:t xml:space="preserve">meta-analysis of individual patient data from </w:t>
        </w:r>
        <w:proofErr w:type="spellStart"/>
        <w:r>
          <w:rPr>
            <w:rStyle w:val="Hyperlink"/>
          </w:rPr>
          <w:t>randomised</w:t>
        </w:r>
        <w:proofErr w:type="spellEnd"/>
        <w:r>
          <w:rPr>
            <w:rStyle w:val="Hyperlink"/>
          </w:rPr>
          <w:t xml:space="preserve"> trials</w:t>
        </w:r>
      </w:hyperlink>
      <w:r>
        <w:t xml:space="preserve">. </w:t>
      </w:r>
      <w:r>
        <w:rPr>
          <w:i/>
          <w:iCs/>
        </w:rPr>
        <w:t>The Lancet</w:t>
      </w:r>
      <w:r>
        <w:t xml:space="preserve"> </w:t>
      </w:r>
      <w:r>
        <w:rPr>
          <w:b/>
          <w:bCs/>
        </w:rPr>
        <w:t>384</w:t>
      </w:r>
      <w:r>
        <w:t>, 1929–1935 (2014).</w:t>
      </w:r>
    </w:p>
    <w:p w14:paraId="303F588B" w14:textId="77777777" w:rsidR="00627091" w:rsidRDefault="007A0AEA">
      <w:pPr>
        <w:pStyle w:val="BodyText"/>
      </w:pPr>
      <w:bookmarkStart w:id="28" w:name="ref-emberson_effect_2014"/>
      <w:bookmarkEnd w:id="28"/>
      <w:r>
        <w:t xml:space="preserve">4. </w:t>
      </w:r>
      <w:r>
        <w:tab/>
        <w:t xml:space="preserve">Aguiar de Sousa, D. </w:t>
      </w:r>
      <w:r>
        <w:rPr>
          <w:i/>
          <w:iCs/>
        </w:rPr>
        <w:t>et al.</w:t>
      </w:r>
      <w:r>
        <w:t xml:space="preserve"> </w:t>
      </w:r>
      <w:hyperlink r:id="rId8">
        <w:r>
          <w:rPr>
            <w:rStyle w:val="Hyperlink"/>
          </w:rPr>
          <w:t xml:space="preserve">Access to and delivery of acute </w:t>
        </w:r>
        <w:proofErr w:type="spellStart"/>
        <w:r>
          <w:rPr>
            <w:rStyle w:val="Hyperlink"/>
          </w:rPr>
          <w:t>ischaemic</w:t>
        </w:r>
        <w:proofErr w:type="spellEnd"/>
        <w:r>
          <w:rPr>
            <w:rStyle w:val="Hyperlink"/>
          </w:rPr>
          <w:t xml:space="preserve"> stroke treatments: A survey of national scientific societies and stroke experts in 44 European countries</w:t>
        </w:r>
      </w:hyperlink>
      <w:r>
        <w:t xml:space="preserve">. </w:t>
      </w:r>
      <w:r>
        <w:rPr>
          <w:i/>
          <w:iCs/>
        </w:rPr>
        <w:t>European Stroke Journal</w:t>
      </w:r>
      <w:r>
        <w:t xml:space="preserve"> </w:t>
      </w:r>
      <w:r>
        <w:rPr>
          <w:b/>
          <w:bCs/>
        </w:rPr>
        <w:t>4</w:t>
      </w:r>
      <w:r>
        <w:t>, 13–28 (2019).</w:t>
      </w:r>
    </w:p>
    <w:p w14:paraId="09349242" w14:textId="77777777" w:rsidR="00627091" w:rsidRDefault="007A0AEA">
      <w:pPr>
        <w:pStyle w:val="BodyText"/>
      </w:pPr>
      <w:bookmarkStart w:id="29" w:name="ref-aguiar_de_sousa_access_2019"/>
      <w:bookmarkEnd w:id="29"/>
      <w:r>
        <w:t xml:space="preserve">5. </w:t>
      </w:r>
      <w:r>
        <w:tab/>
        <w:t xml:space="preserve">Sentinel National Stroke Audit </w:t>
      </w:r>
      <w:proofErr w:type="spellStart"/>
      <w:r>
        <w:t>Programme</w:t>
      </w:r>
      <w:proofErr w:type="spellEnd"/>
      <w:r>
        <w:t>. SSNAP Annual Resul</w:t>
      </w:r>
      <w:r>
        <w:t>ts Portfolio (April 2021 to March 2022). (2022).</w:t>
      </w:r>
    </w:p>
    <w:p w14:paraId="40DBA593" w14:textId="77777777" w:rsidR="00627091" w:rsidRDefault="007A0AEA">
      <w:pPr>
        <w:pStyle w:val="BodyText"/>
      </w:pPr>
      <w:bookmarkStart w:id="30" w:name="X6c3c278853c39baf93ed7ce03121ab1440e4c86"/>
      <w:bookmarkEnd w:id="30"/>
      <w:r>
        <w:t xml:space="preserve">6. </w:t>
      </w:r>
      <w:r>
        <w:tab/>
        <w:t>NHS England. NHS long term plan. (2019).</w:t>
      </w:r>
    </w:p>
    <w:p w14:paraId="456BC9B3" w14:textId="77777777" w:rsidR="00627091" w:rsidRDefault="007A0AEA">
      <w:pPr>
        <w:pStyle w:val="BodyText"/>
      </w:pPr>
      <w:bookmarkStart w:id="31" w:name="ref-nhs_long_term_plan_2019"/>
      <w:bookmarkEnd w:id="31"/>
      <w:r>
        <w:t xml:space="preserve">7. </w:t>
      </w:r>
      <w:r>
        <w:tab/>
        <w:t xml:space="preserve">Carter-Jones, C. R. </w:t>
      </w:r>
      <w:hyperlink r:id="rId9">
        <w:r>
          <w:rPr>
            <w:rStyle w:val="Hyperlink"/>
          </w:rPr>
          <w:t>Stroke thrombolysis: Barriers to implementation</w:t>
        </w:r>
      </w:hyperlink>
      <w:r>
        <w:t xml:space="preserve">. </w:t>
      </w:r>
      <w:r>
        <w:rPr>
          <w:i/>
          <w:iCs/>
        </w:rPr>
        <w:t>International Emergency Nursing</w:t>
      </w:r>
      <w:r>
        <w:t xml:space="preserve"> </w:t>
      </w:r>
      <w:r>
        <w:rPr>
          <w:b/>
          <w:bCs/>
        </w:rPr>
        <w:t>19</w:t>
      </w:r>
      <w:r>
        <w:t>, 53–57 (2011).</w:t>
      </w:r>
    </w:p>
    <w:p w14:paraId="5325B4F0" w14:textId="77777777" w:rsidR="00627091" w:rsidRDefault="007A0AEA">
      <w:pPr>
        <w:pStyle w:val="BodyText"/>
      </w:pPr>
      <w:bookmarkStart w:id="32" w:name="ref-carter-jones_stroke_2011"/>
      <w:bookmarkEnd w:id="32"/>
      <w:r>
        <w:t xml:space="preserve">8. </w:t>
      </w:r>
      <w:r>
        <w:tab/>
        <w:t xml:space="preserve">Kamal, N. </w:t>
      </w:r>
      <w:r>
        <w:rPr>
          <w:i/>
          <w:iCs/>
        </w:rPr>
        <w:t>et al.</w:t>
      </w:r>
      <w:r>
        <w:t xml:space="preserve"> </w:t>
      </w:r>
      <w:hyperlink r:id="rId10">
        <w:r>
          <w:rPr>
            <w:rStyle w:val="Hyperlink"/>
          </w:rPr>
          <w:t>Delays in Door-to-Needle Times and Their Impact on Treatment Time and Outcomes in Get with the Guidelines</w:t>
        </w:r>
      </w:hyperlink>
      <w:r>
        <w:t xml:space="preserve">. </w:t>
      </w:r>
      <w:r>
        <w:rPr>
          <w:i/>
          <w:iCs/>
        </w:rPr>
        <w:t>Stroke</w:t>
      </w:r>
      <w:r>
        <w:t xml:space="preserve"> </w:t>
      </w:r>
      <w:r>
        <w:rPr>
          <w:b/>
          <w:bCs/>
        </w:rPr>
        <w:t>48</w:t>
      </w:r>
      <w:r>
        <w:t>, 946–954 (2017).</w:t>
      </w:r>
    </w:p>
    <w:p w14:paraId="689B3E04" w14:textId="77777777" w:rsidR="00627091" w:rsidRDefault="007A0AEA">
      <w:pPr>
        <w:pStyle w:val="BodyText"/>
      </w:pPr>
      <w:bookmarkStart w:id="33" w:name="ref-kamal_delays_2017"/>
      <w:bookmarkEnd w:id="33"/>
      <w:r>
        <w:t xml:space="preserve">9. </w:t>
      </w:r>
      <w:r>
        <w:tab/>
        <w:t xml:space="preserve">Lahr, M. M. H., </w:t>
      </w:r>
      <w:proofErr w:type="spellStart"/>
      <w:r>
        <w:t>Luijckx</w:t>
      </w:r>
      <w:proofErr w:type="spellEnd"/>
      <w:r>
        <w:t xml:space="preserve">, G.-J., </w:t>
      </w:r>
      <w:proofErr w:type="spellStart"/>
      <w:r>
        <w:t>Vroomen</w:t>
      </w:r>
      <w:proofErr w:type="spellEnd"/>
      <w:r>
        <w:t xml:space="preserve">, P. C. A. J., Zee, D.-J. van der &amp; </w:t>
      </w:r>
      <w:proofErr w:type="spellStart"/>
      <w:r>
        <w:t>Buskens</w:t>
      </w:r>
      <w:proofErr w:type="spellEnd"/>
      <w:r>
        <w:t xml:space="preserve">, E. </w:t>
      </w:r>
      <w:hyperlink r:id="rId11">
        <w:r>
          <w:rPr>
            <w:rStyle w:val="Hyperlink"/>
          </w:rPr>
          <w:t xml:space="preserve">Proportion of patients treated with </w:t>
        </w:r>
        <w:r>
          <w:rPr>
            <w:rStyle w:val="Hyperlink"/>
          </w:rPr>
          <w:t>thrombolysis in a centralized versus a decentralized acute stroke care setting</w:t>
        </w:r>
      </w:hyperlink>
      <w:r>
        <w:t xml:space="preserve">. </w:t>
      </w:r>
      <w:r>
        <w:rPr>
          <w:i/>
          <w:iCs/>
        </w:rPr>
        <w:t>Stroke</w:t>
      </w:r>
      <w:r>
        <w:t xml:space="preserve"> </w:t>
      </w:r>
      <w:r>
        <w:rPr>
          <w:b/>
          <w:bCs/>
        </w:rPr>
        <w:t>43</w:t>
      </w:r>
      <w:r>
        <w:t>, 1336–1340 (2012).</w:t>
      </w:r>
    </w:p>
    <w:p w14:paraId="26A70FB3" w14:textId="77777777" w:rsidR="00627091" w:rsidRDefault="007A0AEA">
      <w:pPr>
        <w:pStyle w:val="BodyText"/>
      </w:pPr>
      <w:bookmarkStart w:id="34" w:name="ref-lahr_proportion_2012"/>
      <w:bookmarkEnd w:id="34"/>
      <w:r>
        <w:t xml:space="preserve">10. </w:t>
      </w:r>
      <w:r>
        <w:tab/>
        <w:t xml:space="preserve">Morris, S. </w:t>
      </w:r>
      <w:r>
        <w:rPr>
          <w:i/>
          <w:iCs/>
        </w:rPr>
        <w:t>et al.</w:t>
      </w:r>
      <w:r>
        <w:t xml:space="preserve"> </w:t>
      </w:r>
      <w:hyperlink r:id="rId12">
        <w:r>
          <w:rPr>
            <w:rStyle w:val="Hyperlink"/>
          </w:rPr>
          <w:t xml:space="preserve">Impact of </w:t>
        </w:r>
        <w:proofErr w:type="spellStart"/>
        <w:r>
          <w:rPr>
            <w:rStyle w:val="Hyperlink"/>
          </w:rPr>
          <w:t>centralising</w:t>
        </w:r>
        <w:proofErr w:type="spellEnd"/>
        <w:r>
          <w:rPr>
            <w:rStyle w:val="Hyperlink"/>
          </w:rPr>
          <w:t xml:space="preserve"> acute stroke se</w:t>
        </w:r>
        <w:r>
          <w:rPr>
            <w:rStyle w:val="Hyperlink"/>
          </w:rPr>
          <w:t>rvices in English metropolitan areas on mortality and length of hospital stay: Difference-in-differences analysis</w:t>
        </w:r>
      </w:hyperlink>
      <w:r>
        <w:t xml:space="preserve">. </w:t>
      </w:r>
      <w:proofErr w:type="spellStart"/>
      <w:r>
        <w:rPr>
          <w:i/>
          <w:iCs/>
        </w:rPr>
        <w:t>Bmj</w:t>
      </w:r>
      <w:proofErr w:type="spellEnd"/>
      <w:r>
        <w:t xml:space="preserve"> </w:t>
      </w:r>
      <w:r>
        <w:rPr>
          <w:b/>
          <w:bCs/>
        </w:rPr>
        <w:t>349</w:t>
      </w:r>
      <w:r>
        <w:t>, g4757–g4757 (2014).</w:t>
      </w:r>
    </w:p>
    <w:p w14:paraId="7211FD3F" w14:textId="77777777" w:rsidR="00627091" w:rsidRDefault="007A0AEA">
      <w:pPr>
        <w:pStyle w:val="BodyText"/>
      </w:pPr>
      <w:bookmarkStart w:id="35" w:name="ref-morris_impact_2014"/>
      <w:bookmarkEnd w:id="35"/>
      <w:r>
        <w:t xml:space="preserve">11. </w:t>
      </w:r>
      <w:r>
        <w:tab/>
        <w:t xml:space="preserve">Hunter, R. M. </w:t>
      </w:r>
      <w:r>
        <w:rPr>
          <w:i/>
          <w:iCs/>
        </w:rPr>
        <w:t>et al.</w:t>
      </w:r>
      <w:r>
        <w:t xml:space="preserve"> </w:t>
      </w:r>
      <w:hyperlink r:id="rId13">
        <w:r>
          <w:rPr>
            <w:rStyle w:val="Hyperlink"/>
          </w:rPr>
          <w:t>Impact on clinical and cost outcomes of a centralized approach to acute stroke care in London: A comparative effectiveness before and after model</w:t>
        </w:r>
      </w:hyperlink>
      <w:r>
        <w:t xml:space="preserve">. </w:t>
      </w:r>
      <w:proofErr w:type="spellStart"/>
      <w:r>
        <w:rPr>
          <w:i/>
          <w:iCs/>
        </w:rPr>
        <w:t>PloS</w:t>
      </w:r>
      <w:proofErr w:type="spellEnd"/>
      <w:r>
        <w:rPr>
          <w:i/>
          <w:iCs/>
        </w:rPr>
        <w:t xml:space="preserve"> One</w:t>
      </w:r>
      <w:r>
        <w:t xml:space="preserve"> </w:t>
      </w:r>
      <w:r>
        <w:rPr>
          <w:b/>
          <w:bCs/>
        </w:rPr>
        <w:t>8</w:t>
      </w:r>
      <w:r>
        <w:t>, e70420 (2013).</w:t>
      </w:r>
    </w:p>
    <w:p w14:paraId="372D5512" w14:textId="77777777" w:rsidR="00627091" w:rsidRDefault="007A0AEA">
      <w:pPr>
        <w:pStyle w:val="BodyText"/>
      </w:pPr>
      <w:bookmarkStart w:id="36" w:name="ref-hunter_impact_2013"/>
      <w:bookmarkEnd w:id="36"/>
      <w:r>
        <w:t xml:space="preserve">12. </w:t>
      </w:r>
      <w:r>
        <w:tab/>
        <w:t xml:space="preserve">De </w:t>
      </w:r>
      <w:proofErr w:type="spellStart"/>
      <w:r>
        <w:t>Brún</w:t>
      </w:r>
      <w:proofErr w:type="spellEnd"/>
      <w:r>
        <w:t xml:space="preserve">, A. </w:t>
      </w:r>
      <w:r>
        <w:rPr>
          <w:i/>
          <w:iCs/>
        </w:rPr>
        <w:t>et al.</w:t>
      </w:r>
      <w:r>
        <w:t xml:space="preserve"> </w:t>
      </w:r>
      <w:hyperlink r:id="rId14">
        <w:r>
          <w:rPr>
            <w:rStyle w:val="Hyperlink"/>
          </w:rPr>
          <w:t>Factors that influence clinicians’ decisions to offer intravenous alteplase in acute ischemic stroke patients with uncertain treatment indication: Results of a discrete choice experiment</w:t>
        </w:r>
      </w:hyperlink>
      <w:r>
        <w:t xml:space="preserve">. </w:t>
      </w:r>
      <w:r>
        <w:rPr>
          <w:i/>
          <w:iCs/>
        </w:rPr>
        <w:t>International Journal of Stroke</w:t>
      </w:r>
      <w:r>
        <w:t xml:space="preserve"> </w:t>
      </w:r>
      <w:r>
        <w:rPr>
          <w:b/>
          <w:bCs/>
        </w:rPr>
        <w:t>13</w:t>
      </w:r>
      <w:r>
        <w:t>, 74–82 (2018).</w:t>
      </w:r>
    </w:p>
    <w:p w14:paraId="61255EB1" w14:textId="77777777" w:rsidR="00627091" w:rsidRDefault="007A0AEA">
      <w:pPr>
        <w:pStyle w:val="BodyText"/>
      </w:pPr>
      <w:bookmarkStart w:id="37" w:name="ref-de_brun_factors_2018"/>
      <w:bookmarkEnd w:id="37"/>
      <w:r>
        <w:lastRenderedPageBreak/>
        <w:t xml:space="preserve">13. </w:t>
      </w:r>
      <w:r>
        <w:tab/>
        <w:t xml:space="preserve">Allen, M. </w:t>
      </w:r>
      <w:r>
        <w:rPr>
          <w:i/>
          <w:iCs/>
        </w:rPr>
        <w:t>et al.</w:t>
      </w:r>
      <w:r>
        <w:t xml:space="preserve"> </w:t>
      </w:r>
      <w:hyperlink r:id="rId15">
        <w:r>
          <w:rPr>
            <w:rStyle w:val="Hyperlink"/>
          </w:rPr>
          <w:t xml:space="preserve">Using simulation and machine learning to </w:t>
        </w:r>
        <w:proofErr w:type="spellStart"/>
        <w:r>
          <w:rPr>
            <w:rStyle w:val="Hyperlink"/>
          </w:rPr>
          <w:t>maximise</w:t>
        </w:r>
        <w:proofErr w:type="spellEnd"/>
        <w:r>
          <w:rPr>
            <w:rStyle w:val="Hyperlink"/>
          </w:rPr>
          <w:t xml:space="preserve"> the benefit of intravenous thrombolysis in acute stroke in England an</w:t>
        </w:r>
        <w:r>
          <w:rPr>
            <w:rStyle w:val="Hyperlink"/>
          </w:rPr>
          <w:t xml:space="preserve">d Wales: The </w:t>
        </w:r>
        <w:proofErr w:type="spellStart"/>
        <w:r>
          <w:rPr>
            <w:rStyle w:val="Hyperlink"/>
          </w:rPr>
          <w:t>SAMueL</w:t>
        </w:r>
        <w:proofErr w:type="spellEnd"/>
        <w:r>
          <w:rPr>
            <w:rStyle w:val="Hyperlink"/>
          </w:rPr>
          <w:t xml:space="preserve"> modelling and qualitative study</w:t>
        </w:r>
      </w:hyperlink>
      <w:r>
        <w:t xml:space="preserve">. </w:t>
      </w:r>
      <w:r>
        <w:rPr>
          <w:i/>
          <w:iCs/>
        </w:rPr>
        <w:t>Health and Social Care Delivery Research</w:t>
      </w:r>
      <w:r>
        <w:t xml:space="preserve"> </w:t>
      </w:r>
      <w:r>
        <w:rPr>
          <w:b/>
          <w:bCs/>
        </w:rPr>
        <w:t>10</w:t>
      </w:r>
      <w:r>
        <w:t>, 1–148 (2022).</w:t>
      </w:r>
    </w:p>
    <w:p w14:paraId="71AE8D41" w14:textId="77777777" w:rsidR="00627091" w:rsidRDefault="007A0AEA">
      <w:pPr>
        <w:pStyle w:val="BodyText"/>
      </w:pPr>
      <w:bookmarkStart w:id="38" w:name="ref-allen_using_2022"/>
      <w:bookmarkEnd w:id="38"/>
      <w:r>
        <w:t xml:space="preserve">14. </w:t>
      </w:r>
      <w:r>
        <w:tab/>
        <w:t xml:space="preserve">Allen, M. </w:t>
      </w:r>
      <w:r>
        <w:rPr>
          <w:i/>
          <w:iCs/>
        </w:rPr>
        <w:t>et al.</w:t>
      </w:r>
      <w:r>
        <w:t xml:space="preserve"> </w:t>
      </w:r>
      <w:hyperlink r:id="rId16">
        <w:r>
          <w:rPr>
            <w:rStyle w:val="Hyperlink"/>
          </w:rPr>
          <w:t xml:space="preserve">Use of Clinical Pathway </w:t>
        </w:r>
        <w:r>
          <w:rPr>
            <w:rStyle w:val="Hyperlink"/>
          </w:rPr>
          <w:t>Simulation and Machine Learning to Identify Key Levers for Maximizing the Benefit of Intravenous Thrombolysis in Acute Stroke</w:t>
        </w:r>
      </w:hyperlink>
      <w:r>
        <w:t xml:space="preserve">. </w:t>
      </w:r>
      <w:r>
        <w:rPr>
          <w:i/>
          <w:iCs/>
        </w:rPr>
        <w:t>Stroke</w:t>
      </w:r>
      <w:r>
        <w:t xml:space="preserve"> </w:t>
      </w:r>
      <w:r>
        <w:rPr>
          <w:b/>
          <w:bCs/>
        </w:rPr>
        <w:t>53</w:t>
      </w:r>
      <w:r>
        <w:t>, 2758–2767 (2022).</w:t>
      </w:r>
    </w:p>
    <w:p w14:paraId="506DF877" w14:textId="77777777" w:rsidR="00627091" w:rsidRDefault="007A0AEA">
      <w:pPr>
        <w:pStyle w:val="BodyText"/>
      </w:pPr>
      <w:bookmarkStart w:id="39" w:name="ref-allen_use_2022"/>
      <w:bookmarkEnd w:id="39"/>
      <w:r>
        <w:t xml:space="preserve">15. </w:t>
      </w:r>
      <w:r>
        <w:tab/>
      </w:r>
      <w:r>
        <w:t xml:space="preserve">Chen, T. &amp; </w:t>
      </w:r>
      <w:proofErr w:type="spellStart"/>
      <w:r>
        <w:t>Guestrin</w:t>
      </w:r>
      <w:proofErr w:type="spellEnd"/>
      <w:r>
        <w:t xml:space="preserve">, C. </w:t>
      </w:r>
      <w:proofErr w:type="spellStart"/>
      <w:r>
        <w:t>XGBoost</w:t>
      </w:r>
      <w:proofErr w:type="spellEnd"/>
      <w:r>
        <w:t xml:space="preserve">: A Scalable Tree Boosting System. in </w:t>
      </w:r>
      <w:r>
        <w:rPr>
          <w:i/>
          <w:iCs/>
        </w:rPr>
        <w:t>Proceedings of the 22nd ACM SIGKDD International Conference on Knowledge Discovery and Data Mining</w:t>
      </w:r>
      <w:r>
        <w:t xml:space="preserve"> 785–794 (Association for Computing Machinery, 2016). doi:</w:t>
      </w:r>
      <w:hyperlink r:id="rId17">
        <w:r>
          <w:rPr>
            <w:rStyle w:val="Hyperlink"/>
          </w:rPr>
          <w:t>10.1145/2939672.2939785</w:t>
        </w:r>
      </w:hyperlink>
      <w:r>
        <w:t>.</w:t>
      </w:r>
    </w:p>
    <w:p w14:paraId="25E1BED4" w14:textId="77777777" w:rsidR="00627091" w:rsidRDefault="007A0AEA">
      <w:pPr>
        <w:pStyle w:val="BodyText"/>
      </w:pPr>
      <w:bookmarkStart w:id="40" w:name="ref-chen_xgboost_2016"/>
      <w:bookmarkEnd w:id="40"/>
      <w:r>
        <w:t xml:space="preserve">16. </w:t>
      </w:r>
      <w:r>
        <w:tab/>
        <w:t xml:space="preserve">Lundberg, S. M. &amp; Lee, S.-I. A unified approach to interpreting model predictions. in </w:t>
      </w:r>
      <w:r>
        <w:rPr>
          <w:i/>
          <w:iCs/>
        </w:rPr>
        <w:t>Advances in neural information processing systems</w:t>
      </w:r>
      <w:r>
        <w:t xml:space="preserve"> (eds. Guyon, I. et al.) vol.</w:t>
      </w:r>
      <w:r>
        <w:t xml:space="preserve"> 30 (Curran Associates, Inc., 2017).</w:t>
      </w:r>
    </w:p>
    <w:p w14:paraId="60629D6F" w14:textId="77777777" w:rsidR="00627091" w:rsidRDefault="007A0AEA">
      <w:pPr>
        <w:pStyle w:val="BodyText"/>
      </w:pPr>
      <w:bookmarkStart w:id="41" w:name="ref-lundberg_unified_2017"/>
      <w:bookmarkEnd w:id="41"/>
      <w:r>
        <w:t xml:space="preserve">17. </w:t>
      </w:r>
      <w:r>
        <w:tab/>
      </w:r>
      <w:proofErr w:type="spellStart"/>
      <w:r>
        <w:t>Bekker</w:t>
      </w:r>
      <w:proofErr w:type="spellEnd"/>
      <w:r>
        <w:t xml:space="preserve">, P. J. G. M. de </w:t>
      </w:r>
      <w:r>
        <w:rPr>
          <w:i/>
          <w:iCs/>
        </w:rPr>
        <w:t>et al.</w:t>
      </w:r>
      <w:r>
        <w:t xml:space="preserve"> </w:t>
      </w:r>
      <w:hyperlink r:id="rId18">
        <w:r>
          <w:rPr>
            <w:rStyle w:val="Hyperlink"/>
          </w:rPr>
          <w:t>‘Give me something meaningful’: GPs perspectives on how to improve an audit and feedback report provided by health insurers –</w:t>
        </w:r>
        <w:r>
          <w:rPr>
            <w:rStyle w:val="Hyperlink"/>
          </w:rPr>
          <w:t xml:space="preserve"> an exploratory qualitative study</w:t>
        </w:r>
      </w:hyperlink>
      <w:r>
        <w:t xml:space="preserve">. </w:t>
      </w:r>
      <w:r>
        <w:rPr>
          <w:i/>
          <w:iCs/>
        </w:rPr>
        <w:t>BMJ Open Quality</w:t>
      </w:r>
      <w:r>
        <w:t xml:space="preserve"> </w:t>
      </w:r>
      <w:r>
        <w:rPr>
          <w:b/>
          <w:bCs/>
        </w:rPr>
        <w:t>11</w:t>
      </w:r>
      <w:r>
        <w:t>, e002006 (2022).</w:t>
      </w:r>
    </w:p>
    <w:p w14:paraId="423EA409" w14:textId="77777777" w:rsidR="00627091" w:rsidRDefault="007A0AEA">
      <w:pPr>
        <w:pStyle w:val="BodyText"/>
      </w:pPr>
      <w:bookmarkStart w:id="42" w:name="ref-bekker_give_2022"/>
      <w:bookmarkEnd w:id="42"/>
      <w:r>
        <w:t xml:space="preserve">18. </w:t>
      </w:r>
      <w:r>
        <w:tab/>
        <w:t xml:space="preserve">Foy, R. </w:t>
      </w:r>
      <w:r>
        <w:rPr>
          <w:i/>
          <w:iCs/>
        </w:rPr>
        <w:t>et al.</w:t>
      </w:r>
      <w:r>
        <w:t xml:space="preserve"> </w:t>
      </w:r>
      <w:hyperlink r:id="rId19">
        <w:proofErr w:type="spellStart"/>
        <w:r>
          <w:rPr>
            <w:rStyle w:val="Hyperlink"/>
          </w:rPr>
          <w:t>Revitalising</w:t>
        </w:r>
        <w:proofErr w:type="spellEnd"/>
        <w:r>
          <w:rPr>
            <w:rStyle w:val="Hyperlink"/>
          </w:rPr>
          <w:t xml:space="preserve"> audit and feedback to improve patient care</w:t>
        </w:r>
      </w:hyperlink>
      <w:r>
        <w:t xml:space="preserve">. </w:t>
      </w:r>
      <w:r>
        <w:rPr>
          <w:i/>
          <w:iCs/>
        </w:rPr>
        <w:t>BMJ</w:t>
      </w:r>
      <w:r>
        <w:t xml:space="preserve"> </w:t>
      </w:r>
      <w:r>
        <w:rPr>
          <w:b/>
          <w:bCs/>
        </w:rPr>
        <w:t>368</w:t>
      </w:r>
      <w:r>
        <w:t>, m213 (2020).</w:t>
      </w:r>
    </w:p>
    <w:p w14:paraId="7827B8A5" w14:textId="77777777" w:rsidR="00627091" w:rsidRDefault="007A0AEA">
      <w:pPr>
        <w:pStyle w:val="BodyText"/>
      </w:pPr>
      <w:bookmarkStart w:id="43" w:name="ref-foy_revitalising_2020"/>
      <w:bookmarkStart w:id="44" w:name="ref-ivers_audit_2012"/>
      <w:bookmarkEnd w:id="43"/>
      <w:r>
        <w:t xml:space="preserve">19. </w:t>
      </w:r>
      <w:r>
        <w:tab/>
      </w:r>
      <w:proofErr w:type="spellStart"/>
      <w:r>
        <w:t>Ivers</w:t>
      </w:r>
      <w:proofErr w:type="spellEnd"/>
      <w:r>
        <w:t xml:space="preserve">, N. </w:t>
      </w:r>
      <w:r>
        <w:rPr>
          <w:i/>
          <w:iCs/>
        </w:rPr>
        <w:t>et al.</w:t>
      </w:r>
      <w:r>
        <w:t xml:space="preserve"> Audit and feedback: Effects on professional practice and healthcare outcomes. </w:t>
      </w:r>
      <w:r>
        <w:rPr>
          <w:i/>
          <w:iCs/>
        </w:rPr>
        <w:t>The Cochrane Database of Systematic Reviews</w:t>
      </w:r>
      <w:r>
        <w:t xml:space="preserve"> CD000259 (2012) doi:</w:t>
      </w:r>
      <w:hyperlink r:id="rId20">
        <w:r>
          <w:rPr>
            <w:rStyle w:val="Hyperlink"/>
          </w:rPr>
          <w:t>10.1002/14651858.CD000259.pub3</w:t>
        </w:r>
      </w:hyperlink>
      <w:r>
        <w:t>.</w:t>
      </w:r>
      <w:bookmarkEnd w:id="22"/>
      <w:bookmarkEnd w:id="24"/>
      <w:bookmarkEnd w:id="25"/>
      <w:bookmarkEnd w:id="44"/>
    </w:p>
    <w:p w14:paraId="26E387CE" w14:textId="77777777" w:rsidR="00627091" w:rsidRDefault="007A0AEA">
      <w:pPr>
        <w:rPr>
          <w:rFonts w:asciiTheme="majorHAnsi" w:eastAsiaTheme="majorEastAsia" w:hAnsiTheme="majorHAnsi" w:cstheme="majorBidi"/>
          <w:b/>
          <w:bCs/>
          <w:color w:val="4F81BD" w:themeColor="accent1"/>
          <w:sz w:val="28"/>
          <w:szCs w:val="28"/>
        </w:rPr>
      </w:pPr>
      <w:r>
        <w:br w:type="page"/>
      </w:r>
    </w:p>
    <w:p w14:paraId="01DDB90A" w14:textId="77777777" w:rsidR="00627091" w:rsidRDefault="007A0AEA">
      <w:pPr>
        <w:pStyle w:val="Heading2"/>
      </w:pPr>
      <w:r>
        <w:lastRenderedPageBreak/>
        <w:t>Figure legends</w:t>
      </w:r>
    </w:p>
    <w:p w14:paraId="321067E3" w14:textId="77777777" w:rsidR="00627091" w:rsidRDefault="007A0AEA">
      <w:pPr>
        <w:pStyle w:val="BodyText"/>
      </w:pPr>
      <w:r>
        <w:t>Figure 1: Waterfall plots showing the influence of each feature on the predicted probability of a single patient receiving thrombolysis. Top: An example of a pati</w:t>
      </w:r>
      <w:r>
        <w:t>ent with a low probability (2.6%) of receiving thrombolysis. Bottom: An example of a patient with a high probability (95.7%) of receiving thrombolysis.</w:t>
      </w:r>
    </w:p>
    <w:p w14:paraId="3A6E2C3C" w14:textId="77777777" w:rsidR="00627091" w:rsidRDefault="007A0AEA">
      <w:r>
        <w:t>Figure 2: Plots showing the relationship between SHAP values and feature values. Top: Violin plots showi</w:t>
      </w:r>
      <w:r>
        <w:t>ng the relationship between SHAP values and feature values. The horizontal line shows the median SHAP value. The plots are ordered in ranked feature importance (using the mean absolute SHAP value across all instances). Bottom: Histogram showing the frequen</w:t>
      </w:r>
      <w:r>
        <w:t>cy of SHAP values for the hospital attended.</w:t>
      </w:r>
    </w:p>
    <w:p w14:paraId="2FA3D031" w14:textId="77777777" w:rsidR="00627091" w:rsidRDefault="007A0AEA">
      <w:r>
        <w:t xml:space="preserve">Figure 3: Correlations between hospital SHAP main effect value and the observed thrombolysis use at each hospital. Left: Observed thrombolysis (using </w:t>
      </w:r>
      <w:proofErr w:type="gramStart"/>
      <w:r>
        <w:t>the all</w:t>
      </w:r>
      <w:proofErr w:type="gramEnd"/>
      <w:r>
        <w:t xml:space="preserve"> data model). Right: Predicted 10k cohort thrombolysis</w:t>
      </w:r>
      <w:r>
        <w:t xml:space="preserve"> rate (using the 10k holdout model).</w:t>
      </w:r>
    </w:p>
    <w:p w14:paraId="3A76ABD6" w14:textId="77777777" w:rsidR="00627091" w:rsidRDefault="007A0AEA">
      <w:r>
        <w:t xml:space="preserve">Figure 4: Multiple regression of subset SHAP values (mean of patients attending hospital) with hospital observed thrombolysis rate (using </w:t>
      </w:r>
      <w:proofErr w:type="gramStart"/>
      <w:r>
        <w:t>the all</w:t>
      </w:r>
      <w:proofErr w:type="gramEnd"/>
      <w:r>
        <w:t xml:space="preserve"> data model). Left: Subset SHAP values for the eight patient descriptive f</w:t>
      </w:r>
      <w:r>
        <w:t>eatures (age, stroke severity, prior disability, onset-to-arrival time, stroke type, type of onset time, anticoagulants, and onset during sleep). Middle: Subset SHAP values for the two hospital descriptive features (arrival-to-scan time, and hospital atten</w:t>
      </w:r>
      <w:r>
        <w:t>ded). Right: Subset SHAP values for all 10 features (for both hospital and patient descriptive features).</w:t>
      </w:r>
    </w:p>
    <w:p w14:paraId="75AB07E1" w14:textId="77777777" w:rsidR="00627091" w:rsidRDefault="007A0AEA">
      <w:r>
        <w:t>Figure 5: Boxplot for either observed (top) or predicted (bottom) use of thrombolysis for subgroups of patients. The ‘ideal patients’ subgroup has a m</w:t>
      </w:r>
      <w:r>
        <w:t>id-level stroke severity (NIHSS 10-25), short arrival-to-scan time (&lt;30 minutes), stroke caused by infarction, precise stroke onset time known, no pre-stroke disability (mRS 0), not taking any atrial fibrillation anticoagulants, short onset-to-arrival time</w:t>
      </w:r>
      <w:r>
        <w:t xml:space="preserve"> (&lt;90 minutes), &lt;80 years old, and onset not during sleep. The single features are ordered in ranked feature importance (using the mean absolute SHAP value across all instances).</w:t>
      </w:r>
    </w:p>
    <w:p w14:paraId="3D5A4C75" w14:textId="77777777" w:rsidR="00627091" w:rsidRDefault="00627091">
      <w:pPr>
        <w:pStyle w:val="ImageCaption"/>
      </w:pPr>
    </w:p>
    <w:p w14:paraId="4C33F8F3" w14:textId="77777777" w:rsidR="00627091" w:rsidRDefault="00627091">
      <w:pPr>
        <w:pStyle w:val="ImageCaption"/>
      </w:pPr>
    </w:p>
    <w:p w14:paraId="00E250F5" w14:textId="77777777" w:rsidR="00627091" w:rsidRDefault="00627091">
      <w:pPr>
        <w:pStyle w:val="ImageCaption"/>
      </w:pPr>
    </w:p>
    <w:p w14:paraId="05486FD8" w14:textId="77777777" w:rsidR="00627091" w:rsidRDefault="00627091">
      <w:pPr>
        <w:pStyle w:val="ImageCaption"/>
      </w:pPr>
    </w:p>
    <w:p w14:paraId="46F764B9" w14:textId="77777777" w:rsidR="00627091" w:rsidRDefault="00627091">
      <w:pPr>
        <w:pStyle w:val="BodyText"/>
      </w:pPr>
    </w:p>
    <w:p w14:paraId="1BDFD579" w14:textId="77777777" w:rsidR="00627091" w:rsidRDefault="00627091">
      <w:pPr>
        <w:pStyle w:val="BodyText"/>
      </w:pPr>
    </w:p>
    <w:sectPr w:rsidR="00627091">
      <w:pgSz w:w="12240" w:h="15840"/>
      <w:pgMar w:top="1440" w:right="1080" w:bottom="1440" w:left="1080"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71B"/>
    <w:multiLevelType w:val="multilevel"/>
    <w:tmpl w:val="22708140"/>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1" w15:restartNumberingAfterBreak="0">
    <w:nsid w:val="160B692B"/>
    <w:multiLevelType w:val="multilevel"/>
    <w:tmpl w:val="EB804FF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CCC3F9C"/>
    <w:multiLevelType w:val="multilevel"/>
    <w:tmpl w:val="1F4C026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3" w15:restartNumberingAfterBreak="0">
    <w:nsid w:val="433179D4"/>
    <w:multiLevelType w:val="multilevel"/>
    <w:tmpl w:val="1DA6E96A"/>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4" w15:restartNumberingAfterBreak="0">
    <w:nsid w:val="690D59E6"/>
    <w:multiLevelType w:val="multilevel"/>
    <w:tmpl w:val="3DE877A4"/>
    <w:lvl w:ilvl="0">
      <w:start w:val="1"/>
      <w:numFmt w:val="decimal"/>
      <w:lvlText w:val="%1."/>
      <w:lvlJc w:val="left"/>
      <w:pPr>
        <w:tabs>
          <w:tab w:val="num" w:pos="0"/>
        </w:tabs>
        <w:ind w:left="720" w:hanging="480"/>
      </w:pPr>
    </w:lvl>
    <w:lvl w:ilvl="1">
      <w:start w:val="1"/>
      <w:numFmt w:val="lowerLetter"/>
      <w:lvlText w:val="%2."/>
      <w:lvlJc w:val="left"/>
      <w:pPr>
        <w:tabs>
          <w:tab w:val="num" w:pos="0"/>
        </w:tabs>
        <w:ind w:left="1440" w:hanging="480"/>
      </w:pPr>
    </w:lvl>
    <w:lvl w:ilvl="2">
      <w:start w:val="1"/>
      <w:numFmt w:val="lowerRoman"/>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lowerLetter"/>
      <w:lvlText w:val="%5."/>
      <w:lvlJc w:val="left"/>
      <w:pPr>
        <w:tabs>
          <w:tab w:val="num" w:pos="0"/>
        </w:tabs>
        <w:ind w:left="3600" w:hanging="480"/>
      </w:pPr>
    </w:lvl>
    <w:lvl w:ilvl="5">
      <w:start w:val="1"/>
      <w:numFmt w:val="lowerRoman"/>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lowerLetter"/>
      <w:lvlText w:val="%8."/>
      <w:lvlJc w:val="left"/>
      <w:pPr>
        <w:tabs>
          <w:tab w:val="num" w:pos="0"/>
        </w:tabs>
        <w:ind w:left="5760" w:hanging="480"/>
      </w:pPr>
    </w:lvl>
    <w:lvl w:ilvl="8">
      <w:start w:val="1"/>
      <w:numFmt w:val="lowerRoman"/>
      <w:lvlText w:val="%9."/>
      <w:lvlJc w:val="left"/>
      <w:pPr>
        <w:tabs>
          <w:tab w:val="num" w:pos="0"/>
        </w:tabs>
        <w:ind w:left="6480" w:hanging="480"/>
      </w:pPr>
    </w:lvl>
  </w:abstractNum>
  <w:abstractNum w:abstractNumId="5" w15:restartNumberingAfterBreak="0">
    <w:nsid w:val="787730EF"/>
    <w:multiLevelType w:val="multilevel"/>
    <w:tmpl w:val="E5A825AC"/>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num w:numId="1" w16cid:durableId="495727661">
    <w:abstractNumId w:val="4"/>
  </w:num>
  <w:num w:numId="2" w16cid:durableId="1801341022">
    <w:abstractNumId w:val="0"/>
  </w:num>
  <w:num w:numId="3" w16cid:durableId="1811172943">
    <w:abstractNumId w:val="3"/>
  </w:num>
  <w:num w:numId="4" w16cid:durableId="1987933447">
    <w:abstractNumId w:val="5"/>
  </w:num>
  <w:num w:numId="5" w16cid:durableId="220211038">
    <w:abstractNumId w:val="2"/>
  </w:num>
  <w:num w:numId="6" w16cid:durableId="1991246879">
    <w:abstractNumId w:val="1"/>
  </w:num>
  <w:num w:numId="7" w16cid:durableId="954873121">
    <w:abstractNumId w:val="4"/>
    <w:lvlOverride w:ilvl="0">
      <w:startOverride w:val="1"/>
    </w:lvlOverride>
  </w:num>
  <w:num w:numId="8" w16cid:durableId="1496066619">
    <w:abstractNumId w:val="4"/>
    <w:lvlOverride w:ilvl="0">
      <w:startOverride w:val="1"/>
    </w:lvlOverride>
  </w:num>
  <w:num w:numId="9" w16cid:durableId="1004479972">
    <w:abstractNumId w:val="4"/>
  </w:num>
  <w:num w:numId="10" w16cid:durableId="1466390004">
    <w:abstractNumId w:val="4"/>
  </w:num>
  <w:num w:numId="11" w16cid:durableId="1865627678">
    <w:abstractNumId w:val="4"/>
  </w:num>
  <w:num w:numId="12" w16cid:durableId="423183883">
    <w:abstractNumId w:val="4"/>
  </w:num>
  <w:num w:numId="13" w16cid:durableId="1845515114">
    <w:abstractNumId w:val="4"/>
  </w:num>
  <w:num w:numId="14" w16cid:durableId="333535596">
    <w:abstractNumId w:val="4"/>
  </w:num>
  <w:num w:numId="15" w16cid:durableId="1141460386">
    <w:abstractNumId w:val="4"/>
  </w:num>
  <w:num w:numId="16" w16cid:durableId="1779253096">
    <w:abstractNumId w:val="4"/>
  </w:num>
  <w:num w:numId="17" w16cid:durableId="1312294851">
    <w:abstractNumId w:val="4"/>
  </w:num>
  <w:num w:numId="18" w16cid:durableId="466512226">
    <w:abstractNumId w:val="4"/>
  </w:num>
  <w:num w:numId="19" w16cid:durableId="328946888">
    <w:abstractNumId w:val="3"/>
  </w:num>
  <w:num w:numId="20" w16cid:durableId="1715931977">
    <w:abstractNumId w:val="3"/>
  </w:num>
  <w:num w:numId="21" w16cid:durableId="1893030595">
    <w:abstractNumId w:val="3"/>
  </w:num>
  <w:num w:numId="22" w16cid:durableId="1773011227">
    <w:abstractNumId w:val="3"/>
  </w:num>
  <w:num w:numId="23" w16cid:durableId="2042128158">
    <w:abstractNumId w:val="3"/>
  </w:num>
  <w:num w:numId="24" w16cid:durableId="1633173365">
    <w:abstractNumId w:val="3"/>
  </w:num>
  <w:num w:numId="25" w16cid:durableId="1765035203">
    <w:abstractNumId w:val="3"/>
  </w:num>
  <w:num w:numId="26" w16cid:durableId="1213617787">
    <w:abstractNumId w:val="3"/>
  </w:num>
  <w:num w:numId="27" w16cid:durableId="145173677">
    <w:abstractNumId w:val="3"/>
  </w:num>
  <w:num w:numId="28" w16cid:durableId="1625036555">
    <w:abstractNumId w:val="3"/>
  </w:num>
  <w:num w:numId="29" w16cid:durableId="2088529888">
    <w:abstractNumId w:val="3"/>
  </w:num>
  <w:num w:numId="30" w16cid:durableId="269700939">
    <w:abstractNumId w:val="3"/>
  </w:num>
  <w:num w:numId="31" w16cid:durableId="547571087">
    <w:abstractNumId w:val="3"/>
  </w:num>
  <w:num w:numId="32" w16cid:durableId="1922566527">
    <w:abstractNumId w:val="3"/>
  </w:num>
  <w:num w:numId="33" w16cid:durableId="1514225843">
    <w:abstractNumId w:val="3"/>
  </w:num>
  <w:num w:numId="34" w16cid:durableId="1121147615">
    <w:abstractNumId w:val="3"/>
  </w:num>
  <w:num w:numId="35" w16cid:durableId="1740321453">
    <w:abstractNumId w:val="3"/>
  </w:num>
  <w:num w:numId="36" w16cid:durableId="805898453">
    <w:abstractNumId w:val="3"/>
  </w:num>
  <w:num w:numId="37" w16cid:durableId="303631841">
    <w:abstractNumId w:val="3"/>
  </w:num>
  <w:num w:numId="38" w16cid:durableId="83677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627091"/>
    <w:rsid w:val="00627091"/>
    <w:rsid w:val="007A0AEA"/>
    <w:rsid w:val="00B0462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55147"/>
  <w15:docId w15:val="{FB821159-7535-451A-B395-BD0EF968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SectionNumber">
    <w:name w:val="Section Number"/>
    <w:basedOn w:val="CaptionChar"/>
    <w:qFormat/>
  </w:style>
  <w:style w:type="character" w:customStyle="1" w:styleId="FootnoteCharacters">
    <w:name w:val="Footnote Characters"/>
    <w:basedOn w:val="CaptionChar"/>
    <w:qFormat/>
    <w:rPr>
      <w:vertAlign w:val="superscript"/>
    </w:rPr>
  </w:style>
  <w:style w:type="character" w:styleId="FootnoteReference">
    <w:name w:val="footnote reference"/>
    <w:rPr>
      <w:vertAlign w:val="superscript"/>
    </w:rPr>
  </w:style>
  <w:style w:type="character" w:styleId="Hyperlink">
    <w:name w:val="Hyperlink"/>
    <w:basedOn w:val="CaptionChar"/>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spacing w:after="200"/>
      <w:jc w:val="center"/>
    </w:pPr>
  </w:style>
  <w:style w:type="paragraph" w:styleId="Date">
    <w:name w:val="Date"/>
    <w:next w:val="BodyText"/>
    <w:qFormat/>
    <w:pPr>
      <w:keepNext/>
      <w:keepLines/>
      <w:spacing w:after="200"/>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IndexHeading">
    <w:name w:val="index heading"/>
    <w:basedOn w:val="Heading"/>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77/2396987318786023" TargetMode="External"/><Relationship Id="rId13" Type="http://schemas.openxmlformats.org/officeDocument/2006/relationships/hyperlink" Target="https://doi.org/10.1371/journal.pone.0070420" TargetMode="External"/><Relationship Id="rId18" Type="http://schemas.openxmlformats.org/officeDocument/2006/relationships/hyperlink" Target="https://doi.org/10.1136/bmjoq-2022-00200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016/S0140-6736(14)60584-5" TargetMode="External"/><Relationship Id="rId12" Type="http://schemas.openxmlformats.org/officeDocument/2006/relationships/hyperlink" Target="https://doi.org/10.1136/bmj.g4757" TargetMode="External"/><Relationship Id="rId17" Type="http://schemas.openxmlformats.org/officeDocument/2006/relationships/hyperlink" Target="https://doi.org/10.1145/2939672.2939785" TargetMode="External"/><Relationship Id="rId2" Type="http://schemas.openxmlformats.org/officeDocument/2006/relationships/styles" Target="styles.xml"/><Relationship Id="rId16" Type="http://schemas.openxmlformats.org/officeDocument/2006/relationships/hyperlink" Target="https://doi.org/10.1161/STROKEAHA.121.038454" TargetMode="External"/><Relationship Id="rId20" Type="http://schemas.openxmlformats.org/officeDocument/2006/relationships/hyperlink" Target="https://doi.org/10.1002/14651858.CD000259.pub3" TargetMode="External"/><Relationship Id="rId1" Type="http://schemas.openxmlformats.org/officeDocument/2006/relationships/numbering" Target="numbering.xml"/><Relationship Id="rId6" Type="http://schemas.openxmlformats.org/officeDocument/2006/relationships/hyperlink" Target="https://doi.org/10.1177/2396987319883160" TargetMode="External"/><Relationship Id="rId11" Type="http://schemas.openxmlformats.org/officeDocument/2006/relationships/hyperlink" Target="https://doi.org/10.1161/STROKEAHA.111.641795" TargetMode="External"/><Relationship Id="rId5" Type="http://schemas.openxmlformats.org/officeDocument/2006/relationships/hyperlink" Target="https://doi.org/10.1016/S1474-4422(21)00252-0" TargetMode="External"/><Relationship Id="rId15" Type="http://schemas.openxmlformats.org/officeDocument/2006/relationships/hyperlink" Target="https://doi.org/10.3310/GVZL5699" TargetMode="External"/><Relationship Id="rId10" Type="http://schemas.openxmlformats.org/officeDocument/2006/relationships/hyperlink" Target="https://doi.org/10.1161/STROKEAHA.116.015712" TargetMode="External"/><Relationship Id="rId19" Type="http://schemas.openxmlformats.org/officeDocument/2006/relationships/hyperlink" Target="https://doi.org/10.1136/bmj.m213" TargetMode="External"/><Relationship Id="rId4" Type="http://schemas.openxmlformats.org/officeDocument/2006/relationships/webSettings" Target="webSettings.xml"/><Relationship Id="rId9" Type="http://schemas.openxmlformats.org/officeDocument/2006/relationships/hyperlink" Target="https://doi.org/10.1016/j.ienj.2010.02.005" TargetMode="External"/><Relationship Id="rId14" Type="http://schemas.openxmlformats.org/officeDocument/2006/relationships/hyperlink" Target="https://doi.org/10.1177/174749301769075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12</Pages>
  <Words>4617</Words>
  <Characters>26317</Characters>
  <Application>Microsoft Office Word</Application>
  <DocSecurity>0</DocSecurity>
  <Lines>219</Lines>
  <Paragraphs>61</Paragraphs>
  <ScaleCrop>false</ScaleCrop>
  <Company/>
  <LinksUpToDate>false</LinksUpToDate>
  <CharactersWithSpaces>30873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would other emergency stroke teams do? Using explainable machine learning to understand variation in thrombolysis practice.</dc:title>
  <dc:subject/>
  <dc:creator>Kerry Pearn; Michael Allen; Anna Laws; Thomas Monks; Richard Everson; Martin James</dc:creator>
  <dc:description/>
  <cp:lastModifiedBy>Allen, Michael</cp:lastModifiedBy>
  <cp:revision>6</cp:revision>
  <dcterms:created xsi:type="dcterms:W3CDTF">2023-05-23T06:49:00Z</dcterms:created>
  <dcterms:modified xsi:type="dcterms:W3CDTF">2023-05-23T07:17:00Z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nature.csl</vt:lpwstr>
  </property>
</Properties>
</file>