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DD721" w14:textId="4336B876" w:rsidR="00C605CC" w:rsidRPr="00736BED" w:rsidRDefault="00175CFF">
      <w:pPr>
        <w:rPr>
          <w:b/>
          <w:bCs/>
        </w:rPr>
      </w:pPr>
      <w:r w:rsidRPr="00736BED">
        <w:rPr>
          <w:b/>
          <w:bCs/>
        </w:rPr>
        <w:t xml:space="preserve">A </w:t>
      </w:r>
      <w:r w:rsidR="007755F4">
        <w:rPr>
          <w:b/>
          <w:bCs/>
        </w:rPr>
        <w:t>lifetime</w:t>
      </w:r>
      <w:r w:rsidRPr="00736BED">
        <w:rPr>
          <w:b/>
          <w:bCs/>
        </w:rPr>
        <w:t xml:space="preserve"> stroke outcome model: A patient level simulation tool for predicting lifetime secondary care use by patients who have been discharged from hospital following a stroke</w:t>
      </w:r>
    </w:p>
    <w:p w14:paraId="2716CE52" w14:textId="30F5D6B6" w:rsidR="0089136C" w:rsidRDefault="0089136C"/>
    <w:p w14:paraId="623AE36D" w14:textId="1D49A3A0" w:rsidR="0089136C" w:rsidRDefault="733A61AC">
      <w:r>
        <w:t>Peter McMeekin, Stephen McCarthy, Andrew McCarthy, Jennifer Porteous, Mike Allen, Phil White, Martin James, Gary Ford, Chris</w:t>
      </w:r>
      <w:r w:rsidR="00A65B6C">
        <w:t>topher</w:t>
      </w:r>
      <w:r>
        <w:t xml:space="preserve"> Price</w:t>
      </w:r>
      <w:r w:rsidR="00A65B6C">
        <w:t xml:space="preserve"> (Any one missing</w:t>
      </w:r>
      <w:r w:rsidR="002072AB">
        <w:t>?</w:t>
      </w:r>
      <w:r w:rsidR="00A65B6C">
        <w:t>)</w:t>
      </w:r>
    </w:p>
    <w:p w14:paraId="7DFE4701" w14:textId="3BC855DA" w:rsidR="00175CFF" w:rsidRPr="00A65B6C" w:rsidRDefault="00A65B6C">
      <w:pPr>
        <w:rPr>
          <w:b/>
          <w:bCs/>
        </w:rPr>
      </w:pPr>
      <w:r w:rsidRPr="00A65B6C">
        <w:rPr>
          <w:b/>
          <w:bCs/>
        </w:rPr>
        <w:t>Abstract</w:t>
      </w:r>
    </w:p>
    <w:p w14:paraId="0BB2EC6D" w14:textId="77777777" w:rsidR="002072AB" w:rsidRDefault="002072AB" w:rsidP="002072AB">
      <w:r>
        <w:t>Introduction</w:t>
      </w:r>
    </w:p>
    <w:p w14:paraId="6A24B988" w14:textId="60D55A03" w:rsidR="002072AB" w:rsidRDefault="002072AB" w:rsidP="002072AB">
      <w:r>
        <w:t xml:space="preserve">Economic models of intervention in acute stoke care often rely on models to extrapolate short term outcomes into longer term outcomes required by decision makers.   </w:t>
      </w:r>
      <w:r w:rsidR="00D45445">
        <w:t>However,</w:t>
      </w:r>
      <w:r>
        <w:t xml:space="preserve"> there is little consistency between the</w:t>
      </w:r>
      <w:r w:rsidR="00D45445">
        <w:t xml:space="preserve"> methods of extrapolation used.  This presents challenges when interpreting estimated of long-term cost effectiveness </w:t>
      </w:r>
    </w:p>
    <w:p w14:paraId="1DEE8F7E" w14:textId="77777777" w:rsidR="002072AB" w:rsidRDefault="002072AB" w:rsidP="002072AB">
      <w:r>
        <w:t>Patients and methods</w:t>
      </w:r>
    </w:p>
    <w:p w14:paraId="64039CA1" w14:textId="2D25BB41" w:rsidR="002072AB" w:rsidRDefault="00D45445" w:rsidP="002072AB">
      <w:r>
        <w:t>A retrospective cohort of 1,500 patients discharges after stroke between 2013 and 2014 were followed for up to ten years and parametric equations representing their life-time risk of mortality and secondary resource use were estimated based on their levels of dependency, ages and sexes were developed</w:t>
      </w:r>
      <w:r w:rsidR="002072AB">
        <w:t>.</w:t>
      </w:r>
    </w:p>
    <w:p w14:paraId="799CADBE" w14:textId="77777777" w:rsidR="002072AB" w:rsidRDefault="002072AB" w:rsidP="002072AB">
      <w:r>
        <w:t>Results</w:t>
      </w:r>
    </w:p>
    <w:p w14:paraId="0AC24963" w14:textId="44E98F8D" w:rsidR="002072AB" w:rsidRDefault="00D45445" w:rsidP="002072AB">
      <w:r>
        <w:t xml:space="preserve">Two equations for mortality were developed.  The first logistic model estimating mortality within twelve months of discharge, and a second </w:t>
      </w:r>
      <w:proofErr w:type="spellStart"/>
      <w:r>
        <w:t>Gompertz</w:t>
      </w:r>
      <w:proofErr w:type="spellEnd"/>
      <w:r>
        <w:t xml:space="preserve"> model estimating mortality over the remainder of the life course. A&amp;E admissions were modelled using a Weibull distribution while non-elective bed days and elective bed days were both modelled using a loglogistic distribution.</w:t>
      </w:r>
      <w:r w:rsidR="00D47ADF">
        <w:t xml:space="preserve"> All equations include age, </w:t>
      </w:r>
      <w:proofErr w:type="gramStart"/>
      <w:r w:rsidR="00D47ADF">
        <w:t>sex</w:t>
      </w:r>
      <w:proofErr w:type="gramEnd"/>
      <w:r w:rsidR="00D47ADF">
        <w:t xml:space="preserve"> and modified Rankin score at discharge.</w:t>
      </w:r>
    </w:p>
    <w:p w14:paraId="5A861C14" w14:textId="77777777" w:rsidR="002072AB" w:rsidRDefault="002072AB" w:rsidP="002072AB">
      <w:r>
        <w:t>Discussion</w:t>
      </w:r>
    </w:p>
    <w:p w14:paraId="65EFFF2F" w14:textId="7F12479F" w:rsidR="002072AB" w:rsidRDefault="004F7F90" w:rsidP="002072AB">
      <w:r>
        <w:t>Using data about patients outside of clinical trials, t</w:t>
      </w:r>
      <w:r w:rsidR="00D45445">
        <w:t xml:space="preserve">he risk equations allow extrapolation of results from short term trials over the life course in a range of </w:t>
      </w:r>
      <w:r w:rsidR="00D47ADF">
        <w:t xml:space="preserve">lifetime </w:t>
      </w:r>
      <w:r w:rsidR="00D45445">
        <w:t xml:space="preserve">models.  </w:t>
      </w:r>
      <w:r w:rsidR="00D47ADF">
        <w:t>Resources modelled are restricted to secondary care within a single trust but can be extended through future linkage with other data sets.</w:t>
      </w:r>
    </w:p>
    <w:p w14:paraId="431D98B3" w14:textId="77777777" w:rsidR="002072AB" w:rsidRDefault="002072AB" w:rsidP="002072AB">
      <w:r>
        <w:t>Conclusion</w:t>
      </w:r>
    </w:p>
    <w:p w14:paraId="4B6C00A2" w14:textId="6DF24B7D" w:rsidR="004F7F90" w:rsidRDefault="004F7F90" w:rsidP="004F7F90">
      <w:r>
        <w:t>Our model is the first published set of risk equations for use in economic models of acute stroke interventions. Their use provides the opportunity to improve the consistency of modelling the longer-term effects of acute interventions.</w:t>
      </w:r>
    </w:p>
    <w:p w14:paraId="5B06B551" w14:textId="77777777" w:rsidR="00A65B6C" w:rsidRDefault="00A65B6C">
      <w:pPr>
        <w:rPr>
          <w:b/>
          <w:bCs/>
        </w:rPr>
      </w:pPr>
      <w:r>
        <w:rPr>
          <w:b/>
          <w:bCs/>
        </w:rPr>
        <w:br w:type="page"/>
      </w:r>
    </w:p>
    <w:p w14:paraId="2759FFEF" w14:textId="7F5E2D8F" w:rsidR="00175CFF" w:rsidRPr="00E65685" w:rsidRDefault="733A61AC">
      <w:pPr>
        <w:rPr>
          <w:b/>
          <w:bCs/>
        </w:rPr>
      </w:pPr>
      <w:r w:rsidRPr="733A61AC">
        <w:rPr>
          <w:b/>
          <w:bCs/>
        </w:rPr>
        <w:lastRenderedPageBreak/>
        <w:t>Background and Aim</w:t>
      </w:r>
      <w:r w:rsidR="004B716F">
        <w:rPr>
          <w:b/>
          <w:bCs/>
        </w:rPr>
        <w:t xml:space="preserve"> and Objectives</w:t>
      </w:r>
    </w:p>
    <w:p w14:paraId="1CCE903F" w14:textId="53E3EB34" w:rsidR="00175CFF" w:rsidRDefault="00863BD6">
      <w:r>
        <w:t xml:space="preserve">The effects of a stroke </w:t>
      </w:r>
      <w:r w:rsidR="00DB4937">
        <w:t>on individua</w:t>
      </w:r>
      <w:r w:rsidR="0075422D">
        <w:t>ls can persist across the life course</w:t>
      </w:r>
      <w:r w:rsidR="00DE7E71">
        <w:t>.</w:t>
      </w:r>
      <w:r w:rsidR="00886D04">
        <w:t xml:space="preserve"> </w:t>
      </w:r>
      <w:r w:rsidR="00DE7E71">
        <w:t>S</w:t>
      </w:r>
      <w:r w:rsidR="00EE70D4">
        <w:t>tudies into the effectiveness and cost-effectiveness of</w:t>
      </w:r>
      <w:r w:rsidR="003D542D">
        <w:t xml:space="preserve"> interventions </w:t>
      </w:r>
      <w:r w:rsidR="00013F45">
        <w:t xml:space="preserve">aimed at improving outcomes in the acute period </w:t>
      </w:r>
      <w:r w:rsidR="00363AB7">
        <w:t xml:space="preserve">often </w:t>
      </w:r>
      <w:r w:rsidR="00776CE3">
        <w:t xml:space="preserve">follow </w:t>
      </w:r>
      <w:r w:rsidR="00DE7E71">
        <w:t>individuals for a relatively short time frame.</w:t>
      </w:r>
      <w:r w:rsidR="00EE70D4">
        <w:t xml:space="preserve"> </w:t>
      </w:r>
      <w:r w:rsidR="0075422D">
        <w:t xml:space="preserve"> </w:t>
      </w:r>
      <w:r w:rsidR="008D516E">
        <w:t>Longer term consequences are</w:t>
      </w:r>
      <w:r w:rsidR="00012E7A">
        <w:t xml:space="preserve"> typically</w:t>
      </w:r>
      <w:r w:rsidR="008D516E">
        <w:t xml:space="preserve"> estimated by extrapolating </w:t>
      </w:r>
      <w:r w:rsidR="00012E7A">
        <w:t xml:space="preserve">from </w:t>
      </w:r>
      <w:r w:rsidR="008D516E">
        <w:t>short term consequences over the life course.</w:t>
      </w:r>
      <w:r w:rsidR="00012E7A">
        <w:t xml:space="preserve">  Lifetime estimates of relative cost effectiveness, which are often required by decision makers, are therefore dependent on the assumptions made when extrapolating short term outcomes.</w:t>
      </w:r>
      <w:r w:rsidR="008D516E">
        <w:t xml:space="preserve"> </w:t>
      </w:r>
      <w:r w:rsidR="00012E7A">
        <w:t xml:space="preserve"> Informing e</w:t>
      </w:r>
      <w:r w:rsidR="009847FB">
        <w:t>xtrapolation by m</w:t>
      </w:r>
      <w:r w:rsidR="00175CFF">
        <w:t>odelling life-expectancy</w:t>
      </w:r>
      <w:r w:rsidR="00012E7A">
        <w:t>,</w:t>
      </w:r>
      <w:r w:rsidR="00175CFF">
        <w:t xml:space="preserve"> and </w:t>
      </w:r>
      <w:r w:rsidR="00012E7A">
        <w:t>consequent</w:t>
      </w:r>
      <w:r w:rsidR="008D516E">
        <w:t xml:space="preserve"> </w:t>
      </w:r>
      <w:r w:rsidR="00175CFF">
        <w:t>healthcare usage</w:t>
      </w:r>
      <w:r w:rsidR="00012E7A">
        <w:t>,</w:t>
      </w:r>
      <w:r w:rsidR="00175CFF">
        <w:t xml:space="preserve"> </w:t>
      </w:r>
      <w:r w:rsidR="009847FB">
        <w:t>using</w:t>
      </w:r>
      <w:r w:rsidR="00175CFF">
        <w:t xml:space="preserve"> computer </w:t>
      </w:r>
      <w:r w:rsidR="00012E7A">
        <w:t>simulations method</w:t>
      </w:r>
      <w:r w:rsidR="00175CFF">
        <w:t xml:space="preserve"> of estimating the lifetime effects of developments in the treatment of acute stroke.</w:t>
      </w:r>
      <w:r w:rsidR="009847FB">
        <w:t xml:space="preserve"> These models address the practical limitations of limited follow-up of patients in clinical studies.  They typically do this by applying assumed relationships between population mortality and the additional mortality observed in the post-stroke population and with assumptions about the risk of recurrent stroke and its assumed effect on mortality.  Whilst models based on these types of assumptions typically account for uncertainty</w:t>
      </w:r>
      <w:r w:rsidR="007374FE">
        <w:t xml:space="preserve"> by varying </w:t>
      </w:r>
      <w:r w:rsidR="004B716F">
        <w:t>probabilities</w:t>
      </w:r>
      <w:r w:rsidR="009847FB">
        <w:t>, they lack the fidelity to make individual predictions based on patient level data.</w:t>
      </w:r>
      <w:r w:rsidR="005C71D8">
        <w:t xml:space="preserve">  Furthermore, there are no standard models available to extrapolate effect.  </w:t>
      </w:r>
      <w:r w:rsidR="0089136C">
        <w:t>This means that it can be difficult to compare post-follow up estimates of effect.</w:t>
      </w:r>
      <w:r w:rsidR="009847FB">
        <w:t xml:space="preserve">  </w:t>
      </w:r>
      <w:r w:rsidR="00AC5AC0">
        <w:t xml:space="preserve">Indeed, the European Stroke Organisation’s Health Economics Working Group recommended the ‘Development of resources for the standardisation of economic evaluation’ </w:t>
      </w:r>
      <w:r w:rsidR="00AC5AC0">
        <w:rPr>
          <w:rStyle w:val="EndnoteReference"/>
        </w:rPr>
        <w:endnoteReference w:id="1"/>
      </w:r>
      <w:r w:rsidR="00AC5AC0">
        <w:t xml:space="preserve">. </w:t>
      </w:r>
      <w:r w:rsidR="009847FB">
        <w:t>In other disease areas, notably Diabetes, models</w:t>
      </w:r>
      <w:r w:rsidR="00435DF7">
        <w:t xml:space="preserve"> including the </w:t>
      </w:r>
      <w:r w:rsidR="00BC22CE" w:rsidRPr="00BC22CE">
        <w:t>United Kingdom Prospective Diabetes Study</w:t>
      </w:r>
      <w:r w:rsidR="001D00C1">
        <w:t xml:space="preserve"> Outcomes Model</w:t>
      </w:r>
      <w:r w:rsidR="00003106">
        <w:t xml:space="preserve"> </w:t>
      </w:r>
      <w:r w:rsidR="00003106">
        <w:fldChar w:fldCharType="begin"/>
      </w:r>
      <w:r w:rsidR="00003106">
        <w:instrText xml:space="preserve"> NOTEREF _Ref112070873 \f \h </w:instrText>
      </w:r>
      <w:r w:rsidR="00003106">
        <w:fldChar w:fldCharType="separate"/>
      </w:r>
      <w:proofErr w:type="spellStart"/>
      <w:r w:rsidR="00003106" w:rsidRPr="00003106">
        <w:rPr>
          <w:rStyle w:val="EndnoteReference"/>
        </w:rPr>
        <w:t>i</w:t>
      </w:r>
      <w:proofErr w:type="spellEnd"/>
      <w:r w:rsidR="00003106">
        <w:fldChar w:fldCharType="end"/>
      </w:r>
      <w:r w:rsidR="000B2CDA">
        <w:rPr>
          <w:rStyle w:val="EndnoteReference"/>
        </w:rPr>
        <w:endnoteReference w:id="2"/>
      </w:r>
      <w:r w:rsidR="009847FB">
        <w:t xml:space="preserve"> that can</w:t>
      </w:r>
      <w:r w:rsidR="00CB0272">
        <w:t xml:space="preserve"> be used to</w:t>
      </w:r>
      <w:r w:rsidR="009847FB">
        <w:t xml:space="preserve"> make predictions about individual patients have been developed to estimate the lifetime effects of interventions </w:t>
      </w:r>
      <w:r w:rsidR="00BC0460">
        <w:t>that are designed to affect the</w:t>
      </w:r>
      <w:r w:rsidR="005C71D8">
        <w:t xml:space="preserve"> life-time</w:t>
      </w:r>
      <w:r w:rsidR="00BC0460">
        <w:t xml:space="preserve"> probability of complications of diabetes.</w:t>
      </w:r>
      <w:r w:rsidR="005C71D8">
        <w:t xml:space="preserve">  Diabetes models typically have large numbers of inputs to reflect the known risk factors associated with complications.  In contrast, a lifetime stroke model developed to extrapolate the results of clinical trials would have fewer inputs.  These should be restricted to those available at time of discharge.  </w:t>
      </w:r>
      <w:r w:rsidR="00BC0460">
        <w:t xml:space="preserve"> </w:t>
      </w:r>
      <w:r w:rsidR="0089136C">
        <w:t xml:space="preserve">The aim of this study is to develop a set of equations that can be used in simulation studies that can be used to model lifetime effects of secondary care utilisation based on circumstances at discharge. </w:t>
      </w:r>
      <w:r w:rsidR="00C55400">
        <w:t xml:space="preserve">  The </w:t>
      </w:r>
      <w:r w:rsidR="004B716F">
        <w:t xml:space="preserve">objectives are to use a retrospective cohort of stroke </w:t>
      </w:r>
      <w:r w:rsidR="000B2CDA">
        <w:t>patients</w:t>
      </w:r>
      <w:r w:rsidR="00C55400">
        <w:t xml:space="preserve"> to develop the </w:t>
      </w:r>
      <w:r w:rsidR="000B2CDA">
        <w:t>equations, to do so</w:t>
      </w:r>
      <w:r w:rsidR="00C55400">
        <w:t xml:space="preserve"> in such a way that that they can easily be incorporated into </w:t>
      </w:r>
      <w:r w:rsidR="00AC5AC0">
        <w:t xml:space="preserve">a range </w:t>
      </w:r>
      <w:r w:rsidR="00C55400">
        <w:t xml:space="preserve">models developed in a range </w:t>
      </w:r>
      <w:r w:rsidR="00A44043">
        <w:t xml:space="preserve">of </w:t>
      </w:r>
      <w:r w:rsidR="00C55400">
        <w:t xml:space="preserve">computing </w:t>
      </w:r>
      <w:r w:rsidR="00A44043">
        <w:t>environments</w:t>
      </w:r>
      <w:r w:rsidR="000B2CDA">
        <w:t xml:space="preserve"> and to illustrate how they may be incorporated into models of cost-effectiveness</w:t>
      </w:r>
      <w:r w:rsidR="006F4A0D">
        <w:t>.</w:t>
      </w:r>
      <w:r w:rsidR="003809E7">
        <w:t xml:space="preserve"> </w:t>
      </w:r>
      <w:r w:rsidR="006F4A0D">
        <w:t>This is</w:t>
      </w:r>
      <w:r w:rsidR="003809E7">
        <w:t xml:space="preserve"> t</w:t>
      </w:r>
      <w:r w:rsidR="003C7BD4">
        <w:t>o promote the use of a common set of predictors of events over the life course</w:t>
      </w:r>
      <w:r w:rsidR="00BC22CE">
        <w:t xml:space="preserve"> </w:t>
      </w:r>
      <w:r w:rsidR="003B1820">
        <w:t>and increasing the comparability of models used to extrapolate the effects of differing treatments.</w:t>
      </w:r>
    </w:p>
    <w:p w14:paraId="0E15A26F" w14:textId="77777777" w:rsidR="00BC0460" w:rsidRDefault="00BC0460"/>
    <w:p w14:paraId="63B28A65" w14:textId="43B4E72E" w:rsidR="00175CFF" w:rsidRPr="00E65685" w:rsidRDefault="00175CFF">
      <w:pPr>
        <w:rPr>
          <w:b/>
          <w:bCs/>
        </w:rPr>
      </w:pPr>
      <w:r w:rsidRPr="00E65685">
        <w:rPr>
          <w:b/>
          <w:bCs/>
        </w:rPr>
        <w:t>Methods</w:t>
      </w:r>
    </w:p>
    <w:p w14:paraId="29B0A7EA" w14:textId="6012D761" w:rsidR="00175CFF" w:rsidRDefault="00175CFF">
      <w:r>
        <w:t>The major objective of this model is to simulate lifetime secondary care use by stroke patients after discharge from hospital as well as to calculate life expectancy.  It is a patient level epidemiological model for a population of adults.  The model integrates</w:t>
      </w:r>
      <w:r w:rsidR="00A44043">
        <w:t xml:space="preserve"> a set of</w:t>
      </w:r>
      <w:r>
        <w:t xml:space="preserve"> risk equations for secondary care</w:t>
      </w:r>
      <w:r w:rsidR="00A44043">
        <w:t xml:space="preserve"> usage after discharge</w:t>
      </w:r>
      <w:r>
        <w:t xml:space="preserve"> </w:t>
      </w:r>
      <w:r w:rsidR="00A44043">
        <w:t>with a mortality equation</w:t>
      </w:r>
      <w:r>
        <w:t>.  The inputs to the model are restricted to age</w:t>
      </w:r>
      <w:r w:rsidR="000A12C9">
        <w:t xml:space="preserve"> at discharge</w:t>
      </w:r>
      <w:r>
        <w:t xml:space="preserve">, </w:t>
      </w:r>
      <w:r w:rsidR="007374FE">
        <w:t>sex,</w:t>
      </w:r>
      <w:r>
        <w:t xml:space="preserve"> and modified Rankin Score at discharge.</w:t>
      </w:r>
      <w:r w:rsidR="00E65685">
        <w:t xml:space="preserve">  The model is designed to be used in either discrete time or discrete event simulations.</w:t>
      </w:r>
      <w:r w:rsidR="00A44043">
        <w:t xml:space="preserve">  The risk equations for secondary care usage are for non-elective admissions, elective </w:t>
      </w:r>
      <w:r w:rsidR="007374FE">
        <w:t>admissions,</w:t>
      </w:r>
      <w:r w:rsidR="00A44043">
        <w:t xml:space="preserve"> and A&amp;E attendances. </w:t>
      </w:r>
      <w:r w:rsidR="000A12C9">
        <w:t>By combining predictions of resource use with predictions of mortality, annual estimates resource utilisation based on model inputs can be modelled.</w:t>
      </w:r>
    </w:p>
    <w:p w14:paraId="15E894CD" w14:textId="77777777" w:rsidR="00A44043" w:rsidRDefault="00A44043"/>
    <w:p w14:paraId="42C80425" w14:textId="0E816ABD" w:rsidR="00E65685" w:rsidRDefault="00E65685">
      <w:pPr>
        <w:rPr>
          <w:i/>
          <w:iCs/>
        </w:rPr>
      </w:pPr>
      <w:r w:rsidRPr="00631EF5">
        <w:rPr>
          <w:i/>
          <w:iCs/>
        </w:rPr>
        <w:lastRenderedPageBreak/>
        <w:t>Risk Equations</w:t>
      </w:r>
    </w:p>
    <w:p w14:paraId="679262B5" w14:textId="19EDBE4D" w:rsidR="003A5A37" w:rsidRPr="003A5A37" w:rsidRDefault="57E345E3" w:rsidP="733A61AC">
      <w:pPr>
        <w:rPr>
          <w:color w:val="FF0000"/>
        </w:rPr>
      </w:pPr>
      <w:r>
        <w:t xml:space="preserve">We derive five equations that can be used to estimate life expectancy and lifetime secondary care usage.  Each equation takes modified Rankin Score at discharge, age at stroke onset and sex as inputs and predicts survival or resource use.  Risk equations based on parametric relationships that reflect the nature of the underlying data. Risk equations for mortality were developed to take account of status in different years.  There are two equations for mortality.  The first, a logistic prediction of death in the 12 months following discharge.  The second, a </w:t>
      </w:r>
      <w:proofErr w:type="spellStart"/>
      <w:r>
        <w:t>Gompertz</w:t>
      </w:r>
      <w:proofErr w:type="spellEnd"/>
      <w:r>
        <w:t xml:space="preserve"> model for times post the 12 months since discharge, in which the hazard of death increases exponentially with time. Increased mortality risk in the 12months following discharge</w:t>
      </w:r>
      <w:r w:rsidR="007374FE">
        <w:t xml:space="preserve"> followed by lower risks in subsequent years</w:t>
      </w:r>
      <w:r>
        <w:t xml:space="preserve"> means they are unsuitable for use during this period as the hazard of death potentially decreases.  </w:t>
      </w:r>
      <w:proofErr w:type="spellStart"/>
      <w:r>
        <w:t>Gompertz</w:t>
      </w:r>
      <w:proofErr w:type="spellEnd"/>
      <w:r>
        <w:t xml:space="preserve"> models have several advantages which make them suitable for modelling.  For example, the probability of death at any one time can be calculated as can the time of death based on a probability.  This follows the approach taken in the UKPDS Outcome model.  The remaining three equations predict resource usage for secondary care events consisting of A&amp;E admissions, non-elective bed days, and elective bed days.  </w:t>
      </w:r>
      <w:r w:rsidR="004B716F">
        <w:t>Survival functions were chosen to represent increasing resource use over time</w:t>
      </w:r>
      <w:r w:rsidR="004B716F">
        <w:rPr>
          <w:rStyle w:val="EndnoteReference"/>
        </w:rPr>
        <w:endnoteReference w:id="3"/>
      </w:r>
      <w:r w:rsidR="004B716F">
        <w:t xml:space="preserve">. </w:t>
      </w:r>
      <w:r w:rsidR="00AC5AC0">
        <w:t>The algorithms provided in the Supplementary Materials are suitable for use in both discrete-event and discrete time models.</w:t>
      </w:r>
    </w:p>
    <w:p w14:paraId="67F30FDD" w14:textId="77777777" w:rsidR="00631EF5" w:rsidRDefault="00631EF5"/>
    <w:p w14:paraId="71E775A6" w14:textId="295E923A" w:rsidR="00E65685" w:rsidRPr="00631EF5" w:rsidRDefault="00E65685">
      <w:pPr>
        <w:rPr>
          <w:i/>
          <w:iCs/>
        </w:rPr>
      </w:pPr>
      <w:r w:rsidRPr="00631EF5">
        <w:rPr>
          <w:i/>
          <w:iCs/>
        </w:rPr>
        <w:t>Study subjects and outcomes</w:t>
      </w:r>
    </w:p>
    <w:p w14:paraId="2C1C92F6" w14:textId="3A669E92" w:rsidR="00E65685" w:rsidRDefault="57E345E3">
      <w:r>
        <w:t>1,509 stroke patient who were discharged from an acute stroke hospital in the northeast of England between 1 January 2013 and 31 December 2014 were followed up from discharge from index stroke event until 2 April 2021, with information about subsequent deaths, A&amp;E attendances (annual count), elective (annual total length of stays) and non-elective admissions (annual total length of stays)</w:t>
      </w:r>
    </w:p>
    <w:p w14:paraId="0811881A" w14:textId="77777777" w:rsidR="00EC3805" w:rsidRDefault="00EC3805">
      <w:pPr>
        <w:rPr>
          <w:i/>
          <w:iCs/>
        </w:rPr>
      </w:pPr>
    </w:p>
    <w:p w14:paraId="05E5BBA9" w14:textId="7214190A" w:rsidR="00E65685" w:rsidRPr="00631EF5" w:rsidRDefault="00E65685">
      <w:pPr>
        <w:rPr>
          <w:i/>
          <w:iCs/>
        </w:rPr>
      </w:pPr>
      <w:r w:rsidRPr="00631EF5">
        <w:rPr>
          <w:i/>
          <w:iCs/>
        </w:rPr>
        <w:t>Statistical Analyses</w:t>
      </w:r>
    </w:p>
    <w:p w14:paraId="4DCD703F" w14:textId="4F302E69" w:rsidR="00E65685" w:rsidRDefault="007374FE">
      <w:r>
        <w:t>The availability of population mortality, in the form of life tables, means that it is possible to extrapolate beyond the observed data.  Extrapolation of secondary care data is possible because of the forms of the cumulative functions.</w:t>
      </w:r>
      <w:r w:rsidR="007A35DA">
        <w:t xml:space="preserve"> Age at stroke onset was centred on the mean age of the cohort in the case of the </w:t>
      </w:r>
      <w:proofErr w:type="spellStart"/>
      <w:r w:rsidR="007A35DA">
        <w:t>Gompertz</w:t>
      </w:r>
      <w:proofErr w:type="spellEnd"/>
      <w:r w:rsidR="007A35DA">
        <w:t xml:space="preserve"> survival models and resource utilisation models.  In the case of one year survival age was centred on the mean of the </w:t>
      </w:r>
      <w:proofErr w:type="spellStart"/>
      <w:r w:rsidR="007A35DA">
        <w:t>mRS</w:t>
      </w:r>
      <w:proofErr w:type="spellEnd"/>
      <w:r w:rsidR="007A35DA">
        <w:t>.</w:t>
      </w:r>
    </w:p>
    <w:p w14:paraId="238A148D" w14:textId="77777777" w:rsidR="00327590" w:rsidRDefault="00327590">
      <w:pPr>
        <w:rPr>
          <w:i/>
          <w:iCs/>
        </w:rPr>
      </w:pPr>
    </w:p>
    <w:p w14:paraId="09222BB7" w14:textId="63112374" w:rsidR="00770E49" w:rsidRDefault="00770E49">
      <w:pPr>
        <w:rPr>
          <w:i/>
          <w:iCs/>
        </w:rPr>
      </w:pPr>
      <w:r w:rsidRPr="00EC3805">
        <w:rPr>
          <w:i/>
          <w:iCs/>
        </w:rPr>
        <w:t>Extrapolating survival</w:t>
      </w:r>
    </w:p>
    <w:p w14:paraId="493F9B04" w14:textId="367B8AAC" w:rsidR="00EC3805" w:rsidRDefault="57E345E3">
      <w:r>
        <w:t xml:space="preserve">The requirement to be able to extrapolate effects over the life course required running a simulation based on survival in the observed data and life tables.  The first stage of this required the creation of a cohort of patients who had not had strokes based on the age and sex distribution of our 1,509 patients.  Then using data from life table, each patient in that cohort was allocated a random day of death based on life tables and a </w:t>
      </w:r>
      <w:proofErr w:type="spellStart"/>
      <w:r>
        <w:t>Gompertz</w:t>
      </w:r>
      <w:proofErr w:type="spellEnd"/>
      <w:r>
        <w:t xml:space="preserve"> model estimated.  This allocation of a random day of death based on age and sex and estimation of a </w:t>
      </w:r>
      <w:proofErr w:type="spellStart"/>
      <w:r>
        <w:t>Gompertz</w:t>
      </w:r>
      <w:proofErr w:type="spellEnd"/>
      <w:r>
        <w:t xml:space="preserve"> model was repeated 10,000 times and a set of hazard ratios for death was estimated for each state captured by the modified Rankin compared to the cohort of non-stroke patients.  These hazard ratios, along with the gamma parameter (rate of increase in mortality over time) of the </w:t>
      </w:r>
      <w:proofErr w:type="spellStart"/>
      <w:r>
        <w:t>Gompertz</w:t>
      </w:r>
      <w:proofErr w:type="spellEnd"/>
      <w:r>
        <w:t xml:space="preserve"> model were then used in a </w:t>
      </w:r>
      <w:r>
        <w:lastRenderedPageBreak/>
        <w:t xml:space="preserve">second simulation. During the second simulation, each stroke patient surviving at censor was given a random date of death, based on their age, sex and hazard ratio associated with their modified Rankin Score at discharge (estimated during first simulation).  Lifespan was truncated at 100 years of age and the simulation was run 10,000 times to estimate the lifetime </w:t>
      </w:r>
      <w:proofErr w:type="spellStart"/>
      <w:r>
        <w:t>Gompertz</w:t>
      </w:r>
      <w:proofErr w:type="spellEnd"/>
      <w:r>
        <w:t xml:space="preserve"> model.  The additional risk of death associated with each modified Rankin state compared to the UK population was applied to the risk of death (from life tables) for those alive at censor.</w:t>
      </w:r>
    </w:p>
    <w:p w14:paraId="3C83AB79" w14:textId="22560345" w:rsidR="000B2CDA" w:rsidRDefault="000B2CDA"/>
    <w:p w14:paraId="58C83E63" w14:textId="3450CD18" w:rsidR="000B2CDA" w:rsidRPr="000B2CDA" w:rsidRDefault="000B2CDA">
      <w:pPr>
        <w:rPr>
          <w:i/>
          <w:iCs/>
        </w:rPr>
      </w:pPr>
      <w:r w:rsidRPr="000B2CDA">
        <w:rPr>
          <w:i/>
          <w:iCs/>
        </w:rPr>
        <w:t>Estimating Secondary Care Resource Utilisation</w:t>
      </w:r>
    </w:p>
    <w:p w14:paraId="319487BC" w14:textId="38C6A26C" w:rsidR="007F7BB0" w:rsidRPr="007F7BB0" w:rsidRDefault="000B2CDA" w:rsidP="000B2CDA">
      <w:r>
        <w:t xml:space="preserve">The appropriate distribution of each of the resource use was chosen based on the Akaike information criterion (AIC).  Choice of model was also influenced by their suitability for extrapolation.  As such, A&amp;E admissions were modelled using a Weibull distribution while non-elective bed days and elective bed days were both modelled using a loglogistic distribution.   </w:t>
      </w:r>
      <w:r w:rsidR="007F7BB0">
        <w:t xml:space="preserve">For each A&amp;E attendance the cumulative count was increased on the day of the attendance unless it occurred at the same time as a non-elective admission. Elective and non-elective admissions were accounted for in terms of cumulative days of bed occupancy.  </w:t>
      </w:r>
      <w:r w:rsidR="00847B0E">
        <w:t xml:space="preserve"> For example, a non-elective admission lasting fifteen days was modelled as fifteen sequential bed days.</w:t>
      </w:r>
    </w:p>
    <w:p w14:paraId="3DE40366" w14:textId="27E62130" w:rsidR="00E65685" w:rsidRDefault="00515BAE">
      <w:r>
        <w:t>All analyses were carried out in Stata</w:t>
      </w:r>
      <w:r w:rsidR="00F824E7">
        <w:t xml:space="preserve"> and R.</w:t>
      </w:r>
      <w:r w:rsidR="007F7BB0">
        <w:t xml:space="preserve">  Statas’ </w:t>
      </w:r>
      <w:proofErr w:type="spellStart"/>
      <w:r w:rsidR="007F7BB0">
        <w:t>streg</w:t>
      </w:r>
      <w:proofErr w:type="spellEnd"/>
      <w:r w:rsidR="007F7BB0">
        <w:t xml:space="preserve"> command was used to estimate survival to allow for multiple events per patient in the case of secondary resource use. </w:t>
      </w:r>
    </w:p>
    <w:p w14:paraId="31B0395F" w14:textId="77777777" w:rsidR="00024013" w:rsidRDefault="00024013"/>
    <w:p w14:paraId="497D9CB9" w14:textId="6B915137" w:rsidR="00E65685" w:rsidRDefault="0FE9BE9B">
      <w:pPr>
        <w:rPr>
          <w:b/>
          <w:bCs/>
        </w:rPr>
      </w:pPr>
      <w:r w:rsidRPr="0FE9BE9B">
        <w:rPr>
          <w:b/>
          <w:bCs/>
        </w:rPr>
        <w:t>Results</w:t>
      </w:r>
    </w:p>
    <w:p w14:paraId="3D4A1DD0" w14:textId="795CE89C" w:rsidR="00C71C83" w:rsidRPr="00C71C83" w:rsidRDefault="00C71C83" w:rsidP="0FE9BE9B">
      <w:pPr>
        <w:spacing w:line="257" w:lineRule="auto"/>
        <w:rPr>
          <w:rFonts w:ascii="Calibri" w:eastAsia="Calibri" w:hAnsi="Calibri" w:cs="Calibri"/>
          <w:i/>
          <w:iCs/>
        </w:rPr>
      </w:pPr>
      <w:r w:rsidRPr="00C71C83">
        <w:rPr>
          <w:rFonts w:ascii="Calibri" w:eastAsia="Calibri" w:hAnsi="Calibri" w:cs="Calibri"/>
          <w:i/>
          <w:iCs/>
        </w:rPr>
        <w:t>Baseline Characteristics</w:t>
      </w:r>
    </w:p>
    <w:p w14:paraId="16B82649" w14:textId="023EC64D" w:rsidR="00D51EC7" w:rsidRDefault="0FE9BE9B" w:rsidP="0FE9BE9B">
      <w:pPr>
        <w:spacing w:line="257" w:lineRule="auto"/>
      </w:pPr>
      <w:r w:rsidRPr="0FE9BE9B">
        <w:rPr>
          <w:rFonts w:ascii="Calibri" w:eastAsia="Calibri" w:hAnsi="Calibri" w:cs="Calibri"/>
        </w:rPr>
        <w:t xml:space="preserve">There were 1,509 patients in the cohort, and it contained information about 7,110.53 post discharge patient years and just over half the patients were male and their mean age was 74. At censor date 44.40% of patients were alive, ranging from no patients discharged with an </w:t>
      </w:r>
      <w:proofErr w:type="spellStart"/>
      <w:r w:rsidRPr="0FE9BE9B">
        <w:rPr>
          <w:rFonts w:ascii="Calibri" w:eastAsia="Calibri" w:hAnsi="Calibri" w:cs="Calibri"/>
        </w:rPr>
        <w:t>mRs</w:t>
      </w:r>
      <w:proofErr w:type="spellEnd"/>
      <w:r w:rsidRPr="0FE9BE9B">
        <w:rPr>
          <w:rFonts w:ascii="Calibri" w:eastAsia="Calibri" w:hAnsi="Calibri" w:cs="Calibri"/>
        </w:rPr>
        <w:t xml:space="preserve"> of 5 to 71.94% with an </w:t>
      </w:r>
      <w:proofErr w:type="spellStart"/>
      <w:r w:rsidRPr="0FE9BE9B">
        <w:rPr>
          <w:rFonts w:ascii="Calibri" w:eastAsia="Calibri" w:hAnsi="Calibri" w:cs="Calibri"/>
        </w:rPr>
        <w:t>mRs</w:t>
      </w:r>
      <w:proofErr w:type="spellEnd"/>
      <w:r w:rsidRPr="0FE9BE9B">
        <w:rPr>
          <w:rFonts w:ascii="Calibri" w:eastAsia="Calibri" w:hAnsi="Calibri" w:cs="Calibri"/>
        </w:rPr>
        <w:t xml:space="preserve"> of zero. Further details of the cohort are shown in Table 1.</w:t>
      </w:r>
    </w:p>
    <w:p w14:paraId="1244D557" w14:textId="4F92F88B" w:rsidR="00D51EC7" w:rsidRDefault="0FE9BE9B">
      <w:r w:rsidRPr="0FE9BE9B">
        <w:rPr>
          <w:rFonts w:ascii="Calibri" w:eastAsia="Calibri" w:hAnsi="Calibri" w:cs="Calibri"/>
        </w:rPr>
        <w:t>Table 1 Baseline characteristics at discharge by modified Rankin scale at discharge.</w:t>
      </w:r>
    </w:p>
    <w:tbl>
      <w:tblPr>
        <w:tblW w:w="9596" w:type="dxa"/>
        <w:tblLayout w:type="fixed"/>
        <w:tblLook w:val="04A0" w:firstRow="1" w:lastRow="0" w:firstColumn="1" w:lastColumn="0" w:noHBand="0" w:noVBand="1"/>
      </w:tblPr>
      <w:tblGrid>
        <w:gridCol w:w="1949"/>
        <w:gridCol w:w="1018"/>
        <w:gridCol w:w="992"/>
        <w:gridCol w:w="993"/>
        <w:gridCol w:w="992"/>
        <w:gridCol w:w="1134"/>
        <w:gridCol w:w="1276"/>
        <w:gridCol w:w="1242"/>
      </w:tblGrid>
      <w:tr w:rsidR="000B2CDA" w:rsidRPr="000B2CDA" w14:paraId="0AF3430F" w14:textId="77777777" w:rsidTr="000B2CDA">
        <w:tc>
          <w:tcPr>
            <w:tcW w:w="1949" w:type="dxa"/>
            <w:tcBorders>
              <w:top w:val="single" w:sz="8" w:space="0" w:color="auto"/>
              <w:left w:val="single" w:sz="8" w:space="0" w:color="auto"/>
              <w:bottom w:val="single" w:sz="8" w:space="0" w:color="auto"/>
              <w:right w:val="single" w:sz="8" w:space="0" w:color="auto"/>
            </w:tcBorders>
          </w:tcPr>
          <w:p w14:paraId="6FA7293D" w14:textId="05D3F6AC" w:rsidR="0FE9BE9B" w:rsidRPr="000B2CDA" w:rsidRDefault="0FE9BE9B" w:rsidP="0FE9BE9B">
            <w:pPr>
              <w:rPr>
                <w:rFonts w:eastAsia="Calibri" w:cstheme="minorHAnsi"/>
                <w:b/>
                <w:bCs/>
                <w:sz w:val="20"/>
                <w:szCs w:val="20"/>
              </w:rPr>
            </w:pPr>
          </w:p>
        </w:tc>
        <w:tc>
          <w:tcPr>
            <w:tcW w:w="1018" w:type="dxa"/>
            <w:tcBorders>
              <w:top w:val="single" w:sz="8" w:space="0" w:color="auto"/>
              <w:left w:val="single" w:sz="8" w:space="0" w:color="auto"/>
              <w:bottom w:val="single" w:sz="8" w:space="0" w:color="auto"/>
              <w:right w:val="single" w:sz="8" w:space="0" w:color="auto"/>
            </w:tcBorders>
          </w:tcPr>
          <w:p w14:paraId="70714187" w14:textId="667F633E" w:rsidR="0FE9BE9B" w:rsidRPr="000B2CDA" w:rsidRDefault="0FE9BE9B">
            <w:pPr>
              <w:rPr>
                <w:rFonts w:cstheme="minorHAnsi"/>
                <w:b/>
                <w:bCs/>
                <w:sz w:val="20"/>
                <w:szCs w:val="20"/>
              </w:rPr>
            </w:pPr>
            <w:r w:rsidRPr="000B2CDA">
              <w:rPr>
                <w:rFonts w:eastAsia="Calibri" w:cstheme="minorHAnsi"/>
                <w:b/>
                <w:bCs/>
                <w:sz w:val="20"/>
                <w:szCs w:val="20"/>
              </w:rPr>
              <w:t>Total (n=1,509)</w:t>
            </w:r>
          </w:p>
        </w:tc>
        <w:tc>
          <w:tcPr>
            <w:tcW w:w="992" w:type="dxa"/>
            <w:tcBorders>
              <w:top w:val="single" w:sz="8" w:space="0" w:color="auto"/>
              <w:left w:val="single" w:sz="8" w:space="0" w:color="auto"/>
              <w:bottom w:val="single" w:sz="8" w:space="0" w:color="auto"/>
              <w:right w:val="single" w:sz="8" w:space="0" w:color="auto"/>
            </w:tcBorders>
          </w:tcPr>
          <w:p w14:paraId="1A1404B8" w14:textId="662BD597" w:rsidR="0FE9BE9B" w:rsidRPr="000B2CDA" w:rsidRDefault="0FE9BE9B">
            <w:pPr>
              <w:rPr>
                <w:rFonts w:cstheme="minorHAnsi"/>
                <w:b/>
                <w:bCs/>
                <w:sz w:val="20"/>
                <w:szCs w:val="20"/>
              </w:rPr>
            </w:pPr>
            <w:proofErr w:type="spellStart"/>
            <w:r w:rsidRPr="000B2CDA">
              <w:rPr>
                <w:rFonts w:eastAsia="Calibri" w:cstheme="minorHAnsi"/>
                <w:b/>
                <w:bCs/>
                <w:sz w:val="20"/>
                <w:szCs w:val="20"/>
              </w:rPr>
              <w:t>mRS</w:t>
            </w:r>
            <w:proofErr w:type="spellEnd"/>
            <w:r w:rsidRPr="000B2CDA">
              <w:rPr>
                <w:rFonts w:eastAsia="Calibri" w:cstheme="minorHAnsi"/>
                <w:b/>
                <w:bCs/>
                <w:sz w:val="20"/>
                <w:szCs w:val="20"/>
              </w:rPr>
              <w:t xml:space="preserve"> 0 (n=139)</w:t>
            </w:r>
          </w:p>
        </w:tc>
        <w:tc>
          <w:tcPr>
            <w:tcW w:w="993" w:type="dxa"/>
            <w:tcBorders>
              <w:top w:val="single" w:sz="8" w:space="0" w:color="auto"/>
              <w:left w:val="single" w:sz="8" w:space="0" w:color="auto"/>
              <w:bottom w:val="single" w:sz="8" w:space="0" w:color="auto"/>
              <w:right w:val="single" w:sz="8" w:space="0" w:color="auto"/>
            </w:tcBorders>
          </w:tcPr>
          <w:p w14:paraId="79B2B1AE" w14:textId="3A97D876" w:rsidR="0FE9BE9B" w:rsidRPr="000B2CDA" w:rsidRDefault="0FE9BE9B">
            <w:pPr>
              <w:rPr>
                <w:rFonts w:cstheme="minorHAnsi"/>
                <w:b/>
                <w:bCs/>
                <w:sz w:val="20"/>
                <w:szCs w:val="20"/>
              </w:rPr>
            </w:pPr>
            <w:proofErr w:type="spellStart"/>
            <w:r w:rsidRPr="000B2CDA">
              <w:rPr>
                <w:rFonts w:eastAsia="Calibri" w:cstheme="minorHAnsi"/>
                <w:b/>
                <w:bCs/>
                <w:sz w:val="20"/>
                <w:szCs w:val="20"/>
              </w:rPr>
              <w:t>mRS</w:t>
            </w:r>
            <w:proofErr w:type="spellEnd"/>
            <w:r w:rsidRPr="000B2CDA">
              <w:rPr>
                <w:rFonts w:eastAsia="Calibri" w:cstheme="minorHAnsi"/>
                <w:b/>
                <w:bCs/>
                <w:sz w:val="20"/>
                <w:szCs w:val="20"/>
              </w:rPr>
              <w:t xml:space="preserve"> 1 (n=333)</w:t>
            </w:r>
          </w:p>
        </w:tc>
        <w:tc>
          <w:tcPr>
            <w:tcW w:w="992" w:type="dxa"/>
            <w:tcBorders>
              <w:top w:val="single" w:sz="8" w:space="0" w:color="auto"/>
              <w:left w:val="single" w:sz="8" w:space="0" w:color="auto"/>
              <w:bottom w:val="single" w:sz="8" w:space="0" w:color="auto"/>
              <w:right w:val="single" w:sz="8" w:space="0" w:color="auto"/>
            </w:tcBorders>
          </w:tcPr>
          <w:p w14:paraId="2FA75426" w14:textId="12121023" w:rsidR="0FE9BE9B" w:rsidRPr="000B2CDA" w:rsidRDefault="0FE9BE9B">
            <w:pPr>
              <w:rPr>
                <w:rFonts w:cstheme="minorHAnsi"/>
                <w:b/>
                <w:bCs/>
                <w:sz w:val="20"/>
                <w:szCs w:val="20"/>
              </w:rPr>
            </w:pPr>
            <w:proofErr w:type="spellStart"/>
            <w:r w:rsidRPr="000B2CDA">
              <w:rPr>
                <w:rFonts w:eastAsia="Calibri" w:cstheme="minorHAnsi"/>
                <w:b/>
                <w:bCs/>
                <w:sz w:val="20"/>
                <w:szCs w:val="20"/>
              </w:rPr>
              <w:t>mRS</w:t>
            </w:r>
            <w:proofErr w:type="spellEnd"/>
            <w:r w:rsidRPr="000B2CDA">
              <w:rPr>
                <w:rFonts w:eastAsia="Calibri" w:cstheme="minorHAnsi"/>
                <w:b/>
                <w:bCs/>
                <w:sz w:val="20"/>
                <w:szCs w:val="20"/>
              </w:rPr>
              <w:t xml:space="preserve"> 2 (n=366)</w:t>
            </w:r>
          </w:p>
        </w:tc>
        <w:tc>
          <w:tcPr>
            <w:tcW w:w="1134" w:type="dxa"/>
            <w:tcBorders>
              <w:top w:val="single" w:sz="8" w:space="0" w:color="auto"/>
              <w:left w:val="single" w:sz="8" w:space="0" w:color="auto"/>
              <w:bottom w:val="single" w:sz="8" w:space="0" w:color="auto"/>
              <w:right w:val="single" w:sz="8" w:space="0" w:color="auto"/>
            </w:tcBorders>
          </w:tcPr>
          <w:p w14:paraId="7A070ED3" w14:textId="510C4304" w:rsidR="0FE9BE9B" w:rsidRPr="000B2CDA" w:rsidRDefault="0FE9BE9B">
            <w:pPr>
              <w:rPr>
                <w:rFonts w:cstheme="minorHAnsi"/>
                <w:b/>
                <w:bCs/>
                <w:sz w:val="20"/>
                <w:szCs w:val="20"/>
              </w:rPr>
            </w:pPr>
            <w:proofErr w:type="spellStart"/>
            <w:r w:rsidRPr="000B2CDA">
              <w:rPr>
                <w:rFonts w:eastAsia="Calibri" w:cstheme="minorHAnsi"/>
                <w:b/>
                <w:bCs/>
                <w:sz w:val="20"/>
                <w:szCs w:val="20"/>
              </w:rPr>
              <w:t>mRS</w:t>
            </w:r>
            <w:proofErr w:type="spellEnd"/>
            <w:r w:rsidRPr="000B2CDA">
              <w:rPr>
                <w:rFonts w:eastAsia="Calibri" w:cstheme="minorHAnsi"/>
                <w:b/>
                <w:bCs/>
                <w:sz w:val="20"/>
                <w:szCs w:val="20"/>
              </w:rPr>
              <w:t xml:space="preserve"> 3 (n=359)</w:t>
            </w:r>
          </w:p>
        </w:tc>
        <w:tc>
          <w:tcPr>
            <w:tcW w:w="1276" w:type="dxa"/>
            <w:tcBorders>
              <w:top w:val="single" w:sz="8" w:space="0" w:color="auto"/>
              <w:left w:val="single" w:sz="8" w:space="0" w:color="auto"/>
              <w:bottom w:val="single" w:sz="8" w:space="0" w:color="auto"/>
              <w:right w:val="single" w:sz="8" w:space="0" w:color="auto"/>
            </w:tcBorders>
          </w:tcPr>
          <w:p w14:paraId="717458FE" w14:textId="4DDE0770" w:rsidR="0FE9BE9B" w:rsidRPr="000B2CDA" w:rsidRDefault="0FE9BE9B">
            <w:pPr>
              <w:rPr>
                <w:rFonts w:cstheme="minorHAnsi"/>
                <w:b/>
                <w:bCs/>
                <w:sz w:val="20"/>
                <w:szCs w:val="20"/>
              </w:rPr>
            </w:pPr>
            <w:proofErr w:type="spellStart"/>
            <w:r w:rsidRPr="000B2CDA">
              <w:rPr>
                <w:rFonts w:eastAsia="Calibri" w:cstheme="minorHAnsi"/>
                <w:b/>
                <w:bCs/>
                <w:sz w:val="20"/>
                <w:szCs w:val="20"/>
              </w:rPr>
              <w:t>mRS</w:t>
            </w:r>
            <w:proofErr w:type="spellEnd"/>
            <w:r w:rsidRPr="000B2CDA">
              <w:rPr>
                <w:rFonts w:eastAsia="Calibri" w:cstheme="minorHAnsi"/>
                <w:b/>
                <w:bCs/>
                <w:sz w:val="20"/>
                <w:szCs w:val="20"/>
              </w:rPr>
              <w:t xml:space="preserve"> 4 (n=268)</w:t>
            </w:r>
          </w:p>
        </w:tc>
        <w:tc>
          <w:tcPr>
            <w:tcW w:w="1242" w:type="dxa"/>
            <w:tcBorders>
              <w:top w:val="single" w:sz="8" w:space="0" w:color="auto"/>
              <w:left w:val="single" w:sz="8" w:space="0" w:color="auto"/>
              <w:bottom w:val="single" w:sz="8" w:space="0" w:color="auto"/>
              <w:right w:val="single" w:sz="8" w:space="0" w:color="auto"/>
            </w:tcBorders>
          </w:tcPr>
          <w:p w14:paraId="48E105E1" w14:textId="61FEF1D3" w:rsidR="0FE9BE9B" w:rsidRPr="000B2CDA" w:rsidRDefault="0FE9BE9B">
            <w:pPr>
              <w:rPr>
                <w:rFonts w:cstheme="minorHAnsi"/>
                <w:b/>
                <w:bCs/>
                <w:sz w:val="20"/>
                <w:szCs w:val="20"/>
              </w:rPr>
            </w:pPr>
            <w:proofErr w:type="spellStart"/>
            <w:r w:rsidRPr="000B2CDA">
              <w:rPr>
                <w:rFonts w:eastAsia="Calibri" w:cstheme="minorHAnsi"/>
                <w:b/>
                <w:bCs/>
                <w:sz w:val="20"/>
                <w:szCs w:val="20"/>
              </w:rPr>
              <w:t>mRS</w:t>
            </w:r>
            <w:proofErr w:type="spellEnd"/>
            <w:r w:rsidRPr="000B2CDA">
              <w:rPr>
                <w:rFonts w:eastAsia="Calibri" w:cstheme="minorHAnsi"/>
                <w:b/>
                <w:bCs/>
                <w:sz w:val="20"/>
                <w:szCs w:val="20"/>
              </w:rPr>
              <w:t xml:space="preserve"> 5 (n=44)</w:t>
            </w:r>
          </w:p>
        </w:tc>
      </w:tr>
      <w:tr w:rsidR="000B2CDA" w:rsidRPr="000B2CDA" w14:paraId="6E2A5B34" w14:textId="77777777" w:rsidTr="000B2CDA">
        <w:tc>
          <w:tcPr>
            <w:tcW w:w="1949" w:type="dxa"/>
            <w:tcBorders>
              <w:top w:val="single" w:sz="8" w:space="0" w:color="auto"/>
              <w:left w:val="single" w:sz="8" w:space="0" w:color="auto"/>
              <w:bottom w:val="single" w:sz="8" w:space="0" w:color="auto"/>
              <w:right w:val="single" w:sz="8" w:space="0" w:color="auto"/>
            </w:tcBorders>
          </w:tcPr>
          <w:p w14:paraId="60659716" w14:textId="361F36B5" w:rsidR="0FE9BE9B" w:rsidRPr="000B2CDA" w:rsidRDefault="0FE9BE9B">
            <w:pPr>
              <w:rPr>
                <w:rFonts w:cstheme="minorHAnsi"/>
                <w:sz w:val="20"/>
                <w:szCs w:val="20"/>
              </w:rPr>
            </w:pPr>
            <w:r w:rsidRPr="000B2CDA">
              <w:rPr>
                <w:rFonts w:eastAsia="Calibri" w:cstheme="minorHAnsi"/>
                <w:sz w:val="20"/>
                <w:szCs w:val="20"/>
              </w:rPr>
              <w:t xml:space="preserve">Follow-up (Years) </w:t>
            </w:r>
          </w:p>
        </w:tc>
        <w:tc>
          <w:tcPr>
            <w:tcW w:w="1018" w:type="dxa"/>
            <w:tcBorders>
              <w:top w:val="single" w:sz="8" w:space="0" w:color="auto"/>
              <w:left w:val="single" w:sz="8" w:space="0" w:color="auto"/>
              <w:bottom w:val="single" w:sz="8" w:space="0" w:color="auto"/>
              <w:right w:val="single" w:sz="8" w:space="0" w:color="auto"/>
            </w:tcBorders>
          </w:tcPr>
          <w:p w14:paraId="042A0BE8" w14:textId="384852C2" w:rsidR="0FE9BE9B" w:rsidRPr="000B2CDA" w:rsidRDefault="0FE9BE9B">
            <w:pPr>
              <w:rPr>
                <w:rFonts w:cstheme="minorHAnsi"/>
                <w:sz w:val="20"/>
                <w:szCs w:val="20"/>
              </w:rPr>
            </w:pPr>
            <w:r w:rsidRPr="000B2CDA">
              <w:rPr>
                <w:rFonts w:eastAsia="Times New Roman" w:cstheme="minorHAnsi"/>
                <w:sz w:val="20"/>
                <w:szCs w:val="20"/>
              </w:rPr>
              <w:t>7110.53</w:t>
            </w:r>
          </w:p>
        </w:tc>
        <w:tc>
          <w:tcPr>
            <w:tcW w:w="992" w:type="dxa"/>
            <w:tcBorders>
              <w:top w:val="single" w:sz="8" w:space="0" w:color="auto"/>
              <w:left w:val="single" w:sz="8" w:space="0" w:color="auto"/>
              <w:bottom w:val="single" w:sz="8" w:space="0" w:color="auto"/>
              <w:right w:val="single" w:sz="8" w:space="0" w:color="auto"/>
            </w:tcBorders>
          </w:tcPr>
          <w:p w14:paraId="069FAACE" w14:textId="4A69B886" w:rsidR="0FE9BE9B" w:rsidRPr="000B2CDA" w:rsidRDefault="0FE9BE9B">
            <w:pPr>
              <w:rPr>
                <w:rFonts w:cstheme="minorHAnsi"/>
                <w:sz w:val="20"/>
                <w:szCs w:val="20"/>
              </w:rPr>
            </w:pPr>
            <w:r w:rsidRPr="000B2CDA">
              <w:rPr>
                <w:rFonts w:eastAsia="Times New Roman" w:cstheme="minorHAnsi"/>
                <w:sz w:val="20"/>
                <w:szCs w:val="20"/>
              </w:rPr>
              <w:t>881.16</w:t>
            </w:r>
          </w:p>
        </w:tc>
        <w:tc>
          <w:tcPr>
            <w:tcW w:w="993" w:type="dxa"/>
            <w:tcBorders>
              <w:top w:val="single" w:sz="8" w:space="0" w:color="auto"/>
              <w:left w:val="single" w:sz="8" w:space="0" w:color="auto"/>
              <w:bottom w:val="single" w:sz="8" w:space="0" w:color="auto"/>
              <w:right w:val="single" w:sz="8" w:space="0" w:color="auto"/>
            </w:tcBorders>
          </w:tcPr>
          <w:p w14:paraId="76DC0364" w14:textId="68F5E3C2" w:rsidR="0FE9BE9B" w:rsidRPr="000B2CDA" w:rsidRDefault="0FE9BE9B">
            <w:pPr>
              <w:rPr>
                <w:rFonts w:cstheme="minorHAnsi"/>
                <w:sz w:val="20"/>
                <w:szCs w:val="20"/>
              </w:rPr>
            </w:pPr>
            <w:r w:rsidRPr="000B2CDA">
              <w:rPr>
                <w:rFonts w:eastAsia="Times New Roman" w:cstheme="minorHAnsi"/>
                <w:sz w:val="20"/>
                <w:szCs w:val="20"/>
              </w:rPr>
              <w:t>1988.46</w:t>
            </w:r>
          </w:p>
        </w:tc>
        <w:tc>
          <w:tcPr>
            <w:tcW w:w="992" w:type="dxa"/>
            <w:tcBorders>
              <w:top w:val="single" w:sz="8" w:space="0" w:color="auto"/>
              <w:left w:val="single" w:sz="8" w:space="0" w:color="auto"/>
              <w:bottom w:val="single" w:sz="8" w:space="0" w:color="auto"/>
              <w:right w:val="single" w:sz="8" w:space="0" w:color="auto"/>
            </w:tcBorders>
          </w:tcPr>
          <w:p w14:paraId="59CF9C46" w14:textId="21FFA5C4" w:rsidR="0FE9BE9B" w:rsidRPr="000B2CDA" w:rsidRDefault="0FE9BE9B">
            <w:pPr>
              <w:rPr>
                <w:rFonts w:cstheme="minorHAnsi"/>
                <w:sz w:val="20"/>
                <w:szCs w:val="20"/>
              </w:rPr>
            </w:pPr>
            <w:r w:rsidRPr="000B2CDA">
              <w:rPr>
                <w:rFonts w:eastAsia="Times New Roman" w:cstheme="minorHAnsi"/>
                <w:sz w:val="20"/>
                <w:szCs w:val="20"/>
              </w:rPr>
              <w:t>1965.13</w:t>
            </w:r>
          </w:p>
        </w:tc>
        <w:tc>
          <w:tcPr>
            <w:tcW w:w="1134" w:type="dxa"/>
            <w:tcBorders>
              <w:top w:val="single" w:sz="8" w:space="0" w:color="auto"/>
              <w:left w:val="single" w:sz="8" w:space="0" w:color="auto"/>
              <w:bottom w:val="single" w:sz="8" w:space="0" w:color="auto"/>
              <w:right w:val="single" w:sz="8" w:space="0" w:color="auto"/>
            </w:tcBorders>
          </w:tcPr>
          <w:p w14:paraId="61BA27BE" w14:textId="417DAFCC" w:rsidR="0FE9BE9B" w:rsidRPr="000B2CDA" w:rsidRDefault="0FE9BE9B">
            <w:pPr>
              <w:rPr>
                <w:rFonts w:cstheme="minorHAnsi"/>
                <w:sz w:val="20"/>
                <w:szCs w:val="20"/>
              </w:rPr>
            </w:pPr>
            <w:r w:rsidRPr="000B2CDA">
              <w:rPr>
                <w:rFonts w:eastAsia="Times New Roman" w:cstheme="minorHAnsi"/>
                <w:sz w:val="20"/>
                <w:szCs w:val="20"/>
              </w:rPr>
              <w:t>1457.13</w:t>
            </w:r>
          </w:p>
        </w:tc>
        <w:tc>
          <w:tcPr>
            <w:tcW w:w="1276" w:type="dxa"/>
            <w:tcBorders>
              <w:top w:val="single" w:sz="8" w:space="0" w:color="auto"/>
              <w:left w:val="single" w:sz="8" w:space="0" w:color="auto"/>
              <w:bottom w:val="single" w:sz="8" w:space="0" w:color="auto"/>
              <w:right w:val="single" w:sz="8" w:space="0" w:color="auto"/>
            </w:tcBorders>
          </w:tcPr>
          <w:p w14:paraId="4E280788" w14:textId="78CE39A7" w:rsidR="0FE9BE9B" w:rsidRPr="000B2CDA" w:rsidRDefault="0FE9BE9B">
            <w:pPr>
              <w:rPr>
                <w:rFonts w:cstheme="minorHAnsi"/>
                <w:sz w:val="20"/>
                <w:szCs w:val="20"/>
              </w:rPr>
            </w:pPr>
            <w:r w:rsidRPr="000B2CDA">
              <w:rPr>
                <w:rFonts w:eastAsia="Times New Roman" w:cstheme="minorHAnsi"/>
                <w:sz w:val="20"/>
                <w:szCs w:val="20"/>
              </w:rPr>
              <w:t>774.16</w:t>
            </w:r>
          </w:p>
        </w:tc>
        <w:tc>
          <w:tcPr>
            <w:tcW w:w="1242" w:type="dxa"/>
            <w:tcBorders>
              <w:top w:val="single" w:sz="8" w:space="0" w:color="auto"/>
              <w:left w:val="single" w:sz="8" w:space="0" w:color="auto"/>
              <w:bottom w:val="single" w:sz="8" w:space="0" w:color="auto"/>
              <w:right w:val="single" w:sz="8" w:space="0" w:color="auto"/>
            </w:tcBorders>
          </w:tcPr>
          <w:p w14:paraId="00F98F95" w14:textId="4C1594D1" w:rsidR="0FE9BE9B" w:rsidRPr="000B2CDA" w:rsidRDefault="0FE9BE9B">
            <w:pPr>
              <w:rPr>
                <w:rFonts w:cstheme="minorHAnsi"/>
                <w:sz w:val="20"/>
                <w:szCs w:val="20"/>
              </w:rPr>
            </w:pPr>
            <w:r w:rsidRPr="000B2CDA">
              <w:rPr>
                <w:rFonts w:eastAsia="Times New Roman" w:cstheme="minorHAnsi"/>
                <w:sz w:val="20"/>
                <w:szCs w:val="20"/>
              </w:rPr>
              <w:t>44.49</w:t>
            </w:r>
          </w:p>
        </w:tc>
      </w:tr>
      <w:tr w:rsidR="000B2CDA" w:rsidRPr="000B2CDA" w14:paraId="6E7DED15" w14:textId="77777777" w:rsidTr="000B2CDA">
        <w:tc>
          <w:tcPr>
            <w:tcW w:w="1949" w:type="dxa"/>
            <w:tcBorders>
              <w:top w:val="single" w:sz="8" w:space="0" w:color="auto"/>
              <w:left w:val="single" w:sz="8" w:space="0" w:color="auto"/>
              <w:bottom w:val="single" w:sz="8" w:space="0" w:color="auto"/>
              <w:right w:val="single" w:sz="8" w:space="0" w:color="auto"/>
            </w:tcBorders>
          </w:tcPr>
          <w:p w14:paraId="3E1C9CC9" w14:textId="2A4DF35D" w:rsidR="0FE9BE9B" w:rsidRPr="000B2CDA" w:rsidRDefault="0FE9BE9B">
            <w:pPr>
              <w:rPr>
                <w:rFonts w:cstheme="minorHAnsi"/>
                <w:sz w:val="20"/>
                <w:szCs w:val="20"/>
              </w:rPr>
            </w:pPr>
            <w:r w:rsidRPr="000B2CDA">
              <w:rPr>
                <w:rFonts w:eastAsia="Calibri" w:cstheme="minorHAnsi"/>
                <w:sz w:val="20"/>
                <w:szCs w:val="20"/>
              </w:rPr>
              <w:t xml:space="preserve">Mean Age (Years) </w:t>
            </w:r>
          </w:p>
        </w:tc>
        <w:tc>
          <w:tcPr>
            <w:tcW w:w="1018" w:type="dxa"/>
            <w:tcBorders>
              <w:top w:val="single" w:sz="8" w:space="0" w:color="auto"/>
              <w:left w:val="single" w:sz="8" w:space="0" w:color="auto"/>
              <w:bottom w:val="single" w:sz="8" w:space="0" w:color="auto"/>
              <w:right w:val="single" w:sz="8" w:space="0" w:color="auto"/>
            </w:tcBorders>
          </w:tcPr>
          <w:p w14:paraId="2924D9E9" w14:textId="43BB6CBA" w:rsidR="0FE9BE9B" w:rsidRPr="000B2CDA" w:rsidRDefault="0FE9BE9B">
            <w:pPr>
              <w:rPr>
                <w:rFonts w:cstheme="minorHAnsi"/>
                <w:sz w:val="20"/>
                <w:szCs w:val="20"/>
              </w:rPr>
            </w:pPr>
            <w:r w:rsidRPr="000B2CDA">
              <w:rPr>
                <w:rFonts w:eastAsia="Times New Roman" w:cstheme="minorHAnsi"/>
                <w:sz w:val="20"/>
                <w:szCs w:val="20"/>
              </w:rPr>
              <w:t>73.69</w:t>
            </w:r>
          </w:p>
        </w:tc>
        <w:tc>
          <w:tcPr>
            <w:tcW w:w="992" w:type="dxa"/>
            <w:tcBorders>
              <w:top w:val="single" w:sz="8" w:space="0" w:color="auto"/>
              <w:left w:val="single" w:sz="8" w:space="0" w:color="auto"/>
              <w:bottom w:val="single" w:sz="8" w:space="0" w:color="auto"/>
              <w:right w:val="single" w:sz="8" w:space="0" w:color="auto"/>
            </w:tcBorders>
          </w:tcPr>
          <w:p w14:paraId="690696A5" w14:textId="13976B85" w:rsidR="0FE9BE9B" w:rsidRPr="000B2CDA" w:rsidRDefault="0FE9BE9B">
            <w:pPr>
              <w:rPr>
                <w:rFonts w:cstheme="minorHAnsi"/>
                <w:sz w:val="20"/>
                <w:szCs w:val="20"/>
              </w:rPr>
            </w:pPr>
            <w:r w:rsidRPr="000B2CDA">
              <w:rPr>
                <w:rFonts w:eastAsia="Times New Roman" w:cstheme="minorHAnsi"/>
                <w:sz w:val="20"/>
                <w:szCs w:val="20"/>
              </w:rPr>
              <w:t>67.15</w:t>
            </w:r>
          </w:p>
        </w:tc>
        <w:tc>
          <w:tcPr>
            <w:tcW w:w="993" w:type="dxa"/>
            <w:tcBorders>
              <w:top w:val="single" w:sz="8" w:space="0" w:color="auto"/>
              <w:left w:val="single" w:sz="8" w:space="0" w:color="auto"/>
              <w:bottom w:val="single" w:sz="8" w:space="0" w:color="auto"/>
              <w:right w:val="single" w:sz="8" w:space="0" w:color="auto"/>
            </w:tcBorders>
          </w:tcPr>
          <w:p w14:paraId="3E266730" w14:textId="3BA2394F" w:rsidR="0FE9BE9B" w:rsidRPr="000B2CDA" w:rsidRDefault="0FE9BE9B">
            <w:pPr>
              <w:rPr>
                <w:rFonts w:cstheme="minorHAnsi"/>
                <w:sz w:val="20"/>
                <w:szCs w:val="20"/>
              </w:rPr>
            </w:pPr>
            <w:r w:rsidRPr="000B2CDA">
              <w:rPr>
                <w:rFonts w:eastAsia="Times New Roman" w:cstheme="minorHAnsi"/>
                <w:sz w:val="20"/>
                <w:szCs w:val="20"/>
              </w:rPr>
              <w:t>68.53</w:t>
            </w:r>
          </w:p>
        </w:tc>
        <w:tc>
          <w:tcPr>
            <w:tcW w:w="992" w:type="dxa"/>
            <w:tcBorders>
              <w:top w:val="single" w:sz="8" w:space="0" w:color="auto"/>
              <w:left w:val="single" w:sz="8" w:space="0" w:color="auto"/>
              <w:bottom w:val="single" w:sz="8" w:space="0" w:color="auto"/>
              <w:right w:val="single" w:sz="8" w:space="0" w:color="auto"/>
            </w:tcBorders>
          </w:tcPr>
          <w:p w14:paraId="19DBE51E" w14:textId="0BDF9061" w:rsidR="0FE9BE9B" w:rsidRPr="000B2CDA" w:rsidRDefault="0FE9BE9B">
            <w:pPr>
              <w:rPr>
                <w:rFonts w:cstheme="minorHAnsi"/>
                <w:sz w:val="20"/>
                <w:szCs w:val="20"/>
              </w:rPr>
            </w:pPr>
            <w:r w:rsidRPr="000B2CDA">
              <w:rPr>
                <w:rFonts w:eastAsia="Times New Roman" w:cstheme="minorHAnsi"/>
                <w:sz w:val="20"/>
                <w:szCs w:val="20"/>
              </w:rPr>
              <w:t>72.57</w:t>
            </w:r>
          </w:p>
        </w:tc>
        <w:tc>
          <w:tcPr>
            <w:tcW w:w="1134" w:type="dxa"/>
            <w:tcBorders>
              <w:top w:val="single" w:sz="8" w:space="0" w:color="auto"/>
              <w:left w:val="single" w:sz="8" w:space="0" w:color="auto"/>
              <w:bottom w:val="single" w:sz="8" w:space="0" w:color="auto"/>
              <w:right w:val="single" w:sz="8" w:space="0" w:color="auto"/>
            </w:tcBorders>
          </w:tcPr>
          <w:p w14:paraId="11886176" w14:textId="6595F693" w:rsidR="0FE9BE9B" w:rsidRPr="000B2CDA" w:rsidRDefault="0FE9BE9B">
            <w:pPr>
              <w:rPr>
                <w:rFonts w:cstheme="minorHAnsi"/>
                <w:sz w:val="20"/>
                <w:szCs w:val="20"/>
              </w:rPr>
            </w:pPr>
            <w:r w:rsidRPr="000B2CDA">
              <w:rPr>
                <w:rFonts w:eastAsia="Times New Roman" w:cstheme="minorHAnsi"/>
                <w:sz w:val="20"/>
                <w:szCs w:val="20"/>
              </w:rPr>
              <w:t>77.17</w:t>
            </w:r>
          </w:p>
        </w:tc>
        <w:tc>
          <w:tcPr>
            <w:tcW w:w="1276" w:type="dxa"/>
            <w:tcBorders>
              <w:top w:val="single" w:sz="8" w:space="0" w:color="auto"/>
              <w:left w:val="single" w:sz="8" w:space="0" w:color="auto"/>
              <w:bottom w:val="single" w:sz="8" w:space="0" w:color="auto"/>
              <w:right w:val="single" w:sz="8" w:space="0" w:color="auto"/>
            </w:tcBorders>
          </w:tcPr>
          <w:p w14:paraId="0FF6E06E" w14:textId="0900492B" w:rsidR="0FE9BE9B" w:rsidRPr="000B2CDA" w:rsidRDefault="0FE9BE9B">
            <w:pPr>
              <w:rPr>
                <w:rFonts w:cstheme="minorHAnsi"/>
                <w:sz w:val="20"/>
                <w:szCs w:val="20"/>
              </w:rPr>
            </w:pPr>
            <w:r w:rsidRPr="000B2CDA">
              <w:rPr>
                <w:rFonts w:eastAsia="Times New Roman" w:cstheme="minorHAnsi"/>
                <w:sz w:val="20"/>
                <w:szCs w:val="20"/>
              </w:rPr>
              <w:t>79.03</w:t>
            </w:r>
          </w:p>
        </w:tc>
        <w:tc>
          <w:tcPr>
            <w:tcW w:w="1242" w:type="dxa"/>
            <w:tcBorders>
              <w:top w:val="single" w:sz="8" w:space="0" w:color="auto"/>
              <w:left w:val="single" w:sz="8" w:space="0" w:color="auto"/>
              <w:bottom w:val="single" w:sz="8" w:space="0" w:color="auto"/>
              <w:right w:val="single" w:sz="8" w:space="0" w:color="auto"/>
            </w:tcBorders>
          </w:tcPr>
          <w:p w14:paraId="235F95D6" w14:textId="2288F8F0" w:rsidR="0FE9BE9B" w:rsidRPr="000B2CDA" w:rsidRDefault="0FE9BE9B">
            <w:pPr>
              <w:rPr>
                <w:rFonts w:cstheme="minorHAnsi"/>
                <w:sz w:val="20"/>
                <w:szCs w:val="20"/>
              </w:rPr>
            </w:pPr>
            <w:r w:rsidRPr="000B2CDA">
              <w:rPr>
                <w:rFonts w:eastAsia="Times New Roman" w:cstheme="minorHAnsi"/>
                <w:sz w:val="20"/>
                <w:szCs w:val="20"/>
              </w:rPr>
              <w:t>81.84</w:t>
            </w:r>
          </w:p>
        </w:tc>
      </w:tr>
      <w:tr w:rsidR="000B2CDA" w:rsidRPr="000B2CDA" w14:paraId="0710EC0F" w14:textId="77777777" w:rsidTr="000B2CDA">
        <w:tc>
          <w:tcPr>
            <w:tcW w:w="1949" w:type="dxa"/>
            <w:tcBorders>
              <w:top w:val="single" w:sz="8" w:space="0" w:color="auto"/>
              <w:left w:val="single" w:sz="8" w:space="0" w:color="auto"/>
              <w:bottom w:val="single" w:sz="8" w:space="0" w:color="auto"/>
              <w:right w:val="single" w:sz="8" w:space="0" w:color="auto"/>
            </w:tcBorders>
          </w:tcPr>
          <w:p w14:paraId="72BA2544" w14:textId="0C4A94FF" w:rsidR="0FE9BE9B" w:rsidRPr="000B2CDA" w:rsidRDefault="0FE9BE9B">
            <w:pPr>
              <w:rPr>
                <w:rFonts w:cstheme="minorHAnsi"/>
                <w:sz w:val="20"/>
                <w:szCs w:val="20"/>
              </w:rPr>
            </w:pPr>
            <w:r w:rsidRPr="000B2CDA">
              <w:rPr>
                <w:rFonts w:eastAsia="Calibri" w:cstheme="minorHAnsi"/>
                <w:sz w:val="20"/>
                <w:szCs w:val="20"/>
              </w:rPr>
              <w:t xml:space="preserve">Male (%) </w:t>
            </w:r>
          </w:p>
        </w:tc>
        <w:tc>
          <w:tcPr>
            <w:tcW w:w="1018" w:type="dxa"/>
            <w:tcBorders>
              <w:top w:val="single" w:sz="8" w:space="0" w:color="auto"/>
              <w:left w:val="single" w:sz="8" w:space="0" w:color="auto"/>
              <w:bottom w:val="single" w:sz="8" w:space="0" w:color="auto"/>
              <w:right w:val="single" w:sz="8" w:space="0" w:color="auto"/>
            </w:tcBorders>
          </w:tcPr>
          <w:p w14:paraId="12A35F5B" w14:textId="2B886A40" w:rsidR="0FE9BE9B" w:rsidRPr="000B2CDA" w:rsidRDefault="0FE9BE9B">
            <w:pPr>
              <w:rPr>
                <w:rFonts w:cstheme="minorHAnsi"/>
                <w:sz w:val="20"/>
                <w:szCs w:val="20"/>
              </w:rPr>
            </w:pPr>
            <w:r w:rsidRPr="000B2CDA">
              <w:rPr>
                <w:rFonts w:eastAsia="Times New Roman" w:cstheme="minorHAnsi"/>
                <w:sz w:val="20"/>
                <w:szCs w:val="20"/>
              </w:rPr>
              <w:t>50.96</w:t>
            </w:r>
          </w:p>
        </w:tc>
        <w:tc>
          <w:tcPr>
            <w:tcW w:w="992" w:type="dxa"/>
            <w:tcBorders>
              <w:top w:val="single" w:sz="8" w:space="0" w:color="auto"/>
              <w:left w:val="single" w:sz="8" w:space="0" w:color="auto"/>
              <w:bottom w:val="single" w:sz="8" w:space="0" w:color="auto"/>
              <w:right w:val="single" w:sz="8" w:space="0" w:color="auto"/>
            </w:tcBorders>
          </w:tcPr>
          <w:p w14:paraId="4C3A7BB7" w14:textId="603412D3" w:rsidR="0FE9BE9B" w:rsidRPr="000B2CDA" w:rsidRDefault="0FE9BE9B">
            <w:pPr>
              <w:rPr>
                <w:rFonts w:cstheme="minorHAnsi"/>
                <w:sz w:val="20"/>
                <w:szCs w:val="20"/>
              </w:rPr>
            </w:pPr>
            <w:r w:rsidRPr="000B2CDA">
              <w:rPr>
                <w:rFonts w:eastAsia="Times New Roman" w:cstheme="minorHAnsi"/>
                <w:sz w:val="20"/>
                <w:szCs w:val="20"/>
              </w:rPr>
              <w:t>69.06</w:t>
            </w:r>
          </w:p>
        </w:tc>
        <w:tc>
          <w:tcPr>
            <w:tcW w:w="993" w:type="dxa"/>
            <w:tcBorders>
              <w:top w:val="single" w:sz="8" w:space="0" w:color="auto"/>
              <w:left w:val="single" w:sz="8" w:space="0" w:color="auto"/>
              <w:bottom w:val="single" w:sz="8" w:space="0" w:color="auto"/>
              <w:right w:val="single" w:sz="8" w:space="0" w:color="auto"/>
            </w:tcBorders>
          </w:tcPr>
          <w:p w14:paraId="45FC3063" w14:textId="434E473D" w:rsidR="0FE9BE9B" w:rsidRPr="000B2CDA" w:rsidRDefault="0FE9BE9B">
            <w:pPr>
              <w:rPr>
                <w:rFonts w:cstheme="minorHAnsi"/>
                <w:sz w:val="20"/>
                <w:szCs w:val="20"/>
              </w:rPr>
            </w:pPr>
            <w:r w:rsidRPr="000B2CDA">
              <w:rPr>
                <w:rFonts w:eastAsia="Times New Roman" w:cstheme="minorHAnsi"/>
                <w:sz w:val="20"/>
                <w:szCs w:val="20"/>
              </w:rPr>
              <w:t>60.36</w:t>
            </w:r>
          </w:p>
        </w:tc>
        <w:tc>
          <w:tcPr>
            <w:tcW w:w="992" w:type="dxa"/>
            <w:tcBorders>
              <w:top w:val="single" w:sz="8" w:space="0" w:color="auto"/>
              <w:left w:val="single" w:sz="8" w:space="0" w:color="auto"/>
              <w:bottom w:val="single" w:sz="8" w:space="0" w:color="auto"/>
              <w:right w:val="single" w:sz="8" w:space="0" w:color="auto"/>
            </w:tcBorders>
          </w:tcPr>
          <w:p w14:paraId="3BA57580" w14:textId="37386AA9" w:rsidR="0FE9BE9B" w:rsidRPr="000B2CDA" w:rsidRDefault="0FE9BE9B">
            <w:pPr>
              <w:rPr>
                <w:rFonts w:cstheme="minorHAnsi"/>
                <w:sz w:val="20"/>
                <w:szCs w:val="20"/>
              </w:rPr>
            </w:pPr>
            <w:r w:rsidRPr="000B2CDA">
              <w:rPr>
                <w:rFonts w:eastAsia="Times New Roman" w:cstheme="minorHAnsi"/>
                <w:sz w:val="20"/>
                <w:szCs w:val="20"/>
              </w:rPr>
              <w:t>52.73</w:t>
            </w:r>
          </w:p>
        </w:tc>
        <w:tc>
          <w:tcPr>
            <w:tcW w:w="1134" w:type="dxa"/>
            <w:tcBorders>
              <w:top w:val="single" w:sz="8" w:space="0" w:color="auto"/>
              <w:left w:val="single" w:sz="8" w:space="0" w:color="auto"/>
              <w:bottom w:val="single" w:sz="8" w:space="0" w:color="auto"/>
              <w:right w:val="single" w:sz="8" w:space="0" w:color="auto"/>
            </w:tcBorders>
          </w:tcPr>
          <w:p w14:paraId="6DCE6CBA" w14:textId="13DE5A5F" w:rsidR="0FE9BE9B" w:rsidRPr="000B2CDA" w:rsidRDefault="0FE9BE9B">
            <w:pPr>
              <w:rPr>
                <w:rFonts w:cstheme="minorHAnsi"/>
                <w:sz w:val="20"/>
                <w:szCs w:val="20"/>
              </w:rPr>
            </w:pPr>
            <w:r w:rsidRPr="000B2CDA">
              <w:rPr>
                <w:rFonts w:eastAsia="Times New Roman" w:cstheme="minorHAnsi"/>
                <w:sz w:val="20"/>
                <w:szCs w:val="20"/>
              </w:rPr>
              <w:t>45.68</w:t>
            </w:r>
          </w:p>
        </w:tc>
        <w:tc>
          <w:tcPr>
            <w:tcW w:w="1276" w:type="dxa"/>
            <w:tcBorders>
              <w:top w:val="single" w:sz="8" w:space="0" w:color="auto"/>
              <w:left w:val="single" w:sz="8" w:space="0" w:color="auto"/>
              <w:bottom w:val="single" w:sz="8" w:space="0" w:color="auto"/>
              <w:right w:val="single" w:sz="8" w:space="0" w:color="auto"/>
            </w:tcBorders>
          </w:tcPr>
          <w:p w14:paraId="7C65151A" w14:textId="3B9E3F6C" w:rsidR="0FE9BE9B" w:rsidRPr="000B2CDA" w:rsidRDefault="0FE9BE9B">
            <w:pPr>
              <w:rPr>
                <w:rFonts w:cstheme="minorHAnsi"/>
                <w:sz w:val="20"/>
                <w:szCs w:val="20"/>
              </w:rPr>
            </w:pPr>
            <w:r w:rsidRPr="000B2CDA">
              <w:rPr>
                <w:rFonts w:eastAsia="Times New Roman" w:cstheme="minorHAnsi"/>
                <w:sz w:val="20"/>
                <w:szCs w:val="20"/>
              </w:rPr>
              <w:t>37.69</w:t>
            </w:r>
          </w:p>
        </w:tc>
        <w:tc>
          <w:tcPr>
            <w:tcW w:w="1242" w:type="dxa"/>
            <w:tcBorders>
              <w:top w:val="single" w:sz="8" w:space="0" w:color="auto"/>
              <w:left w:val="single" w:sz="8" w:space="0" w:color="auto"/>
              <w:bottom w:val="single" w:sz="8" w:space="0" w:color="auto"/>
              <w:right w:val="single" w:sz="8" w:space="0" w:color="auto"/>
            </w:tcBorders>
          </w:tcPr>
          <w:p w14:paraId="6E83BE37" w14:textId="3818200C" w:rsidR="0FE9BE9B" w:rsidRPr="000B2CDA" w:rsidRDefault="0FE9BE9B">
            <w:pPr>
              <w:rPr>
                <w:rFonts w:cstheme="minorHAnsi"/>
                <w:sz w:val="20"/>
                <w:szCs w:val="20"/>
              </w:rPr>
            </w:pPr>
            <w:r w:rsidRPr="000B2CDA">
              <w:rPr>
                <w:rFonts w:eastAsia="Times New Roman" w:cstheme="minorHAnsi"/>
                <w:sz w:val="20"/>
                <w:szCs w:val="20"/>
              </w:rPr>
              <w:t>31.82</w:t>
            </w:r>
          </w:p>
        </w:tc>
      </w:tr>
      <w:tr w:rsidR="000B2CDA" w:rsidRPr="000B2CDA" w14:paraId="4F4E3E4C" w14:textId="77777777" w:rsidTr="000B2CDA">
        <w:tc>
          <w:tcPr>
            <w:tcW w:w="1949" w:type="dxa"/>
            <w:tcBorders>
              <w:top w:val="single" w:sz="8" w:space="0" w:color="auto"/>
              <w:left w:val="single" w:sz="8" w:space="0" w:color="auto"/>
              <w:bottom w:val="single" w:sz="8" w:space="0" w:color="auto"/>
              <w:right w:val="single" w:sz="8" w:space="0" w:color="auto"/>
            </w:tcBorders>
          </w:tcPr>
          <w:p w14:paraId="698404DD" w14:textId="687C133A" w:rsidR="0FE9BE9B" w:rsidRPr="000B2CDA" w:rsidRDefault="0FE9BE9B">
            <w:pPr>
              <w:rPr>
                <w:rFonts w:cstheme="minorHAnsi"/>
                <w:sz w:val="20"/>
                <w:szCs w:val="20"/>
              </w:rPr>
            </w:pPr>
            <w:r w:rsidRPr="000B2CDA">
              <w:rPr>
                <w:rFonts w:eastAsia="Calibri" w:cstheme="minorHAnsi"/>
                <w:sz w:val="20"/>
                <w:szCs w:val="20"/>
              </w:rPr>
              <w:t xml:space="preserve">Alive at censor (%) </w:t>
            </w:r>
          </w:p>
        </w:tc>
        <w:tc>
          <w:tcPr>
            <w:tcW w:w="1018" w:type="dxa"/>
            <w:tcBorders>
              <w:top w:val="single" w:sz="8" w:space="0" w:color="auto"/>
              <w:left w:val="single" w:sz="8" w:space="0" w:color="auto"/>
              <w:bottom w:val="single" w:sz="8" w:space="0" w:color="auto"/>
              <w:right w:val="single" w:sz="8" w:space="0" w:color="auto"/>
            </w:tcBorders>
          </w:tcPr>
          <w:p w14:paraId="5F1C571A" w14:textId="27E25D58" w:rsidR="0FE9BE9B" w:rsidRPr="000B2CDA" w:rsidRDefault="0FE9BE9B">
            <w:pPr>
              <w:rPr>
                <w:rFonts w:cstheme="minorHAnsi"/>
                <w:sz w:val="20"/>
                <w:szCs w:val="20"/>
              </w:rPr>
            </w:pPr>
            <w:r w:rsidRPr="000B2CDA">
              <w:rPr>
                <w:rFonts w:eastAsia="Times New Roman" w:cstheme="minorHAnsi"/>
                <w:sz w:val="20"/>
                <w:szCs w:val="20"/>
              </w:rPr>
              <w:t>44.40</w:t>
            </w:r>
          </w:p>
        </w:tc>
        <w:tc>
          <w:tcPr>
            <w:tcW w:w="992" w:type="dxa"/>
            <w:tcBorders>
              <w:top w:val="single" w:sz="8" w:space="0" w:color="auto"/>
              <w:left w:val="single" w:sz="8" w:space="0" w:color="auto"/>
              <w:bottom w:val="single" w:sz="8" w:space="0" w:color="auto"/>
              <w:right w:val="single" w:sz="8" w:space="0" w:color="auto"/>
            </w:tcBorders>
          </w:tcPr>
          <w:p w14:paraId="3AFDF752" w14:textId="1A38E4F4" w:rsidR="0FE9BE9B" w:rsidRPr="000B2CDA" w:rsidRDefault="0FE9BE9B">
            <w:pPr>
              <w:rPr>
                <w:rFonts w:cstheme="minorHAnsi"/>
                <w:sz w:val="20"/>
                <w:szCs w:val="20"/>
              </w:rPr>
            </w:pPr>
            <w:r w:rsidRPr="000B2CDA">
              <w:rPr>
                <w:rFonts w:eastAsia="Times New Roman" w:cstheme="minorHAnsi"/>
                <w:sz w:val="20"/>
                <w:szCs w:val="20"/>
              </w:rPr>
              <w:t>71.94</w:t>
            </w:r>
          </w:p>
        </w:tc>
        <w:tc>
          <w:tcPr>
            <w:tcW w:w="993" w:type="dxa"/>
            <w:tcBorders>
              <w:top w:val="single" w:sz="8" w:space="0" w:color="auto"/>
              <w:left w:val="single" w:sz="8" w:space="0" w:color="auto"/>
              <w:bottom w:val="single" w:sz="8" w:space="0" w:color="auto"/>
              <w:right w:val="single" w:sz="8" w:space="0" w:color="auto"/>
            </w:tcBorders>
          </w:tcPr>
          <w:p w14:paraId="2B63366F" w14:textId="27C4C100" w:rsidR="0FE9BE9B" w:rsidRPr="000B2CDA" w:rsidRDefault="0FE9BE9B">
            <w:pPr>
              <w:rPr>
                <w:rFonts w:cstheme="minorHAnsi"/>
                <w:sz w:val="20"/>
                <w:szCs w:val="20"/>
              </w:rPr>
            </w:pPr>
            <w:r w:rsidRPr="000B2CDA">
              <w:rPr>
                <w:rFonts w:eastAsia="Times New Roman" w:cstheme="minorHAnsi"/>
                <w:sz w:val="20"/>
                <w:szCs w:val="20"/>
              </w:rPr>
              <w:t>65.47</w:t>
            </w:r>
          </w:p>
        </w:tc>
        <w:tc>
          <w:tcPr>
            <w:tcW w:w="992" w:type="dxa"/>
            <w:tcBorders>
              <w:top w:val="single" w:sz="8" w:space="0" w:color="auto"/>
              <w:left w:val="single" w:sz="8" w:space="0" w:color="auto"/>
              <w:bottom w:val="single" w:sz="8" w:space="0" w:color="auto"/>
              <w:right w:val="single" w:sz="8" w:space="0" w:color="auto"/>
            </w:tcBorders>
          </w:tcPr>
          <w:p w14:paraId="41C2B514" w14:textId="33902856" w:rsidR="0FE9BE9B" w:rsidRPr="000B2CDA" w:rsidRDefault="0FE9BE9B">
            <w:pPr>
              <w:rPr>
                <w:rFonts w:cstheme="minorHAnsi"/>
                <w:sz w:val="20"/>
                <w:szCs w:val="20"/>
              </w:rPr>
            </w:pPr>
            <w:r w:rsidRPr="000B2CDA">
              <w:rPr>
                <w:rFonts w:eastAsia="Times New Roman" w:cstheme="minorHAnsi"/>
                <w:sz w:val="20"/>
                <w:szCs w:val="20"/>
              </w:rPr>
              <w:t>51.64</w:t>
            </w:r>
          </w:p>
        </w:tc>
        <w:tc>
          <w:tcPr>
            <w:tcW w:w="1134" w:type="dxa"/>
            <w:tcBorders>
              <w:top w:val="single" w:sz="8" w:space="0" w:color="auto"/>
              <w:left w:val="single" w:sz="8" w:space="0" w:color="auto"/>
              <w:bottom w:val="single" w:sz="8" w:space="0" w:color="auto"/>
              <w:right w:val="single" w:sz="8" w:space="0" w:color="auto"/>
            </w:tcBorders>
          </w:tcPr>
          <w:p w14:paraId="19A52530" w14:textId="6092CE1B" w:rsidR="0FE9BE9B" w:rsidRPr="000B2CDA" w:rsidRDefault="0FE9BE9B">
            <w:pPr>
              <w:rPr>
                <w:rFonts w:cstheme="minorHAnsi"/>
                <w:sz w:val="20"/>
                <w:szCs w:val="20"/>
              </w:rPr>
            </w:pPr>
            <w:r w:rsidRPr="000B2CDA">
              <w:rPr>
                <w:rFonts w:eastAsia="Times New Roman" w:cstheme="minorHAnsi"/>
                <w:sz w:val="20"/>
                <w:szCs w:val="20"/>
              </w:rPr>
              <w:t>30.92</w:t>
            </w:r>
          </w:p>
        </w:tc>
        <w:tc>
          <w:tcPr>
            <w:tcW w:w="1276" w:type="dxa"/>
            <w:tcBorders>
              <w:top w:val="single" w:sz="8" w:space="0" w:color="auto"/>
              <w:left w:val="single" w:sz="8" w:space="0" w:color="auto"/>
              <w:bottom w:val="single" w:sz="8" w:space="0" w:color="auto"/>
              <w:right w:val="single" w:sz="8" w:space="0" w:color="auto"/>
            </w:tcBorders>
          </w:tcPr>
          <w:p w14:paraId="38AA5377" w14:textId="5A121788" w:rsidR="0FE9BE9B" w:rsidRPr="000B2CDA" w:rsidRDefault="0FE9BE9B">
            <w:pPr>
              <w:rPr>
                <w:rFonts w:cstheme="minorHAnsi"/>
                <w:sz w:val="20"/>
                <w:szCs w:val="20"/>
              </w:rPr>
            </w:pPr>
            <w:r w:rsidRPr="000B2CDA">
              <w:rPr>
                <w:rFonts w:eastAsia="Times New Roman" w:cstheme="minorHAnsi"/>
                <w:sz w:val="20"/>
                <w:szCs w:val="20"/>
              </w:rPr>
              <w:t>19.40</w:t>
            </w:r>
          </w:p>
        </w:tc>
        <w:tc>
          <w:tcPr>
            <w:tcW w:w="1242" w:type="dxa"/>
            <w:tcBorders>
              <w:top w:val="single" w:sz="8" w:space="0" w:color="auto"/>
              <w:left w:val="single" w:sz="8" w:space="0" w:color="auto"/>
              <w:bottom w:val="single" w:sz="8" w:space="0" w:color="auto"/>
              <w:right w:val="single" w:sz="8" w:space="0" w:color="auto"/>
            </w:tcBorders>
          </w:tcPr>
          <w:p w14:paraId="5BD442FB" w14:textId="084219CD" w:rsidR="0FE9BE9B" w:rsidRPr="000B2CDA" w:rsidRDefault="0FE9BE9B">
            <w:pPr>
              <w:rPr>
                <w:rFonts w:cstheme="minorHAnsi"/>
                <w:sz w:val="20"/>
                <w:szCs w:val="20"/>
              </w:rPr>
            </w:pPr>
            <w:r w:rsidRPr="000B2CDA">
              <w:rPr>
                <w:rFonts w:eastAsia="Times New Roman" w:cstheme="minorHAnsi"/>
                <w:sz w:val="20"/>
                <w:szCs w:val="20"/>
              </w:rPr>
              <w:t>0</w:t>
            </w:r>
          </w:p>
        </w:tc>
      </w:tr>
      <w:tr w:rsidR="000B2CDA" w:rsidRPr="000B2CDA" w14:paraId="2050DFD0" w14:textId="77777777" w:rsidTr="000B2CDA">
        <w:tc>
          <w:tcPr>
            <w:tcW w:w="1949" w:type="dxa"/>
            <w:tcBorders>
              <w:top w:val="single" w:sz="8" w:space="0" w:color="auto"/>
              <w:left w:val="single" w:sz="8" w:space="0" w:color="auto"/>
              <w:bottom w:val="single" w:sz="8" w:space="0" w:color="auto"/>
              <w:right w:val="single" w:sz="8" w:space="0" w:color="auto"/>
            </w:tcBorders>
          </w:tcPr>
          <w:p w14:paraId="519F0A05" w14:textId="688DDD67" w:rsidR="0FE9BE9B" w:rsidRPr="000B2CDA" w:rsidRDefault="0FE9BE9B">
            <w:pPr>
              <w:rPr>
                <w:rFonts w:cstheme="minorHAnsi"/>
                <w:sz w:val="20"/>
                <w:szCs w:val="20"/>
              </w:rPr>
            </w:pPr>
            <w:r w:rsidRPr="000B2CDA">
              <w:rPr>
                <w:rFonts w:eastAsia="Calibri" w:cstheme="minorHAnsi"/>
                <w:sz w:val="20"/>
                <w:szCs w:val="20"/>
              </w:rPr>
              <w:t xml:space="preserve">Median NIHSS (IQR) </w:t>
            </w:r>
          </w:p>
        </w:tc>
        <w:tc>
          <w:tcPr>
            <w:tcW w:w="1018" w:type="dxa"/>
            <w:tcBorders>
              <w:top w:val="single" w:sz="8" w:space="0" w:color="auto"/>
              <w:left w:val="single" w:sz="8" w:space="0" w:color="auto"/>
              <w:bottom w:val="single" w:sz="8" w:space="0" w:color="auto"/>
              <w:right w:val="single" w:sz="8" w:space="0" w:color="auto"/>
            </w:tcBorders>
          </w:tcPr>
          <w:p w14:paraId="281F73DF" w14:textId="0A745B72" w:rsidR="0FE9BE9B" w:rsidRPr="000B2CDA" w:rsidRDefault="0FE9BE9B">
            <w:pPr>
              <w:rPr>
                <w:rFonts w:cstheme="minorHAnsi"/>
                <w:sz w:val="20"/>
                <w:szCs w:val="20"/>
              </w:rPr>
            </w:pPr>
            <w:r w:rsidRPr="000B2CDA">
              <w:rPr>
                <w:rFonts w:eastAsia="Times New Roman" w:cstheme="minorHAnsi"/>
                <w:sz w:val="20"/>
                <w:szCs w:val="20"/>
              </w:rPr>
              <w:t>3 (2 to 8)</w:t>
            </w:r>
          </w:p>
        </w:tc>
        <w:tc>
          <w:tcPr>
            <w:tcW w:w="992" w:type="dxa"/>
            <w:tcBorders>
              <w:top w:val="single" w:sz="8" w:space="0" w:color="auto"/>
              <w:left w:val="single" w:sz="8" w:space="0" w:color="auto"/>
              <w:bottom w:val="single" w:sz="8" w:space="0" w:color="auto"/>
              <w:right w:val="single" w:sz="8" w:space="0" w:color="auto"/>
            </w:tcBorders>
          </w:tcPr>
          <w:p w14:paraId="424D7FFA" w14:textId="60A5F68D" w:rsidR="0FE9BE9B" w:rsidRPr="000B2CDA" w:rsidRDefault="0FE9BE9B">
            <w:pPr>
              <w:rPr>
                <w:rFonts w:cstheme="minorHAnsi"/>
                <w:sz w:val="20"/>
                <w:szCs w:val="20"/>
              </w:rPr>
            </w:pPr>
            <w:r w:rsidRPr="000B2CDA">
              <w:rPr>
                <w:rFonts w:eastAsia="Times New Roman" w:cstheme="minorHAnsi"/>
                <w:sz w:val="20"/>
                <w:szCs w:val="20"/>
              </w:rPr>
              <w:t>2 (1 to 3)</w:t>
            </w:r>
          </w:p>
        </w:tc>
        <w:tc>
          <w:tcPr>
            <w:tcW w:w="993" w:type="dxa"/>
            <w:tcBorders>
              <w:top w:val="single" w:sz="8" w:space="0" w:color="auto"/>
              <w:left w:val="single" w:sz="8" w:space="0" w:color="auto"/>
              <w:bottom w:val="single" w:sz="8" w:space="0" w:color="auto"/>
              <w:right w:val="single" w:sz="8" w:space="0" w:color="auto"/>
            </w:tcBorders>
          </w:tcPr>
          <w:p w14:paraId="67E71DC9" w14:textId="4063BBA3" w:rsidR="0FE9BE9B" w:rsidRPr="000B2CDA" w:rsidRDefault="0FE9BE9B">
            <w:pPr>
              <w:rPr>
                <w:rFonts w:cstheme="minorHAnsi"/>
                <w:sz w:val="20"/>
                <w:szCs w:val="20"/>
              </w:rPr>
            </w:pPr>
            <w:r w:rsidRPr="000B2CDA">
              <w:rPr>
                <w:rFonts w:eastAsia="Times New Roman" w:cstheme="minorHAnsi"/>
                <w:sz w:val="20"/>
                <w:szCs w:val="20"/>
              </w:rPr>
              <w:t>2 (1 to 4)</w:t>
            </w:r>
          </w:p>
        </w:tc>
        <w:tc>
          <w:tcPr>
            <w:tcW w:w="992" w:type="dxa"/>
            <w:tcBorders>
              <w:top w:val="single" w:sz="8" w:space="0" w:color="auto"/>
              <w:left w:val="single" w:sz="8" w:space="0" w:color="auto"/>
              <w:bottom w:val="single" w:sz="8" w:space="0" w:color="auto"/>
              <w:right w:val="single" w:sz="8" w:space="0" w:color="auto"/>
            </w:tcBorders>
          </w:tcPr>
          <w:p w14:paraId="33BED0E0" w14:textId="0AE9DB94" w:rsidR="0FE9BE9B" w:rsidRPr="000B2CDA" w:rsidRDefault="0FE9BE9B">
            <w:pPr>
              <w:rPr>
                <w:rFonts w:cstheme="minorHAnsi"/>
                <w:sz w:val="20"/>
                <w:szCs w:val="20"/>
              </w:rPr>
            </w:pPr>
            <w:r w:rsidRPr="000B2CDA">
              <w:rPr>
                <w:rFonts w:eastAsia="Times New Roman" w:cstheme="minorHAnsi"/>
                <w:sz w:val="20"/>
                <w:szCs w:val="20"/>
              </w:rPr>
              <w:t>3 (2 to 5)</w:t>
            </w:r>
          </w:p>
        </w:tc>
        <w:tc>
          <w:tcPr>
            <w:tcW w:w="1134" w:type="dxa"/>
            <w:tcBorders>
              <w:top w:val="single" w:sz="8" w:space="0" w:color="auto"/>
              <w:left w:val="single" w:sz="8" w:space="0" w:color="auto"/>
              <w:bottom w:val="single" w:sz="8" w:space="0" w:color="auto"/>
              <w:right w:val="single" w:sz="8" w:space="0" w:color="auto"/>
            </w:tcBorders>
          </w:tcPr>
          <w:p w14:paraId="58B685E2" w14:textId="7F3E4BDD" w:rsidR="0FE9BE9B" w:rsidRPr="000B2CDA" w:rsidRDefault="0FE9BE9B">
            <w:pPr>
              <w:rPr>
                <w:rFonts w:cstheme="minorHAnsi"/>
                <w:sz w:val="20"/>
                <w:szCs w:val="20"/>
              </w:rPr>
            </w:pPr>
            <w:r w:rsidRPr="000B2CDA">
              <w:rPr>
                <w:rFonts w:eastAsia="Times New Roman" w:cstheme="minorHAnsi"/>
                <w:sz w:val="20"/>
                <w:szCs w:val="20"/>
              </w:rPr>
              <w:t>5 (3 to 10)</w:t>
            </w:r>
          </w:p>
        </w:tc>
        <w:tc>
          <w:tcPr>
            <w:tcW w:w="1276" w:type="dxa"/>
            <w:tcBorders>
              <w:top w:val="single" w:sz="8" w:space="0" w:color="auto"/>
              <w:left w:val="single" w:sz="8" w:space="0" w:color="auto"/>
              <w:bottom w:val="single" w:sz="8" w:space="0" w:color="auto"/>
              <w:right w:val="single" w:sz="8" w:space="0" w:color="auto"/>
            </w:tcBorders>
          </w:tcPr>
          <w:p w14:paraId="32F2186D" w14:textId="722D335F" w:rsidR="0FE9BE9B" w:rsidRPr="000B2CDA" w:rsidRDefault="0FE9BE9B">
            <w:pPr>
              <w:rPr>
                <w:rFonts w:cstheme="minorHAnsi"/>
                <w:sz w:val="20"/>
                <w:szCs w:val="20"/>
              </w:rPr>
            </w:pPr>
            <w:r w:rsidRPr="000B2CDA">
              <w:rPr>
                <w:rFonts w:eastAsia="Times New Roman" w:cstheme="minorHAnsi"/>
                <w:sz w:val="20"/>
                <w:szCs w:val="20"/>
              </w:rPr>
              <w:t>10 (4 to 18)</w:t>
            </w:r>
          </w:p>
        </w:tc>
        <w:tc>
          <w:tcPr>
            <w:tcW w:w="1242" w:type="dxa"/>
            <w:tcBorders>
              <w:top w:val="single" w:sz="8" w:space="0" w:color="auto"/>
              <w:left w:val="single" w:sz="8" w:space="0" w:color="auto"/>
              <w:bottom w:val="single" w:sz="8" w:space="0" w:color="auto"/>
              <w:right w:val="single" w:sz="8" w:space="0" w:color="auto"/>
            </w:tcBorders>
          </w:tcPr>
          <w:p w14:paraId="44C98B40" w14:textId="700B111D" w:rsidR="0FE9BE9B" w:rsidRPr="000B2CDA" w:rsidRDefault="0FE9BE9B">
            <w:pPr>
              <w:rPr>
                <w:rFonts w:cstheme="minorHAnsi"/>
                <w:sz w:val="20"/>
                <w:szCs w:val="20"/>
              </w:rPr>
            </w:pPr>
            <w:r w:rsidRPr="000B2CDA">
              <w:rPr>
                <w:rFonts w:eastAsia="Times New Roman" w:cstheme="minorHAnsi"/>
                <w:sz w:val="20"/>
                <w:szCs w:val="20"/>
              </w:rPr>
              <w:t>17 (8 to 22)</w:t>
            </w:r>
          </w:p>
        </w:tc>
      </w:tr>
      <w:tr w:rsidR="000B2CDA" w:rsidRPr="000B2CDA" w14:paraId="5C73A967" w14:textId="77777777" w:rsidTr="000B2CDA">
        <w:tc>
          <w:tcPr>
            <w:tcW w:w="1949" w:type="dxa"/>
            <w:tcBorders>
              <w:top w:val="single" w:sz="8" w:space="0" w:color="auto"/>
              <w:left w:val="single" w:sz="8" w:space="0" w:color="auto"/>
              <w:bottom w:val="single" w:sz="8" w:space="0" w:color="auto"/>
              <w:right w:val="single" w:sz="8" w:space="0" w:color="auto"/>
            </w:tcBorders>
          </w:tcPr>
          <w:p w14:paraId="3A8167EF" w14:textId="20AFF59E" w:rsidR="0FE9BE9B" w:rsidRPr="000B2CDA" w:rsidRDefault="0FE9BE9B">
            <w:pPr>
              <w:rPr>
                <w:rFonts w:cstheme="minorHAnsi"/>
                <w:sz w:val="20"/>
                <w:szCs w:val="20"/>
              </w:rPr>
            </w:pPr>
            <w:r w:rsidRPr="000B2CDA">
              <w:rPr>
                <w:rFonts w:eastAsia="Calibri" w:cstheme="minorHAnsi"/>
                <w:sz w:val="20"/>
                <w:szCs w:val="20"/>
              </w:rPr>
              <w:t xml:space="preserve">Ischaemic (%) </w:t>
            </w:r>
          </w:p>
        </w:tc>
        <w:tc>
          <w:tcPr>
            <w:tcW w:w="1018" w:type="dxa"/>
            <w:tcBorders>
              <w:top w:val="single" w:sz="8" w:space="0" w:color="auto"/>
              <w:left w:val="single" w:sz="8" w:space="0" w:color="auto"/>
              <w:bottom w:val="single" w:sz="8" w:space="0" w:color="auto"/>
              <w:right w:val="single" w:sz="8" w:space="0" w:color="auto"/>
            </w:tcBorders>
          </w:tcPr>
          <w:p w14:paraId="40DF057D" w14:textId="01E13A6D" w:rsidR="0FE9BE9B" w:rsidRPr="000B2CDA" w:rsidRDefault="0FE9BE9B">
            <w:pPr>
              <w:rPr>
                <w:rFonts w:cstheme="minorHAnsi"/>
                <w:sz w:val="20"/>
                <w:szCs w:val="20"/>
              </w:rPr>
            </w:pPr>
            <w:r w:rsidRPr="000B2CDA">
              <w:rPr>
                <w:rFonts w:eastAsia="Times New Roman" w:cstheme="minorHAnsi"/>
                <w:sz w:val="20"/>
                <w:szCs w:val="20"/>
              </w:rPr>
              <w:t>90.08</w:t>
            </w:r>
          </w:p>
        </w:tc>
        <w:tc>
          <w:tcPr>
            <w:tcW w:w="992" w:type="dxa"/>
            <w:tcBorders>
              <w:top w:val="single" w:sz="8" w:space="0" w:color="auto"/>
              <w:left w:val="single" w:sz="8" w:space="0" w:color="auto"/>
              <w:bottom w:val="single" w:sz="8" w:space="0" w:color="auto"/>
              <w:right w:val="single" w:sz="8" w:space="0" w:color="auto"/>
            </w:tcBorders>
          </w:tcPr>
          <w:p w14:paraId="0BF1E567" w14:textId="009E8DAD" w:rsidR="0FE9BE9B" w:rsidRPr="000B2CDA" w:rsidRDefault="0FE9BE9B">
            <w:pPr>
              <w:rPr>
                <w:rFonts w:cstheme="minorHAnsi"/>
                <w:sz w:val="20"/>
                <w:szCs w:val="20"/>
              </w:rPr>
            </w:pPr>
            <w:r w:rsidRPr="000B2CDA">
              <w:rPr>
                <w:rFonts w:eastAsia="Times New Roman" w:cstheme="minorHAnsi"/>
                <w:sz w:val="20"/>
                <w:szCs w:val="20"/>
              </w:rPr>
              <w:t>95.61</w:t>
            </w:r>
          </w:p>
        </w:tc>
        <w:tc>
          <w:tcPr>
            <w:tcW w:w="993" w:type="dxa"/>
            <w:tcBorders>
              <w:top w:val="single" w:sz="8" w:space="0" w:color="auto"/>
              <w:left w:val="single" w:sz="8" w:space="0" w:color="auto"/>
              <w:bottom w:val="single" w:sz="8" w:space="0" w:color="auto"/>
              <w:right w:val="single" w:sz="8" w:space="0" w:color="auto"/>
            </w:tcBorders>
          </w:tcPr>
          <w:p w14:paraId="1FB11333" w14:textId="0C23D727" w:rsidR="0FE9BE9B" w:rsidRPr="000B2CDA" w:rsidRDefault="0FE9BE9B">
            <w:pPr>
              <w:rPr>
                <w:rFonts w:cstheme="minorHAnsi"/>
                <w:sz w:val="20"/>
                <w:szCs w:val="20"/>
              </w:rPr>
            </w:pPr>
            <w:r w:rsidRPr="000B2CDA">
              <w:rPr>
                <w:rFonts w:eastAsia="Times New Roman" w:cstheme="minorHAnsi"/>
                <w:sz w:val="20"/>
                <w:szCs w:val="20"/>
              </w:rPr>
              <w:t>95.00</w:t>
            </w:r>
          </w:p>
        </w:tc>
        <w:tc>
          <w:tcPr>
            <w:tcW w:w="992" w:type="dxa"/>
            <w:tcBorders>
              <w:top w:val="single" w:sz="8" w:space="0" w:color="auto"/>
              <w:left w:val="single" w:sz="8" w:space="0" w:color="auto"/>
              <w:bottom w:val="single" w:sz="8" w:space="0" w:color="auto"/>
              <w:right w:val="single" w:sz="8" w:space="0" w:color="auto"/>
            </w:tcBorders>
          </w:tcPr>
          <w:p w14:paraId="32AE4B0E" w14:textId="3FF92FFE" w:rsidR="0FE9BE9B" w:rsidRPr="000B2CDA" w:rsidRDefault="0FE9BE9B">
            <w:pPr>
              <w:rPr>
                <w:rFonts w:cstheme="minorHAnsi"/>
                <w:sz w:val="20"/>
                <w:szCs w:val="20"/>
              </w:rPr>
            </w:pPr>
            <w:r w:rsidRPr="000B2CDA">
              <w:rPr>
                <w:rFonts w:eastAsia="Times New Roman" w:cstheme="minorHAnsi"/>
                <w:sz w:val="20"/>
                <w:szCs w:val="20"/>
              </w:rPr>
              <w:t>93.71</w:t>
            </w:r>
          </w:p>
        </w:tc>
        <w:tc>
          <w:tcPr>
            <w:tcW w:w="1134" w:type="dxa"/>
            <w:tcBorders>
              <w:top w:val="single" w:sz="8" w:space="0" w:color="auto"/>
              <w:left w:val="single" w:sz="8" w:space="0" w:color="auto"/>
              <w:bottom w:val="single" w:sz="8" w:space="0" w:color="auto"/>
              <w:right w:val="single" w:sz="8" w:space="0" w:color="auto"/>
            </w:tcBorders>
          </w:tcPr>
          <w:p w14:paraId="0C014835" w14:textId="28C1C04B" w:rsidR="0FE9BE9B" w:rsidRPr="000B2CDA" w:rsidRDefault="0FE9BE9B">
            <w:pPr>
              <w:rPr>
                <w:rFonts w:cstheme="minorHAnsi"/>
                <w:sz w:val="20"/>
                <w:szCs w:val="20"/>
              </w:rPr>
            </w:pPr>
            <w:r w:rsidRPr="000B2CDA">
              <w:rPr>
                <w:rFonts w:eastAsia="Times New Roman" w:cstheme="minorHAnsi"/>
                <w:sz w:val="20"/>
                <w:szCs w:val="20"/>
              </w:rPr>
              <w:t>85.27</w:t>
            </w:r>
          </w:p>
        </w:tc>
        <w:tc>
          <w:tcPr>
            <w:tcW w:w="1276" w:type="dxa"/>
            <w:tcBorders>
              <w:top w:val="single" w:sz="8" w:space="0" w:color="auto"/>
              <w:left w:val="single" w:sz="8" w:space="0" w:color="auto"/>
              <w:bottom w:val="single" w:sz="8" w:space="0" w:color="auto"/>
              <w:right w:val="single" w:sz="8" w:space="0" w:color="auto"/>
            </w:tcBorders>
          </w:tcPr>
          <w:p w14:paraId="5A00B007" w14:textId="18BB2321" w:rsidR="0FE9BE9B" w:rsidRPr="000B2CDA" w:rsidRDefault="0FE9BE9B">
            <w:pPr>
              <w:rPr>
                <w:rFonts w:cstheme="minorHAnsi"/>
                <w:sz w:val="20"/>
                <w:szCs w:val="20"/>
              </w:rPr>
            </w:pPr>
            <w:r w:rsidRPr="000B2CDA">
              <w:rPr>
                <w:rFonts w:eastAsia="Times New Roman" w:cstheme="minorHAnsi"/>
                <w:sz w:val="20"/>
                <w:szCs w:val="20"/>
              </w:rPr>
              <w:t>80.43</w:t>
            </w:r>
          </w:p>
        </w:tc>
        <w:tc>
          <w:tcPr>
            <w:tcW w:w="1242" w:type="dxa"/>
            <w:tcBorders>
              <w:top w:val="single" w:sz="8" w:space="0" w:color="auto"/>
              <w:left w:val="single" w:sz="8" w:space="0" w:color="auto"/>
              <w:bottom w:val="single" w:sz="8" w:space="0" w:color="auto"/>
              <w:right w:val="single" w:sz="8" w:space="0" w:color="auto"/>
            </w:tcBorders>
          </w:tcPr>
          <w:p w14:paraId="5220B8F5" w14:textId="2B010C8F" w:rsidR="0FE9BE9B" w:rsidRPr="000B2CDA" w:rsidRDefault="0FE9BE9B">
            <w:pPr>
              <w:rPr>
                <w:rFonts w:cstheme="minorHAnsi"/>
                <w:sz w:val="20"/>
                <w:szCs w:val="20"/>
              </w:rPr>
            </w:pPr>
            <w:r w:rsidRPr="000B2CDA">
              <w:rPr>
                <w:rFonts w:eastAsia="Times New Roman" w:cstheme="minorHAnsi"/>
                <w:sz w:val="20"/>
                <w:szCs w:val="20"/>
              </w:rPr>
              <w:t>86.23</w:t>
            </w:r>
          </w:p>
        </w:tc>
      </w:tr>
      <w:tr w:rsidR="000B2CDA" w:rsidRPr="000B2CDA" w14:paraId="5473E750" w14:textId="77777777" w:rsidTr="000B2CDA">
        <w:tc>
          <w:tcPr>
            <w:tcW w:w="1949" w:type="dxa"/>
            <w:tcBorders>
              <w:top w:val="single" w:sz="8" w:space="0" w:color="auto"/>
              <w:left w:val="single" w:sz="8" w:space="0" w:color="auto"/>
              <w:bottom w:val="single" w:sz="8" w:space="0" w:color="auto"/>
              <w:right w:val="single" w:sz="8" w:space="0" w:color="auto"/>
            </w:tcBorders>
          </w:tcPr>
          <w:p w14:paraId="6116F4B2" w14:textId="51596B2D" w:rsidR="0FE9BE9B" w:rsidRPr="000B2CDA" w:rsidRDefault="0FE9BE9B">
            <w:pPr>
              <w:rPr>
                <w:rFonts w:cstheme="minorHAnsi"/>
                <w:sz w:val="20"/>
                <w:szCs w:val="20"/>
              </w:rPr>
            </w:pPr>
            <w:r w:rsidRPr="000B2CDA">
              <w:rPr>
                <w:rFonts w:eastAsia="Calibri" w:cstheme="minorHAnsi"/>
                <w:sz w:val="20"/>
                <w:szCs w:val="20"/>
              </w:rPr>
              <w:t xml:space="preserve">Diabetes (%) </w:t>
            </w:r>
          </w:p>
        </w:tc>
        <w:tc>
          <w:tcPr>
            <w:tcW w:w="1018" w:type="dxa"/>
            <w:tcBorders>
              <w:top w:val="single" w:sz="8" w:space="0" w:color="auto"/>
              <w:left w:val="single" w:sz="8" w:space="0" w:color="auto"/>
              <w:bottom w:val="single" w:sz="8" w:space="0" w:color="auto"/>
              <w:right w:val="single" w:sz="8" w:space="0" w:color="auto"/>
            </w:tcBorders>
            <w:vAlign w:val="bottom"/>
          </w:tcPr>
          <w:p w14:paraId="5848E387" w14:textId="25AB70E2" w:rsidR="0FE9BE9B" w:rsidRPr="000B2CDA" w:rsidRDefault="0FE9BE9B">
            <w:pPr>
              <w:rPr>
                <w:rFonts w:cstheme="minorHAnsi"/>
                <w:sz w:val="20"/>
                <w:szCs w:val="20"/>
              </w:rPr>
            </w:pPr>
            <w:r w:rsidRPr="000B2CDA">
              <w:rPr>
                <w:rFonts w:eastAsia="Calibri" w:cstheme="minorHAnsi"/>
                <w:color w:val="000000" w:themeColor="text1"/>
                <w:sz w:val="20"/>
                <w:szCs w:val="20"/>
              </w:rPr>
              <w:t>15.77</w:t>
            </w:r>
          </w:p>
        </w:tc>
        <w:tc>
          <w:tcPr>
            <w:tcW w:w="992" w:type="dxa"/>
            <w:tcBorders>
              <w:top w:val="single" w:sz="8" w:space="0" w:color="auto"/>
              <w:left w:val="single" w:sz="8" w:space="0" w:color="auto"/>
              <w:bottom w:val="single" w:sz="8" w:space="0" w:color="auto"/>
              <w:right w:val="single" w:sz="8" w:space="0" w:color="auto"/>
            </w:tcBorders>
            <w:vAlign w:val="bottom"/>
          </w:tcPr>
          <w:p w14:paraId="44E1700D" w14:textId="6CD0DA99" w:rsidR="0FE9BE9B" w:rsidRPr="000B2CDA" w:rsidRDefault="0FE9BE9B">
            <w:pPr>
              <w:rPr>
                <w:rFonts w:cstheme="minorHAnsi"/>
                <w:sz w:val="20"/>
                <w:szCs w:val="20"/>
              </w:rPr>
            </w:pPr>
            <w:r w:rsidRPr="000B2CDA">
              <w:rPr>
                <w:rFonts w:eastAsia="Calibri" w:cstheme="minorHAnsi"/>
                <w:color w:val="000000" w:themeColor="text1"/>
                <w:sz w:val="20"/>
                <w:szCs w:val="20"/>
              </w:rPr>
              <w:t>12.95</w:t>
            </w:r>
          </w:p>
        </w:tc>
        <w:tc>
          <w:tcPr>
            <w:tcW w:w="993" w:type="dxa"/>
            <w:tcBorders>
              <w:top w:val="single" w:sz="8" w:space="0" w:color="auto"/>
              <w:left w:val="single" w:sz="8" w:space="0" w:color="auto"/>
              <w:bottom w:val="single" w:sz="8" w:space="0" w:color="auto"/>
              <w:right w:val="single" w:sz="8" w:space="0" w:color="auto"/>
            </w:tcBorders>
            <w:vAlign w:val="bottom"/>
          </w:tcPr>
          <w:p w14:paraId="14939CEC" w14:textId="07027E4E" w:rsidR="0FE9BE9B" w:rsidRPr="000B2CDA" w:rsidRDefault="0FE9BE9B">
            <w:pPr>
              <w:rPr>
                <w:rFonts w:cstheme="minorHAnsi"/>
                <w:sz w:val="20"/>
                <w:szCs w:val="20"/>
              </w:rPr>
            </w:pPr>
            <w:r w:rsidRPr="000B2CDA">
              <w:rPr>
                <w:rFonts w:eastAsia="Calibri" w:cstheme="minorHAnsi"/>
                <w:color w:val="000000" w:themeColor="text1"/>
                <w:sz w:val="20"/>
                <w:szCs w:val="20"/>
              </w:rPr>
              <w:t>14.11</w:t>
            </w:r>
          </w:p>
        </w:tc>
        <w:tc>
          <w:tcPr>
            <w:tcW w:w="992" w:type="dxa"/>
            <w:tcBorders>
              <w:top w:val="single" w:sz="8" w:space="0" w:color="auto"/>
              <w:left w:val="single" w:sz="8" w:space="0" w:color="auto"/>
              <w:bottom w:val="single" w:sz="8" w:space="0" w:color="auto"/>
              <w:right w:val="single" w:sz="8" w:space="0" w:color="auto"/>
            </w:tcBorders>
            <w:vAlign w:val="bottom"/>
          </w:tcPr>
          <w:p w14:paraId="0A5C3B09" w14:textId="11D1F5ED" w:rsidR="0FE9BE9B" w:rsidRPr="000B2CDA" w:rsidRDefault="0FE9BE9B">
            <w:pPr>
              <w:rPr>
                <w:rFonts w:cstheme="minorHAnsi"/>
                <w:sz w:val="20"/>
                <w:szCs w:val="20"/>
              </w:rPr>
            </w:pPr>
            <w:r w:rsidRPr="000B2CDA">
              <w:rPr>
                <w:rFonts w:eastAsia="Calibri" w:cstheme="minorHAnsi"/>
                <w:color w:val="000000" w:themeColor="text1"/>
                <w:sz w:val="20"/>
                <w:szCs w:val="20"/>
              </w:rPr>
              <w:t>19.67</w:t>
            </w:r>
          </w:p>
        </w:tc>
        <w:tc>
          <w:tcPr>
            <w:tcW w:w="1134" w:type="dxa"/>
            <w:tcBorders>
              <w:top w:val="single" w:sz="8" w:space="0" w:color="auto"/>
              <w:left w:val="single" w:sz="8" w:space="0" w:color="auto"/>
              <w:bottom w:val="single" w:sz="8" w:space="0" w:color="auto"/>
              <w:right w:val="single" w:sz="8" w:space="0" w:color="auto"/>
            </w:tcBorders>
            <w:vAlign w:val="bottom"/>
          </w:tcPr>
          <w:p w14:paraId="63811ED0" w14:textId="7A752407" w:rsidR="0FE9BE9B" w:rsidRPr="000B2CDA" w:rsidRDefault="0FE9BE9B">
            <w:pPr>
              <w:rPr>
                <w:rFonts w:cstheme="minorHAnsi"/>
                <w:sz w:val="20"/>
                <w:szCs w:val="20"/>
              </w:rPr>
            </w:pPr>
            <w:r w:rsidRPr="000B2CDA">
              <w:rPr>
                <w:rFonts w:eastAsia="Calibri" w:cstheme="minorHAnsi"/>
                <w:color w:val="000000" w:themeColor="text1"/>
                <w:sz w:val="20"/>
                <w:szCs w:val="20"/>
              </w:rPr>
              <w:t>15.60</w:t>
            </w:r>
          </w:p>
        </w:tc>
        <w:tc>
          <w:tcPr>
            <w:tcW w:w="1276" w:type="dxa"/>
            <w:tcBorders>
              <w:top w:val="single" w:sz="8" w:space="0" w:color="auto"/>
              <w:left w:val="single" w:sz="8" w:space="0" w:color="auto"/>
              <w:bottom w:val="single" w:sz="8" w:space="0" w:color="auto"/>
              <w:right w:val="single" w:sz="8" w:space="0" w:color="auto"/>
            </w:tcBorders>
            <w:vAlign w:val="bottom"/>
          </w:tcPr>
          <w:p w14:paraId="46C52681" w14:textId="0345BBE0" w:rsidR="0FE9BE9B" w:rsidRPr="000B2CDA" w:rsidRDefault="0FE9BE9B">
            <w:pPr>
              <w:rPr>
                <w:rFonts w:cstheme="minorHAnsi"/>
                <w:sz w:val="20"/>
                <w:szCs w:val="20"/>
              </w:rPr>
            </w:pPr>
            <w:r w:rsidRPr="000B2CDA">
              <w:rPr>
                <w:rFonts w:eastAsia="Calibri" w:cstheme="minorHAnsi"/>
                <w:color w:val="000000" w:themeColor="text1"/>
                <w:sz w:val="20"/>
                <w:szCs w:val="20"/>
              </w:rPr>
              <w:t>14.55</w:t>
            </w:r>
          </w:p>
        </w:tc>
        <w:tc>
          <w:tcPr>
            <w:tcW w:w="1242" w:type="dxa"/>
            <w:tcBorders>
              <w:top w:val="single" w:sz="8" w:space="0" w:color="auto"/>
              <w:left w:val="single" w:sz="8" w:space="0" w:color="auto"/>
              <w:bottom w:val="single" w:sz="8" w:space="0" w:color="auto"/>
              <w:right w:val="single" w:sz="8" w:space="0" w:color="auto"/>
            </w:tcBorders>
            <w:vAlign w:val="bottom"/>
          </w:tcPr>
          <w:p w14:paraId="016872E4" w14:textId="163E2D5C" w:rsidR="0FE9BE9B" w:rsidRPr="000B2CDA" w:rsidRDefault="0FE9BE9B">
            <w:pPr>
              <w:rPr>
                <w:rFonts w:cstheme="minorHAnsi"/>
                <w:sz w:val="20"/>
                <w:szCs w:val="20"/>
              </w:rPr>
            </w:pPr>
            <w:r w:rsidRPr="000B2CDA">
              <w:rPr>
                <w:rFonts w:eastAsia="Calibri" w:cstheme="minorHAnsi"/>
                <w:color w:val="000000" w:themeColor="text1"/>
                <w:sz w:val="20"/>
                <w:szCs w:val="20"/>
              </w:rPr>
              <w:t>13.64</w:t>
            </w:r>
          </w:p>
        </w:tc>
      </w:tr>
      <w:tr w:rsidR="000B2CDA" w:rsidRPr="000B2CDA" w14:paraId="4A722E85" w14:textId="77777777" w:rsidTr="000B2CDA">
        <w:tc>
          <w:tcPr>
            <w:tcW w:w="1949" w:type="dxa"/>
            <w:tcBorders>
              <w:top w:val="single" w:sz="8" w:space="0" w:color="auto"/>
              <w:left w:val="single" w:sz="8" w:space="0" w:color="auto"/>
              <w:bottom w:val="single" w:sz="8" w:space="0" w:color="auto"/>
              <w:right w:val="single" w:sz="8" w:space="0" w:color="auto"/>
            </w:tcBorders>
          </w:tcPr>
          <w:p w14:paraId="42ED4CAA" w14:textId="589B8BA7" w:rsidR="0FE9BE9B" w:rsidRPr="000B2CDA" w:rsidRDefault="0FE9BE9B">
            <w:pPr>
              <w:rPr>
                <w:rFonts w:cstheme="minorHAnsi"/>
                <w:sz w:val="20"/>
                <w:szCs w:val="20"/>
              </w:rPr>
            </w:pPr>
            <w:r w:rsidRPr="000B2CDA">
              <w:rPr>
                <w:rFonts w:eastAsia="Calibri" w:cstheme="minorHAnsi"/>
                <w:sz w:val="20"/>
                <w:szCs w:val="20"/>
              </w:rPr>
              <w:t xml:space="preserve">Atrial fibrillation (%) </w:t>
            </w:r>
          </w:p>
        </w:tc>
        <w:tc>
          <w:tcPr>
            <w:tcW w:w="1018" w:type="dxa"/>
            <w:tcBorders>
              <w:top w:val="single" w:sz="8" w:space="0" w:color="auto"/>
              <w:left w:val="single" w:sz="8" w:space="0" w:color="auto"/>
              <w:bottom w:val="single" w:sz="8" w:space="0" w:color="auto"/>
              <w:right w:val="single" w:sz="8" w:space="0" w:color="auto"/>
            </w:tcBorders>
            <w:vAlign w:val="bottom"/>
          </w:tcPr>
          <w:p w14:paraId="04218CEC" w14:textId="38089D1A" w:rsidR="0FE9BE9B" w:rsidRPr="000B2CDA" w:rsidRDefault="0FE9BE9B">
            <w:pPr>
              <w:rPr>
                <w:rFonts w:cstheme="minorHAnsi"/>
                <w:sz w:val="20"/>
                <w:szCs w:val="20"/>
              </w:rPr>
            </w:pPr>
            <w:r w:rsidRPr="000B2CDA">
              <w:rPr>
                <w:rFonts w:eastAsia="Calibri" w:cstheme="minorHAnsi"/>
                <w:color w:val="000000" w:themeColor="text1"/>
                <w:sz w:val="20"/>
                <w:szCs w:val="20"/>
              </w:rPr>
              <w:t>14.38</w:t>
            </w:r>
          </w:p>
        </w:tc>
        <w:tc>
          <w:tcPr>
            <w:tcW w:w="992" w:type="dxa"/>
            <w:tcBorders>
              <w:top w:val="single" w:sz="8" w:space="0" w:color="auto"/>
              <w:left w:val="single" w:sz="8" w:space="0" w:color="auto"/>
              <w:bottom w:val="single" w:sz="8" w:space="0" w:color="auto"/>
              <w:right w:val="single" w:sz="8" w:space="0" w:color="auto"/>
            </w:tcBorders>
            <w:vAlign w:val="bottom"/>
          </w:tcPr>
          <w:p w14:paraId="3F287B11" w14:textId="7519F319" w:rsidR="0FE9BE9B" w:rsidRPr="000B2CDA" w:rsidRDefault="0FE9BE9B">
            <w:pPr>
              <w:rPr>
                <w:rFonts w:cstheme="minorHAnsi"/>
                <w:sz w:val="20"/>
                <w:szCs w:val="20"/>
              </w:rPr>
            </w:pPr>
            <w:r w:rsidRPr="000B2CDA">
              <w:rPr>
                <w:rFonts w:eastAsia="Calibri" w:cstheme="minorHAnsi"/>
                <w:color w:val="000000" w:themeColor="text1"/>
                <w:sz w:val="20"/>
                <w:szCs w:val="20"/>
              </w:rPr>
              <w:t>7.19</w:t>
            </w:r>
          </w:p>
        </w:tc>
        <w:tc>
          <w:tcPr>
            <w:tcW w:w="993" w:type="dxa"/>
            <w:tcBorders>
              <w:top w:val="single" w:sz="8" w:space="0" w:color="auto"/>
              <w:left w:val="single" w:sz="8" w:space="0" w:color="auto"/>
              <w:bottom w:val="single" w:sz="8" w:space="0" w:color="auto"/>
              <w:right w:val="single" w:sz="8" w:space="0" w:color="auto"/>
            </w:tcBorders>
            <w:vAlign w:val="bottom"/>
          </w:tcPr>
          <w:p w14:paraId="65306F85" w14:textId="0C996592" w:rsidR="0FE9BE9B" w:rsidRPr="000B2CDA" w:rsidRDefault="0FE9BE9B">
            <w:pPr>
              <w:rPr>
                <w:rFonts w:cstheme="minorHAnsi"/>
                <w:sz w:val="20"/>
                <w:szCs w:val="20"/>
              </w:rPr>
            </w:pPr>
            <w:r w:rsidRPr="000B2CDA">
              <w:rPr>
                <w:rFonts w:eastAsia="Calibri" w:cstheme="minorHAnsi"/>
                <w:color w:val="000000" w:themeColor="text1"/>
                <w:sz w:val="20"/>
                <w:szCs w:val="20"/>
              </w:rPr>
              <w:t>12.31</w:t>
            </w:r>
          </w:p>
        </w:tc>
        <w:tc>
          <w:tcPr>
            <w:tcW w:w="992" w:type="dxa"/>
            <w:tcBorders>
              <w:top w:val="single" w:sz="8" w:space="0" w:color="auto"/>
              <w:left w:val="single" w:sz="8" w:space="0" w:color="auto"/>
              <w:bottom w:val="single" w:sz="8" w:space="0" w:color="auto"/>
              <w:right w:val="single" w:sz="8" w:space="0" w:color="auto"/>
            </w:tcBorders>
            <w:vAlign w:val="bottom"/>
          </w:tcPr>
          <w:p w14:paraId="2F5B1F2E" w14:textId="01E9A130" w:rsidR="0FE9BE9B" w:rsidRPr="000B2CDA" w:rsidRDefault="0FE9BE9B">
            <w:pPr>
              <w:rPr>
                <w:rFonts w:cstheme="minorHAnsi"/>
                <w:sz w:val="20"/>
                <w:szCs w:val="20"/>
              </w:rPr>
            </w:pPr>
            <w:r w:rsidRPr="000B2CDA">
              <w:rPr>
                <w:rFonts w:eastAsia="Calibri" w:cstheme="minorHAnsi"/>
                <w:color w:val="000000" w:themeColor="text1"/>
                <w:sz w:val="20"/>
                <w:szCs w:val="20"/>
              </w:rPr>
              <w:t>12.57</w:t>
            </w:r>
          </w:p>
        </w:tc>
        <w:tc>
          <w:tcPr>
            <w:tcW w:w="1134" w:type="dxa"/>
            <w:tcBorders>
              <w:top w:val="single" w:sz="8" w:space="0" w:color="auto"/>
              <w:left w:val="single" w:sz="8" w:space="0" w:color="auto"/>
              <w:bottom w:val="single" w:sz="8" w:space="0" w:color="auto"/>
              <w:right w:val="single" w:sz="8" w:space="0" w:color="auto"/>
            </w:tcBorders>
            <w:vAlign w:val="bottom"/>
          </w:tcPr>
          <w:p w14:paraId="1F04F65F" w14:textId="152D5A5E" w:rsidR="0FE9BE9B" w:rsidRPr="000B2CDA" w:rsidRDefault="0FE9BE9B">
            <w:pPr>
              <w:rPr>
                <w:rFonts w:cstheme="minorHAnsi"/>
                <w:sz w:val="20"/>
                <w:szCs w:val="20"/>
              </w:rPr>
            </w:pPr>
            <w:r w:rsidRPr="000B2CDA">
              <w:rPr>
                <w:rFonts w:eastAsia="Calibri" w:cstheme="minorHAnsi"/>
                <w:color w:val="000000" w:themeColor="text1"/>
                <w:sz w:val="20"/>
                <w:szCs w:val="20"/>
              </w:rPr>
              <w:t>16.99</w:t>
            </w:r>
          </w:p>
        </w:tc>
        <w:tc>
          <w:tcPr>
            <w:tcW w:w="1276" w:type="dxa"/>
            <w:tcBorders>
              <w:top w:val="single" w:sz="8" w:space="0" w:color="auto"/>
              <w:left w:val="single" w:sz="8" w:space="0" w:color="auto"/>
              <w:bottom w:val="single" w:sz="8" w:space="0" w:color="auto"/>
              <w:right w:val="single" w:sz="8" w:space="0" w:color="auto"/>
            </w:tcBorders>
            <w:vAlign w:val="bottom"/>
          </w:tcPr>
          <w:p w14:paraId="1CA3B9E6" w14:textId="3507BFBE" w:rsidR="0FE9BE9B" w:rsidRPr="000B2CDA" w:rsidRDefault="0FE9BE9B">
            <w:pPr>
              <w:rPr>
                <w:rFonts w:cstheme="minorHAnsi"/>
                <w:sz w:val="20"/>
                <w:szCs w:val="20"/>
              </w:rPr>
            </w:pPr>
            <w:r w:rsidRPr="000B2CDA">
              <w:rPr>
                <w:rFonts w:eastAsia="Calibri" w:cstheme="minorHAnsi"/>
                <w:color w:val="000000" w:themeColor="text1"/>
                <w:sz w:val="20"/>
                <w:szCs w:val="20"/>
              </w:rPr>
              <w:t>18.66</w:t>
            </w:r>
          </w:p>
        </w:tc>
        <w:tc>
          <w:tcPr>
            <w:tcW w:w="1242" w:type="dxa"/>
            <w:tcBorders>
              <w:top w:val="single" w:sz="8" w:space="0" w:color="auto"/>
              <w:left w:val="single" w:sz="8" w:space="0" w:color="auto"/>
              <w:bottom w:val="single" w:sz="8" w:space="0" w:color="auto"/>
              <w:right w:val="single" w:sz="8" w:space="0" w:color="auto"/>
            </w:tcBorders>
            <w:vAlign w:val="bottom"/>
          </w:tcPr>
          <w:p w14:paraId="387318EF" w14:textId="1CE34F35" w:rsidR="0FE9BE9B" w:rsidRPr="000B2CDA" w:rsidRDefault="0FE9BE9B">
            <w:pPr>
              <w:rPr>
                <w:rFonts w:cstheme="minorHAnsi"/>
                <w:sz w:val="20"/>
                <w:szCs w:val="20"/>
              </w:rPr>
            </w:pPr>
            <w:r w:rsidRPr="000B2CDA">
              <w:rPr>
                <w:rFonts w:eastAsia="Calibri" w:cstheme="minorHAnsi"/>
                <w:color w:val="000000" w:themeColor="text1"/>
                <w:sz w:val="20"/>
                <w:szCs w:val="20"/>
              </w:rPr>
              <w:t>20.45</w:t>
            </w:r>
          </w:p>
        </w:tc>
      </w:tr>
      <w:tr w:rsidR="000B2CDA" w:rsidRPr="000B2CDA" w14:paraId="71A199DF" w14:textId="77777777" w:rsidTr="000B2CDA">
        <w:tc>
          <w:tcPr>
            <w:tcW w:w="1949" w:type="dxa"/>
            <w:tcBorders>
              <w:top w:val="single" w:sz="8" w:space="0" w:color="auto"/>
              <w:left w:val="single" w:sz="8" w:space="0" w:color="auto"/>
              <w:bottom w:val="single" w:sz="8" w:space="0" w:color="auto"/>
              <w:right w:val="single" w:sz="8" w:space="0" w:color="auto"/>
            </w:tcBorders>
          </w:tcPr>
          <w:p w14:paraId="0ABD8510" w14:textId="68356B34" w:rsidR="0FE9BE9B" w:rsidRPr="000B2CDA" w:rsidRDefault="0FE9BE9B">
            <w:pPr>
              <w:rPr>
                <w:rFonts w:cstheme="minorHAnsi"/>
                <w:sz w:val="20"/>
                <w:szCs w:val="20"/>
              </w:rPr>
            </w:pPr>
            <w:r w:rsidRPr="000B2CDA">
              <w:rPr>
                <w:rFonts w:eastAsia="Calibri" w:cstheme="minorHAnsi"/>
                <w:sz w:val="20"/>
                <w:szCs w:val="20"/>
              </w:rPr>
              <w:t xml:space="preserve">Hypertension (%) </w:t>
            </w:r>
          </w:p>
        </w:tc>
        <w:tc>
          <w:tcPr>
            <w:tcW w:w="1018" w:type="dxa"/>
            <w:tcBorders>
              <w:top w:val="single" w:sz="8" w:space="0" w:color="auto"/>
              <w:left w:val="single" w:sz="8" w:space="0" w:color="auto"/>
              <w:bottom w:val="nil"/>
              <w:right w:val="single" w:sz="8" w:space="0" w:color="auto"/>
            </w:tcBorders>
            <w:vAlign w:val="bottom"/>
          </w:tcPr>
          <w:p w14:paraId="4DA4C051" w14:textId="7AFABBB3" w:rsidR="0FE9BE9B" w:rsidRPr="000B2CDA" w:rsidRDefault="0FE9BE9B">
            <w:pPr>
              <w:rPr>
                <w:rFonts w:cstheme="minorHAnsi"/>
                <w:sz w:val="20"/>
                <w:szCs w:val="20"/>
              </w:rPr>
            </w:pPr>
            <w:r w:rsidRPr="000B2CDA">
              <w:rPr>
                <w:rFonts w:eastAsia="Calibri" w:cstheme="minorHAnsi"/>
                <w:color w:val="000000" w:themeColor="text1"/>
                <w:sz w:val="20"/>
                <w:szCs w:val="20"/>
              </w:rPr>
              <w:t>47.18</w:t>
            </w:r>
          </w:p>
        </w:tc>
        <w:tc>
          <w:tcPr>
            <w:tcW w:w="992" w:type="dxa"/>
            <w:tcBorders>
              <w:top w:val="single" w:sz="8" w:space="0" w:color="auto"/>
              <w:left w:val="single" w:sz="8" w:space="0" w:color="auto"/>
              <w:bottom w:val="nil"/>
              <w:right w:val="single" w:sz="8" w:space="0" w:color="auto"/>
            </w:tcBorders>
            <w:vAlign w:val="bottom"/>
          </w:tcPr>
          <w:p w14:paraId="1FDA43CE" w14:textId="53E50880" w:rsidR="0FE9BE9B" w:rsidRPr="000B2CDA" w:rsidRDefault="0FE9BE9B">
            <w:pPr>
              <w:rPr>
                <w:rFonts w:cstheme="minorHAnsi"/>
                <w:sz w:val="20"/>
                <w:szCs w:val="20"/>
              </w:rPr>
            </w:pPr>
            <w:r w:rsidRPr="000B2CDA">
              <w:rPr>
                <w:rFonts w:eastAsia="Calibri" w:cstheme="minorHAnsi"/>
                <w:color w:val="000000" w:themeColor="text1"/>
                <w:sz w:val="20"/>
                <w:szCs w:val="20"/>
              </w:rPr>
              <w:t>41.01</w:t>
            </w:r>
          </w:p>
        </w:tc>
        <w:tc>
          <w:tcPr>
            <w:tcW w:w="993" w:type="dxa"/>
            <w:tcBorders>
              <w:top w:val="single" w:sz="8" w:space="0" w:color="auto"/>
              <w:left w:val="single" w:sz="8" w:space="0" w:color="auto"/>
              <w:bottom w:val="nil"/>
              <w:right w:val="single" w:sz="8" w:space="0" w:color="auto"/>
            </w:tcBorders>
            <w:vAlign w:val="bottom"/>
          </w:tcPr>
          <w:p w14:paraId="7BDE397F" w14:textId="196A1210" w:rsidR="0FE9BE9B" w:rsidRPr="000B2CDA" w:rsidRDefault="0FE9BE9B">
            <w:pPr>
              <w:rPr>
                <w:rFonts w:cstheme="minorHAnsi"/>
                <w:sz w:val="20"/>
                <w:szCs w:val="20"/>
              </w:rPr>
            </w:pPr>
            <w:r w:rsidRPr="000B2CDA">
              <w:rPr>
                <w:rFonts w:eastAsia="Calibri" w:cstheme="minorHAnsi"/>
                <w:color w:val="000000" w:themeColor="text1"/>
                <w:sz w:val="20"/>
                <w:szCs w:val="20"/>
              </w:rPr>
              <w:t>48.65</w:t>
            </w:r>
          </w:p>
        </w:tc>
        <w:tc>
          <w:tcPr>
            <w:tcW w:w="992" w:type="dxa"/>
            <w:tcBorders>
              <w:top w:val="single" w:sz="8" w:space="0" w:color="auto"/>
              <w:left w:val="single" w:sz="8" w:space="0" w:color="auto"/>
              <w:bottom w:val="nil"/>
              <w:right w:val="single" w:sz="8" w:space="0" w:color="auto"/>
            </w:tcBorders>
            <w:vAlign w:val="bottom"/>
          </w:tcPr>
          <w:p w14:paraId="79549116" w14:textId="11E41E86" w:rsidR="0FE9BE9B" w:rsidRPr="000B2CDA" w:rsidRDefault="0FE9BE9B">
            <w:pPr>
              <w:rPr>
                <w:rFonts w:cstheme="minorHAnsi"/>
                <w:sz w:val="20"/>
                <w:szCs w:val="20"/>
              </w:rPr>
            </w:pPr>
            <w:r w:rsidRPr="000B2CDA">
              <w:rPr>
                <w:rFonts w:eastAsia="Calibri" w:cstheme="minorHAnsi"/>
                <w:color w:val="000000" w:themeColor="text1"/>
                <w:sz w:val="20"/>
                <w:szCs w:val="20"/>
              </w:rPr>
              <w:t>45.63</w:t>
            </w:r>
          </w:p>
        </w:tc>
        <w:tc>
          <w:tcPr>
            <w:tcW w:w="1134" w:type="dxa"/>
            <w:tcBorders>
              <w:top w:val="single" w:sz="8" w:space="0" w:color="auto"/>
              <w:left w:val="single" w:sz="8" w:space="0" w:color="auto"/>
              <w:bottom w:val="nil"/>
              <w:right w:val="single" w:sz="8" w:space="0" w:color="auto"/>
            </w:tcBorders>
            <w:vAlign w:val="bottom"/>
          </w:tcPr>
          <w:p w14:paraId="4CE65B0B" w14:textId="340A5547" w:rsidR="0FE9BE9B" w:rsidRPr="000B2CDA" w:rsidRDefault="0FE9BE9B">
            <w:pPr>
              <w:rPr>
                <w:rFonts w:cstheme="minorHAnsi"/>
                <w:sz w:val="20"/>
                <w:szCs w:val="20"/>
              </w:rPr>
            </w:pPr>
            <w:r w:rsidRPr="000B2CDA">
              <w:rPr>
                <w:rFonts w:eastAsia="Calibri" w:cstheme="minorHAnsi"/>
                <w:color w:val="000000" w:themeColor="text1"/>
                <w:sz w:val="20"/>
                <w:szCs w:val="20"/>
              </w:rPr>
              <w:t>49.03</w:t>
            </w:r>
          </w:p>
        </w:tc>
        <w:tc>
          <w:tcPr>
            <w:tcW w:w="1276" w:type="dxa"/>
            <w:tcBorders>
              <w:top w:val="single" w:sz="8" w:space="0" w:color="auto"/>
              <w:left w:val="single" w:sz="8" w:space="0" w:color="auto"/>
              <w:bottom w:val="nil"/>
              <w:right w:val="single" w:sz="8" w:space="0" w:color="auto"/>
            </w:tcBorders>
            <w:vAlign w:val="bottom"/>
          </w:tcPr>
          <w:p w14:paraId="1C926475" w14:textId="5300391D" w:rsidR="0FE9BE9B" w:rsidRPr="000B2CDA" w:rsidRDefault="0FE9BE9B">
            <w:pPr>
              <w:rPr>
                <w:rFonts w:cstheme="minorHAnsi"/>
                <w:sz w:val="20"/>
                <w:szCs w:val="20"/>
              </w:rPr>
            </w:pPr>
            <w:r w:rsidRPr="000B2CDA">
              <w:rPr>
                <w:rFonts w:eastAsia="Calibri" w:cstheme="minorHAnsi"/>
                <w:color w:val="000000" w:themeColor="text1"/>
                <w:sz w:val="20"/>
                <w:szCs w:val="20"/>
              </w:rPr>
              <w:t>48.88</w:t>
            </w:r>
          </w:p>
        </w:tc>
        <w:tc>
          <w:tcPr>
            <w:tcW w:w="1242" w:type="dxa"/>
            <w:tcBorders>
              <w:top w:val="single" w:sz="8" w:space="0" w:color="auto"/>
              <w:left w:val="single" w:sz="8" w:space="0" w:color="auto"/>
              <w:bottom w:val="nil"/>
              <w:right w:val="single" w:sz="8" w:space="0" w:color="auto"/>
            </w:tcBorders>
            <w:vAlign w:val="bottom"/>
          </w:tcPr>
          <w:p w14:paraId="038692F2" w14:textId="4A01556F" w:rsidR="0FE9BE9B" w:rsidRPr="000B2CDA" w:rsidRDefault="0FE9BE9B">
            <w:pPr>
              <w:rPr>
                <w:rFonts w:cstheme="minorHAnsi"/>
                <w:sz w:val="20"/>
                <w:szCs w:val="20"/>
              </w:rPr>
            </w:pPr>
            <w:r w:rsidRPr="000B2CDA">
              <w:rPr>
                <w:rFonts w:eastAsia="Calibri" w:cstheme="minorHAnsi"/>
                <w:color w:val="000000" w:themeColor="text1"/>
                <w:sz w:val="20"/>
                <w:szCs w:val="20"/>
              </w:rPr>
              <w:t>43.18</w:t>
            </w:r>
          </w:p>
        </w:tc>
      </w:tr>
      <w:tr w:rsidR="000B2CDA" w:rsidRPr="000B2CDA" w14:paraId="6D6DE9AD" w14:textId="77777777" w:rsidTr="000B2CDA">
        <w:tc>
          <w:tcPr>
            <w:tcW w:w="1949" w:type="dxa"/>
            <w:tcBorders>
              <w:top w:val="single" w:sz="8" w:space="0" w:color="auto"/>
              <w:left w:val="single" w:sz="8" w:space="0" w:color="auto"/>
              <w:bottom w:val="single" w:sz="8" w:space="0" w:color="auto"/>
              <w:right w:val="single" w:sz="8" w:space="0" w:color="auto"/>
            </w:tcBorders>
          </w:tcPr>
          <w:p w14:paraId="5BA42677" w14:textId="0D385CA6" w:rsidR="0FE9BE9B" w:rsidRPr="000B2CDA" w:rsidRDefault="0FE9BE9B">
            <w:pPr>
              <w:rPr>
                <w:rFonts w:cstheme="minorHAnsi"/>
                <w:sz w:val="20"/>
                <w:szCs w:val="20"/>
              </w:rPr>
            </w:pPr>
            <w:r w:rsidRPr="000B2CDA">
              <w:rPr>
                <w:rFonts w:eastAsia="Calibri" w:cstheme="minorHAnsi"/>
                <w:sz w:val="20"/>
                <w:szCs w:val="20"/>
              </w:rPr>
              <w:lastRenderedPageBreak/>
              <w:t xml:space="preserve">Mean Pre stroke </w:t>
            </w:r>
            <w:proofErr w:type="spellStart"/>
            <w:r w:rsidRPr="000B2CDA">
              <w:rPr>
                <w:rFonts w:eastAsia="Calibri" w:cstheme="minorHAnsi"/>
                <w:sz w:val="20"/>
                <w:szCs w:val="20"/>
              </w:rPr>
              <w:t>mRS</w:t>
            </w:r>
            <w:proofErr w:type="spellEnd"/>
            <w:r w:rsidRPr="000B2CDA">
              <w:rPr>
                <w:rFonts w:eastAsia="Calibri" w:cstheme="minorHAnsi"/>
                <w:sz w:val="20"/>
                <w:szCs w:val="20"/>
              </w:rPr>
              <w:t xml:space="preserve">  </w:t>
            </w:r>
          </w:p>
        </w:tc>
        <w:tc>
          <w:tcPr>
            <w:tcW w:w="1018" w:type="dxa"/>
            <w:tcBorders>
              <w:top w:val="single" w:sz="8" w:space="0" w:color="auto"/>
              <w:left w:val="single" w:sz="8" w:space="0" w:color="auto"/>
              <w:bottom w:val="single" w:sz="8" w:space="0" w:color="auto"/>
              <w:right w:val="single" w:sz="8" w:space="0" w:color="auto"/>
            </w:tcBorders>
          </w:tcPr>
          <w:p w14:paraId="2A158767" w14:textId="6BA53398" w:rsidR="0FE9BE9B" w:rsidRPr="000B2CDA" w:rsidRDefault="0FE9BE9B">
            <w:pPr>
              <w:rPr>
                <w:rFonts w:cstheme="minorHAnsi"/>
                <w:sz w:val="20"/>
                <w:szCs w:val="20"/>
              </w:rPr>
            </w:pPr>
            <w:r w:rsidRPr="000B2CDA">
              <w:rPr>
                <w:rFonts w:eastAsia="Times New Roman" w:cstheme="minorHAnsi"/>
                <w:sz w:val="20"/>
                <w:szCs w:val="20"/>
              </w:rPr>
              <w:t>0.94</w:t>
            </w:r>
          </w:p>
        </w:tc>
        <w:tc>
          <w:tcPr>
            <w:tcW w:w="992" w:type="dxa"/>
            <w:tcBorders>
              <w:top w:val="single" w:sz="8" w:space="0" w:color="auto"/>
              <w:left w:val="single" w:sz="8" w:space="0" w:color="auto"/>
              <w:bottom w:val="single" w:sz="8" w:space="0" w:color="auto"/>
              <w:right w:val="single" w:sz="8" w:space="0" w:color="auto"/>
            </w:tcBorders>
          </w:tcPr>
          <w:p w14:paraId="3BFEB149" w14:textId="7965804D" w:rsidR="0FE9BE9B" w:rsidRPr="000B2CDA" w:rsidRDefault="0FE9BE9B">
            <w:pPr>
              <w:rPr>
                <w:rFonts w:cstheme="minorHAnsi"/>
                <w:sz w:val="20"/>
                <w:szCs w:val="20"/>
              </w:rPr>
            </w:pPr>
            <w:r w:rsidRPr="000B2CDA">
              <w:rPr>
                <w:rFonts w:eastAsia="Times New Roman" w:cstheme="minorHAnsi"/>
                <w:sz w:val="20"/>
                <w:szCs w:val="20"/>
              </w:rPr>
              <w:t>0.13</w:t>
            </w:r>
          </w:p>
        </w:tc>
        <w:tc>
          <w:tcPr>
            <w:tcW w:w="993" w:type="dxa"/>
            <w:tcBorders>
              <w:top w:val="single" w:sz="8" w:space="0" w:color="auto"/>
              <w:left w:val="single" w:sz="8" w:space="0" w:color="auto"/>
              <w:bottom w:val="single" w:sz="8" w:space="0" w:color="auto"/>
              <w:right w:val="single" w:sz="8" w:space="0" w:color="auto"/>
            </w:tcBorders>
          </w:tcPr>
          <w:p w14:paraId="7508A99C" w14:textId="76A229EA" w:rsidR="0FE9BE9B" w:rsidRPr="000B2CDA" w:rsidRDefault="0FE9BE9B">
            <w:pPr>
              <w:rPr>
                <w:rFonts w:cstheme="minorHAnsi"/>
                <w:sz w:val="20"/>
                <w:szCs w:val="20"/>
              </w:rPr>
            </w:pPr>
            <w:r w:rsidRPr="000B2CDA">
              <w:rPr>
                <w:rFonts w:eastAsia="Times New Roman" w:cstheme="minorHAnsi"/>
                <w:sz w:val="20"/>
                <w:szCs w:val="20"/>
              </w:rPr>
              <w:t>0.41</w:t>
            </w:r>
          </w:p>
        </w:tc>
        <w:tc>
          <w:tcPr>
            <w:tcW w:w="992" w:type="dxa"/>
            <w:tcBorders>
              <w:top w:val="single" w:sz="8" w:space="0" w:color="auto"/>
              <w:left w:val="single" w:sz="8" w:space="0" w:color="auto"/>
              <w:bottom w:val="single" w:sz="8" w:space="0" w:color="auto"/>
              <w:right w:val="single" w:sz="8" w:space="0" w:color="auto"/>
            </w:tcBorders>
          </w:tcPr>
          <w:p w14:paraId="0E15BAEE" w14:textId="09FD36FE" w:rsidR="0FE9BE9B" w:rsidRPr="000B2CDA" w:rsidRDefault="0FE9BE9B">
            <w:pPr>
              <w:rPr>
                <w:rFonts w:cstheme="minorHAnsi"/>
                <w:sz w:val="20"/>
                <w:szCs w:val="20"/>
              </w:rPr>
            </w:pPr>
            <w:r w:rsidRPr="000B2CDA">
              <w:rPr>
                <w:rFonts w:eastAsia="Times New Roman" w:cstheme="minorHAnsi"/>
                <w:sz w:val="20"/>
                <w:szCs w:val="20"/>
              </w:rPr>
              <w:t>0.74</w:t>
            </w:r>
          </w:p>
        </w:tc>
        <w:tc>
          <w:tcPr>
            <w:tcW w:w="1134" w:type="dxa"/>
            <w:tcBorders>
              <w:top w:val="single" w:sz="8" w:space="0" w:color="auto"/>
              <w:left w:val="single" w:sz="8" w:space="0" w:color="auto"/>
              <w:bottom w:val="single" w:sz="8" w:space="0" w:color="auto"/>
              <w:right w:val="single" w:sz="8" w:space="0" w:color="auto"/>
            </w:tcBorders>
          </w:tcPr>
          <w:p w14:paraId="24D419F8" w14:textId="11916793" w:rsidR="0FE9BE9B" w:rsidRPr="000B2CDA" w:rsidRDefault="0FE9BE9B">
            <w:pPr>
              <w:rPr>
                <w:rFonts w:cstheme="minorHAnsi"/>
                <w:sz w:val="20"/>
                <w:szCs w:val="20"/>
              </w:rPr>
            </w:pPr>
            <w:r w:rsidRPr="000B2CDA">
              <w:rPr>
                <w:rFonts w:eastAsia="Times New Roman" w:cstheme="minorHAnsi"/>
                <w:sz w:val="20"/>
                <w:szCs w:val="20"/>
              </w:rPr>
              <w:t>1.34</w:t>
            </w:r>
          </w:p>
        </w:tc>
        <w:tc>
          <w:tcPr>
            <w:tcW w:w="1276" w:type="dxa"/>
            <w:tcBorders>
              <w:top w:val="single" w:sz="8" w:space="0" w:color="auto"/>
              <w:left w:val="single" w:sz="8" w:space="0" w:color="auto"/>
              <w:bottom w:val="single" w:sz="8" w:space="0" w:color="auto"/>
              <w:right w:val="single" w:sz="8" w:space="0" w:color="auto"/>
            </w:tcBorders>
          </w:tcPr>
          <w:p w14:paraId="26AB158F" w14:textId="6DB08127" w:rsidR="0FE9BE9B" w:rsidRPr="000B2CDA" w:rsidRDefault="0FE9BE9B">
            <w:pPr>
              <w:rPr>
                <w:rFonts w:cstheme="minorHAnsi"/>
                <w:sz w:val="20"/>
                <w:szCs w:val="20"/>
              </w:rPr>
            </w:pPr>
            <w:r w:rsidRPr="000B2CDA">
              <w:rPr>
                <w:rFonts w:eastAsia="Times New Roman" w:cstheme="minorHAnsi"/>
                <w:sz w:val="20"/>
                <w:szCs w:val="20"/>
              </w:rPr>
              <w:t>1.88</w:t>
            </w:r>
          </w:p>
        </w:tc>
        <w:tc>
          <w:tcPr>
            <w:tcW w:w="1242" w:type="dxa"/>
            <w:tcBorders>
              <w:top w:val="single" w:sz="8" w:space="0" w:color="auto"/>
              <w:left w:val="single" w:sz="8" w:space="0" w:color="auto"/>
              <w:bottom w:val="single" w:sz="8" w:space="0" w:color="auto"/>
              <w:right w:val="single" w:sz="8" w:space="0" w:color="auto"/>
            </w:tcBorders>
          </w:tcPr>
          <w:p w14:paraId="49B3FF07" w14:textId="6DC6DEEB" w:rsidR="0FE9BE9B" w:rsidRPr="000B2CDA" w:rsidRDefault="0FE9BE9B">
            <w:pPr>
              <w:rPr>
                <w:rFonts w:cstheme="minorHAnsi"/>
                <w:sz w:val="20"/>
                <w:szCs w:val="20"/>
              </w:rPr>
            </w:pPr>
            <w:r w:rsidRPr="000B2CDA">
              <w:rPr>
                <w:rFonts w:eastAsia="Times New Roman" w:cstheme="minorHAnsi"/>
                <w:sz w:val="20"/>
                <w:szCs w:val="20"/>
              </w:rPr>
              <w:t>2.61</w:t>
            </w:r>
          </w:p>
        </w:tc>
      </w:tr>
      <w:tr w:rsidR="000B2CDA" w:rsidRPr="000B2CDA" w14:paraId="67B0BCF7" w14:textId="77777777" w:rsidTr="000B2CDA">
        <w:tc>
          <w:tcPr>
            <w:tcW w:w="1949" w:type="dxa"/>
            <w:tcBorders>
              <w:top w:val="single" w:sz="8" w:space="0" w:color="auto"/>
              <w:left w:val="single" w:sz="8" w:space="0" w:color="auto"/>
              <w:bottom w:val="single" w:sz="8" w:space="0" w:color="auto"/>
              <w:right w:val="single" w:sz="8" w:space="0" w:color="auto"/>
            </w:tcBorders>
          </w:tcPr>
          <w:p w14:paraId="107CFDEA" w14:textId="7D8F9D1F" w:rsidR="0FE9BE9B" w:rsidRPr="000B2CDA" w:rsidRDefault="0FE9BE9B">
            <w:pPr>
              <w:rPr>
                <w:rFonts w:cstheme="minorHAnsi"/>
                <w:sz w:val="20"/>
                <w:szCs w:val="20"/>
              </w:rPr>
            </w:pPr>
            <w:proofErr w:type="spellStart"/>
            <w:r w:rsidRPr="000B2CDA">
              <w:rPr>
                <w:rFonts w:eastAsia="Calibri" w:cstheme="minorHAnsi"/>
                <w:sz w:val="20"/>
                <w:szCs w:val="20"/>
              </w:rPr>
              <w:t>Thrombolysed</w:t>
            </w:r>
            <w:proofErr w:type="spellEnd"/>
            <w:r w:rsidRPr="000B2CDA">
              <w:rPr>
                <w:rFonts w:eastAsia="Calibri" w:cstheme="minorHAnsi"/>
                <w:sz w:val="20"/>
                <w:szCs w:val="20"/>
              </w:rPr>
              <w:t xml:space="preserve"> (%) </w:t>
            </w:r>
          </w:p>
        </w:tc>
        <w:tc>
          <w:tcPr>
            <w:tcW w:w="1018" w:type="dxa"/>
            <w:tcBorders>
              <w:top w:val="single" w:sz="8" w:space="0" w:color="auto"/>
              <w:left w:val="single" w:sz="8" w:space="0" w:color="auto"/>
              <w:bottom w:val="single" w:sz="8" w:space="0" w:color="auto"/>
              <w:right w:val="single" w:sz="8" w:space="0" w:color="auto"/>
            </w:tcBorders>
          </w:tcPr>
          <w:p w14:paraId="106F66A2" w14:textId="4FAF3D8B" w:rsidR="0FE9BE9B" w:rsidRPr="000B2CDA" w:rsidRDefault="0FE9BE9B">
            <w:pPr>
              <w:rPr>
                <w:rFonts w:cstheme="minorHAnsi"/>
                <w:sz w:val="20"/>
                <w:szCs w:val="20"/>
              </w:rPr>
            </w:pPr>
            <w:r w:rsidRPr="000B2CDA">
              <w:rPr>
                <w:rFonts w:eastAsia="Times New Roman" w:cstheme="minorHAnsi"/>
                <w:sz w:val="20"/>
                <w:szCs w:val="20"/>
              </w:rPr>
              <w:t>12.76</w:t>
            </w:r>
          </w:p>
        </w:tc>
        <w:tc>
          <w:tcPr>
            <w:tcW w:w="992" w:type="dxa"/>
            <w:tcBorders>
              <w:top w:val="single" w:sz="8" w:space="0" w:color="auto"/>
              <w:left w:val="single" w:sz="8" w:space="0" w:color="auto"/>
              <w:bottom w:val="single" w:sz="8" w:space="0" w:color="auto"/>
              <w:right w:val="single" w:sz="8" w:space="0" w:color="auto"/>
            </w:tcBorders>
          </w:tcPr>
          <w:p w14:paraId="3A3DCD82" w14:textId="3F467F75" w:rsidR="0FE9BE9B" w:rsidRPr="000B2CDA" w:rsidRDefault="0FE9BE9B">
            <w:pPr>
              <w:rPr>
                <w:rFonts w:cstheme="minorHAnsi"/>
                <w:sz w:val="20"/>
                <w:szCs w:val="20"/>
              </w:rPr>
            </w:pPr>
            <w:r w:rsidRPr="000B2CDA">
              <w:rPr>
                <w:rFonts w:eastAsia="Times New Roman" w:cstheme="minorHAnsi"/>
                <w:sz w:val="20"/>
                <w:szCs w:val="20"/>
              </w:rPr>
              <w:t>11.51</w:t>
            </w:r>
          </w:p>
        </w:tc>
        <w:tc>
          <w:tcPr>
            <w:tcW w:w="993" w:type="dxa"/>
            <w:tcBorders>
              <w:top w:val="single" w:sz="8" w:space="0" w:color="auto"/>
              <w:left w:val="single" w:sz="8" w:space="0" w:color="auto"/>
              <w:bottom w:val="single" w:sz="8" w:space="0" w:color="auto"/>
              <w:right w:val="single" w:sz="8" w:space="0" w:color="auto"/>
            </w:tcBorders>
          </w:tcPr>
          <w:p w14:paraId="14BF02C4" w14:textId="03B0DEBF" w:rsidR="0FE9BE9B" w:rsidRPr="000B2CDA" w:rsidRDefault="0FE9BE9B">
            <w:pPr>
              <w:rPr>
                <w:rFonts w:cstheme="minorHAnsi"/>
                <w:sz w:val="20"/>
                <w:szCs w:val="20"/>
              </w:rPr>
            </w:pPr>
            <w:r w:rsidRPr="000B2CDA">
              <w:rPr>
                <w:rFonts w:eastAsia="Times New Roman" w:cstheme="minorHAnsi"/>
                <w:sz w:val="20"/>
                <w:szCs w:val="20"/>
              </w:rPr>
              <w:t>9.31</w:t>
            </w:r>
          </w:p>
        </w:tc>
        <w:tc>
          <w:tcPr>
            <w:tcW w:w="992" w:type="dxa"/>
            <w:tcBorders>
              <w:top w:val="single" w:sz="8" w:space="0" w:color="auto"/>
              <w:left w:val="single" w:sz="8" w:space="0" w:color="auto"/>
              <w:bottom w:val="single" w:sz="8" w:space="0" w:color="auto"/>
              <w:right w:val="single" w:sz="8" w:space="0" w:color="auto"/>
            </w:tcBorders>
          </w:tcPr>
          <w:p w14:paraId="1A3109FB" w14:textId="1E89EE20" w:rsidR="0FE9BE9B" w:rsidRPr="000B2CDA" w:rsidRDefault="0FE9BE9B">
            <w:pPr>
              <w:rPr>
                <w:rFonts w:cstheme="minorHAnsi"/>
                <w:sz w:val="20"/>
                <w:szCs w:val="20"/>
              </w:rPr>
            </w:pPr>
            <w:r w:rsidRPr="000B2CDA">
              <w:rPr>
                <w:rFonts w:eastAsia="Times New Roman" w:cstheme="minorHAnsi"/>
                <w:sz w:val="20"/>
                <w:szCs w:val="20"/>
              </w:rPr>
              <w:t>12.02</w:t>
            </w:r>
          </w:p>
        </w:tc>
        <w:tc>
          <w:tcPr>
            <w:tcW w:w="1134" w:type="dxa"/>
            <w:tcBorders>
              <w:top w:val="single" w:sz="8" w:space="0" w:color="auto"/>
              <w:left w:val="single" w:sz="8" w:space="0" w:color="auto"/>
              <w:bottom w:val="single" w:sz="8" w:space="0" w:color="auto"/>
              <w:right w:val="single" w:sz="8" w:space="0" w:color="auto"/>
            </w:tcBorders>
          </w:tcPr>
          <w:p w14:paraId="6FDB14D2" w14:textId="3A5D7C79" w:rsidR="0FE9BE9B" w:rsidRPr="000B2CDA" w:rsidRDefault="0FE9BE9B">
            <w:pPr>
              <w:rPr>
                <w:rFonts w:cstheme="minorHAnsi"/>
                <w:sz w:val="20"/>
                <w:szCs w:val="20"/>
              </w:rPr>
            </w:pPr>
            <w:r w:rsidRPr="000B2CDA">
              <w:rPr>
                <w:rFonts w:eastAsia="Times New Roman" w:cstheme="minorHAnsi"/>
                <w:sz w:val="20"/>
                <w:szCs w:val="20"/>
              </w:rPr>
              <w:t>14.21</w:t>
            </w:r>
          </w:p>
        </w:tc>
        <w:tc>
          <w:tcPr>
            <w:tcW w:w="1276" w:type="dxa"/>
            <w:tcBorders>
              <w:top w:val="single" w:sz="8" w:space="0" w:color="auto"/>
              <w:left w:val="single" w:sz="8" w:space="0" w:color="auto"/>
              <w:bottom w:val="single" w:sz="8" w:space="0" w:color="auto"/>
              <w:right w:val="single" w:sz="8" w:space="0" w:color="auto"/>
            </w:tcBorders>
          </w:tcPr>
          <w:p w14:paraId="302035E2" w14:textId="3865EF9F" w:rsidR="0FE9BE9B" w:rsidRPr="000B2CDA" w:rsidRDefault="0FE9BE9B">
            <w:pPr>
              <w:rPr>
                <w:rFonts w:cstheme="minorHAnsi"/>
                <w:sz w:val="20"/>
                <w:szCs w:val="20"/>
              </w:rPr>
            </w:pPr>
            <w:r w:rsidRPr="000B2CDA">
              <w:rPr>
                <w:rFonts w:eastAsia="Times New Roman" w:cstheme="minorHAnsi"/>
                <w:sz w:val="20"/>
                <w:szCs w:val="20"/>
              </w:rPr>
              <w:t>11.57</w:t>
            </w:r>
          </w:p>
        </w:tc>
        <w:tc>
          <w:tcPr>
            <w:tcW w:w="1242" w:type="dxa"/>
            <w:tcBorders>
              <w:top w:val="single" w:sz="8" w:space="0" w:color="auto"/>
              <w:left w:val="single" w:sz="8" w:space="0" w:color="auto"/>
              <w:bottom w:val="single" w:sz="8" w:space="0" w:color="auto"/>
              <w:right w:val="single" w:sz="8" w:space="0" w:color="auto"/>
            </w:tcBorders>
          </w:tcPr>
          <w:p w14:paraId="2F6C63BE" w14:textId="3626D31B" w:rsidR="0FE9BE9B" w:rsidRPr="000B2CDA" w:rsidRDefault="0FE9BE9B">
            <w:pPr>
              <w:rPr>
                <w:rFonts w:cstheme="minorHAnsi"/>
                <w:sz w:val="20"/>
                <w:szCs w:val="20"/>
              </w:rPr>
            </w:pPr>
            <w:r w:rsidRPr="000B2CDA">
              <w:rPr>
                <w:rFonts w:eastAsia="Times New Roman" w:cstheme="minorHAnsi"/>
                <w:sz w:val="20"/>
                <w:szCs w:val="20"/>
              </w:rPr>
              <w:t>20.45</w:t>
            </w:r>
          </w:p>
        </w:tc>
      </w:tr>
      <w:tr w:rsidR="000B2CDA" w:rsidRPr="000B2CDA" w14:paraId="36970D79" w14:textId="77777777" w:rsidTr="000B2CDA">
        <w:tc>
          <w:tcPr>
            <w:tcW w:w="1949" w:type="dxa"/>
            <w:tcBorders>
              <w:top w:val="single" w:sz="8" w:space="0" w:color="auto"/>
              <w:left w:val="single" w:sz="8" w:space="0" w:color="auto"/>
              <w:bottom w:val="single" w:sz="8" w:space="0" w:color="auto"/>
              <w:right w:val="single" w:sz="8" w:space="0" w:color="auto"/>
            </w:tcBorders>
          </w:tcPr>
          <w:p w14:paraId="7FDEC99A" w14:textId="683EB226" w:rsidR="0FE9BE9B" w:rsidRPr="000B2CDA" w:rsidRDefault="0FE9BE9B">
            <w:pPr>
              <w:rPr>
                <w:rFonts w:cstheme="minorHAnsi"/>
                <w:sz w:val="20"/>
                <w:szCs w:val="20"/>
              </w:rPr>
            </w:pPr>
            <w:r w:rsidRPr="000B2CDA">
              <w:rPr>
                <w:rFonts w:eastAsia="Calibri" w:cstheme="minorHAnsi"/>
                <w:sz w:val="20"/>
                <w:szCs w:val="20"/>
              </w:rPr>
              <w:t xml:space="preserve">A&amp;E Attendances (mean) </w:t>
            </w:r>
          </w:p>
        </w:tc>
        <w:tc>
          <w:tcPr>
            <w:tcW w:w="1018" w:type="dxa"/>
            <w:tcBorders>
              <w:top w:val="single" w:sz="8" w:space="0" w:color="auto"/>
              <w:left w:val="single" w:sz="8" w:space="0" w:color="auto"/>
              <w:bottom w:val="single" w:sz="8" w:space="0" w:color="auto"/>
              <w:right w:val="single" w:sz="8" w:space="0" w:color="auto"/>
            </w:tcBorders>
          </w:tcPr>
          <w:p w14:paraId="3D73B25F" w14:textId="384AA41D" w:rsidR="0FE9BE9B" w:rsidRPr="000B2CDA" w:rsidRDefault="0FE9BE9B">
            <w:pPr>
              <w:rPr>
                <w:rFonts w:cstheme="minorHAnsi"/>
                <w:sz w:val="20"/>
                <w:szCs w:val="20"/>
              </w:rPr>
            </w:pPr>
            <w:r w:rsidRPr="000B2CDA">
              <w:rPr>
                <w:rFonts w:eastAsia="Calibri" w:cstheme="minorHAnsi"/>
                <w:sz w:val="20"/>
                <w:szCs w:val="20"/>
              </w:rPr>
              <w:t>4.09</w:t>
            </w:r>
          </w:p>
        </w:tc>
        <w:tc>
          <w:tcPr>
            <w:tcW w:w="992" w:type="dxa"/>
            <w:tcBorders>
              <w:top w:val="single" w:sz="8" w:space="0" w:color="auto"/>
              <w:left w:val="single" w:sz="8" w:space="0" w:color="auto"/>
              <w:bottom w:val="single" w:sz="8" w:space="0" w:color="auto"/>
              <w:right w:val="single" w:sz="8" w:space="0" w:color="auto"/>
            </w:tcBorders>
          </w:tcPr>
          <w:p w14:paraId="319CB051" w14:textId="6B87DD96" w:rsidR="0FE9BE9B" w:rsidRPr="000B2CDA" w:rsidRDefault="0FE9BE9B">
            <w:pPr>
              <w:rPr>
                <w:rFonts w:cstheme="minorHAnsi"/>
                <w:sz w:val="20"/>
                <w:szCs w:val="20"/>
              </w:rPr>
            </w:pPr>
            <w:r w:rsidRPr="000B2CDA">
              <w:rPr>
                <w:rFonts w:eastAsia="Calibri" w:cstheme="minorHAnsi"/>
                <w:sz w:val="20"/>
                <w:szCs w:val="20"/>
              </w:rPr>
              <w:t>4.78</w:t>
            </w:r>
          </w:p>
        </w:tc>
        <w:tc>
          <w:tcPr>
            <w:tcW w:w="993" w:type="dxa"/>
            <w:tcBorders>
              <w:top w:val="single" w:sz="8" w:space="0" w:color="auto"/>
              <w:left w:val="single" w:sz="8" w:space="0" w:color="auto"/>
              <w:bottom w:val="single" w:sz="8" w:space="0" w:color="auto"/>
              <w:right w:val="single" w:sz="8" w:space="0" w:color="auto"/>
            </w:tcBorders>
          </w:tcPr>
          <w:p w14:paraId="5204B563" w14:textId="77D65C65" w:rsidR="0FE9BE9B" w:rsidRPr="000B2CDA" w:rsidRDefault="0FE9BE9B">
            <w:pPr>
              <w:rPr>
                <w:rFonts w:cstheme="minorHAnsi"/>
                <w:sz w:val="20"/>
                <w:szCs w:val="20"/>
              </w:rPr>
            </w:pPr>
            <w:r w:rsidRPr="000B2CDA">
              <w:rPr>
                <w:rFonts w:eastAsia="Calibri" w:cstheme="minorHAnsi"/>
                <w:sz w:val="20"/>
                <w:szCs w:val="20"/>
              </w:rPr>
              <w:t xml:space="preserve">4.04 </w:t>
            </w:r>
          </w:p>
        </w:tc>
        <w:tc>
          <w:tcPr>
            <w:tcW w:w="992" w:type="dxa"/>
            <w:tcBorders>
              <w:top w:val="single" w:sz="8" w:space="0" w:color="auto"/>
              <w:left w:val="single" w:sz="8" w:space="0" w:color="auto"/>
              <w:bottom w:val="single" w:sz="8" w:space="0" w:color="auto"/>
              <w:right w:val="single" w:sz="8" w:space="0" w:color="auto"/>
            </w:tcBorders>
          </w:tcPr>
          <w:p w14:paraId="18A5CD1E" w14:textId="4FC422D3" w:rsidR="0FE9BE9B" w:rsidRPr="000B2CDA" w:rsidRDefault="0FE9BE9B">
            <w:pPr>
              <w:rPr>
                <w:rFonts w:cstheme="minorHAnsi"/>
                <w:sz w:val="20"/>
                <w:szCs w:val="20"/>
              </w:rPr>
            </w:pPr>
            <w:r w:rsidRPr="000B2CDA">
              <w:rPr>
                <w:rFonts w:eastAsia="Calibri" w:cstheme="minorHAnsi"/>
                <w:sz w:val="20"/>
                <w:szCs w:val="20"/>
              </w:rPr>
              <w:t xml:space="preserve">4.49 </w:t>
            </w:r>
          </w:p>
        </w:tc>
        <w:tc>
          <w:tcPr>
            <w:tcW w:w="1134" w:type="dxa"/>
            <w:tcBorders>
              <w:top w:val="single" w:sz="8" w:space="0" w:color="auto"/>
              <w:left w:val="single" w:sz="8" w:space="0" w:color="auto"/>
              <w:bottom w:val="single" w:sz="8" w:space="0" w:color="auto"/>
              <w:right w:val="single" w:sz="8" w:space="0" w:color="auto"/>
            </w:tcBorders>
          </w:tcPr>
          <w:p w14:paraId="1D446838" w14:textId="29682EAA" w:rsidR="0FE9BE9B" w:rsidRPr="000B2CDA" w:rsidRDefault="0FE9BE9B">
            <w:pPr>
              <w:rPr>
                <w:rFonts w:cstheme="minorHAnsi"/>
                <w:sz w:val="20"/>
                <w:szCs w:val="20"/>
              </w:rPr>
            </w:pPr>
            <w:r w:rsidRPr="000B2CDA">
              <w:rPr>
                <w:rFonts w:eastAsia="Calibri" w:cstheme="minorHAnsi"/>
                <w:sz w:val="20"/>
                <w:szCs w:val="20"/>
              </w:rPr>
              <w:t xml:space="preserve">4.57 </w:t>
            </w:r>
          </w:p>
        </w:tc>
        <w:tc>
          <w:tcPr>
            <w:tcW w:w="1276" w:type="dxa"/>
            <w:tcBorders>
              <w:top w:val="single" w:sz="8" w:space="0" w:color="auto"/>
              <w:left w:val="single" w:sz="8" w:space="0" w:color="auto"/>
              <w:bottom w:val="single" w:sz="8" w:space="0" w:color="auto"/>
              <w:right w:val="single" w:sz="8" w:space="0" w:color="auto"/>
            </w:tcBorders>
          </w:tcPr>
          <w:p w14:paraId="75801BED" w14:textId="09B26FC1" w:rsidR="0FE9BE9B" w:rsidRPr="000B2CDA" w:rsidRDefault="0FE9BE9B">
            <w:pPr>
              <w:rPr>
                <w:rFonts w:cstheme="minorHAnsi"/>
                <w:sz w:val="20"/>
                <w:szCs w:val="20"/>
              </w:rPr>
            </w:pPr>
            <w:r w:rsidRPr="000B2CDA">
              <w:rPr>
                <w:rFonts w:eastAsia="Calibri" w:cstheme="minorHAnsi"/>
                <w:sz w:val="20"/>
                <w:szCs w:val="20"/>
              </w:rPr>
              <w:t xml:space="preserve">3.08 </w:t>
            </w:r>
          </w:p>
        </w:tc>
        <w:tc>
          <w:tcPr>
            <w:tcW w:w="1242" w:type="dxa"/>
            <w:tcBorders>
              <w:top w:val="single" w:sz="8" w:space="0" w:color="auto"/>
              <w:left w:val="single" w:sz="8" w:space="0" w:color="auto"/>
              <w:bottom w:val="single" w:sz="8" w:space="0" w:color="auto"/>
              <w:right w:val="single" w:sz="8" w:space="0" w:color="auto"/>
            </w:tcBorders>
          </w:tcPr>
          <w:p w14:paraId="0ECFADF0" w14:textId="3E0E127B" w:rsidR="0FE9BE9B" w:rsidRPr="000B2CDA" w:rsidRDefault="0FE9BE9B">
            <w:pPr>
              <w:rPr>
                <w:rFonts w:cstheme="minorHAnsi"/>
                <w:sz w:val="20"/>
                <w:szCs w:val="20"/>
              </w:rPr>
            </w:pPr>
            <w:r w:rsidRPr="000B2CDA">
              <w:rPr>
                <w:rFonts w:eastAsia="Calibri" w:cstheme="minorHAnsi"/>
                <w:sz w:val="20"/>
                <w:szCs w:val="20"/>
              </w:rPr>
              <w:t xml:space="preserve">1.18 </w:t>
            </w:r>
          </w:p>
        </w:tc>
      </w:tr>
      <w:tr w:rsidR="000B2CDA" w:rsidRPr="000B2CDA" w14:paraId="58D84314" w14:textId="77777777" w:rsidTr="000B2CDA">
        <w:tc>
          <w:tcPr>
            <w:tcW w:w="1949" w:type="dxa"/>
            <w:tcBorders>
              <w:top w:val="single" w:sz="8" w:space="0" w:color="auto"/>
              <w:left w:val="single" w:sz="8" w:space="0" w:color="auto"/>
              <w:bottom w:val="single" w:sz="8" w:space="0" w:color="auto"/>
              <w:right w:val="single" w:sz="8" w:space="0" w:color="auto"/>
            </w:tcBorders>
          </w:tcPr>
          <w:p w14:paraId="576EE73B" w14:textId="7D9F956C" w:rsidR="0FE9BE9B" w:rsidRPr="000B2CDA" w:rsidRDefault="0FE9BE9B">
            <w:pPr>
              <w:rPr>
                <w:rFonts w:cstheme="minorHAnsi"/>
                <w:sz w:val="20"/>
                <w:szCs w:val="20"/>
              </w:rPr>
            </w:pPr>
            <w:r w:rsidRPr="000B2CDA">
              <w:rPr>
                <w:rFonts w:eastAsia="Calibri" w:cstheme="minorHAnsi"/>
                <w:sz w:val="20"/>
                <w:szCs w:val="20"/>
              </w:rPr>
              <w:t>Non-Elective Bed Days (mean)</w:t>
            </w:r>
          </w:p>
        </w:tc>
        <w:tc>
          <w:tcPr>
            <w:tcW w:w="1018" w:type="dxa"/>
            <w:tcBorders>
              <w:top w:val="single" w:sz="8" w:space="0" w:color="auto"/>
              <w:left w:val="single" w:sz="8" w:space="0" w:color="auto"/>
              <w:bottom w:val="single" w:sz="8" w:space="0" w:color="auto"/>
              <w:right w:val="single" w:sz="8" w:space="0" w:color="auto"/>
            </w:tcBorders>
          </w:tcPr>
          <w:p w14:paraId="3CAA1FD3" w14:textId="7C8B7C84" w:rsidR="0FE9BE9B" w:rsidRPr="000B2CDA" w:rsidRDefault="0FE9BE9B">
            <w:pPr>
              <w:rPr>
                <w:rFonts w:cstheme="minorHAnsi"/>
                <w:sz w:val="20"/>
                <w:szCs w:val="20"/>
              </w:rPr>
            </w:pPr>
            <w:r w:rsidRPr="000B2CDA">
              <w:rPr>
                <w:rFonts w:eastAsia="Times New Roman" w:cstheme="minorHAnsi"/>
                <w:sz w:val="20"/>
                <w:szCs w:val="20"/>
              </w:rPr>
              <w:t>23.24</w:t>
            </w:r>
          </w:p>
        </w:tc>
        <w:tc>
          <w:tcPr>
            <w:tcW w:w="992" w:type="dxa"/>
            <w:tcBorders>
              <w:top w:val="single" w:sz="8" w:space="0" w:color="auto"/>
              <w:left w:val="single" w:sz="8" w:space="0" w:color="auto"/>
              <w:bottom w:val="single" w:sz="8" w:space="0" w:color="auto"/>
              <w:right w:val="single" w:sz="8" w:space="0" w:color="auto"/>
            </w:tcBorders>
          </w:tcPr>
          <w:p w14:paraId="7E8A251D" w14:textId="4A1C4901" w:rsidR="0FE9BE9B" w:rsidRPr="000B2CDA" w:rsidRDefault="0FE9BE9B">
            <w:pPr>
              <w:rPr>
                <w:rFonts w:cstheme="minorHAnsi"/>
                <w:sz w:val="20"/>
                <w:szCs w:val="20"/>
              </w:rPr>
            </w:pPr>
            <w:r w:rsidRPr="000B2CDA">
              <w:rPr>
                <w:rFonts w:eastAsia="Calibri" w:cstheme="minorHAnsi"/>
                <w:sz w:val="20"/>
                <w:szCs w:val="20"/>
              </w:rPr>
              <w:t>15.41</w:t>
            </w:r>
          </w:p>
        </w:tc>
        <w:tc>
          <w:tcPr>
            <w:tcW w:w="993" w:type="dxa"/>
            <w:tcBorders>
              <w:top w:val="single" w:sz="8" w:space="0" w:color="auto"/>
              <w:left w:val="single" w:sz="8" w:space="0" w:color="auto"/>
              <w:bottom w:val="single" w:sz="8" w:space="0" w:color="auto"/>
              <w:right w:val="single" w:sz="8" w:space="0" w:color="auto"/>
            </w:tcBorders>
          </w:tcPr>
          <w:p w14:paraId="06B2F109" w14:textId="3940DA5D" w:rsidR="0FE9BE9B" w:rsidRPr="000B2CDA" w:rsidRDefault="0FE9BE9B">
            <w:pPr>
              <w:rPr>
                <w:rFonts w:cstheme="minorHAnsi"/>
                <w:sz w:val="20"/>
                <w:szCs w:val="20"/>
              </w:rPr>
            </w:pPr>
            <w:r w:rsidRPr="000B2CDA">
              <w:rPr>
                <w:rFonts w:eastAsia="Calibri" w:cstheme="minorHAnsi"/>
                <w:sz w:val="20"/>
                <w:szCs w:val="20"/>
              </w:rPr>
              <w:t xml:space="preserve">17.19 </w:t>
            </w:r>
          </w:p>
        </w:tc>
        <w:tc>
          <w:tcPr>
            <w:tcW w:w="992" w:type="dxa"/>
            <w:tcBorders>
              <w:top w:val="single" w:sz="8" w:space="0" w:color="auto"/>
              <w:left w:val="single" w:sz="8" w:space="0" w:color="auto"/>
              <w:bottom w:val="single" w:sz="8" w:space="0" w:color="auto"/>
              <w:right w:val="single" w:sz="8" w:space="0" w:color="auto"/>
            </w:tcBorders>
          </w:tcPr>
          <w:p w14:paraId="2ED52701" w14:textId="71574E8D" w:rsidR="0FE9BE9B" w:rsidRPr="000B2CDA" w:rsidRDefault="0FE9BE9B">
            <w:pPr>
              <w:rPr>
                <w:rFonts w:cstheme="minorHAnsi"/>
                <w:sz w:val="20"/>
                <w:szCs w:val="20"/>
              </w:rPr>
            </w:pPr>
            <w:r w:rsidRPr="000B2CDA">
              <w:rPr>
                <w:rFonts w:eastAsia="Calibri" w:cstheme="minorHAnsi"/>
                <w:sz w:val="20"/>
                <w:szCs w:val="20"/>
              </w:rPr>
              <w:t xml:space="preserve">26.13 </w:t>
            </w:r>
          </w:p>
        </w:tc>
        <w:tc>
          <w:tcPr>
            <w:tcW w:w="1134" w:type="dxa"/>
            <w:tcBorders>
              <w:top w:val="single" w:sz="8" w:space="0" w:color="auto"/>
              <w:left w:val="single" w:sz="8" w:space="0" w:color="auto"/>
              <w:bottom w:val="single" w:sz="8" w:space="0" w:color="auto"/>
              <w:right w:val="single" w:sz="8" w:space="0" w:color="auto"/>
            </w:tcBorders>
          </w:tcPr>
          <w:p w14:paraId="69446A07" w14:textId="6C281D2F" w:rsidR="0FE9BE9B" w:rsidRPr="000B2CDA" w:rsidRDefault="0FE9BE9B">
            <w:pPr>
              <w:rPr>
                <w:rFonts w:cstheme="minorHAnsi"/>
                <w:sz w:val="20"/>
                <w:szCs w:val="20"/>
              </w:rPr>
            </w:pPr>
            <w:r w:rsidRPr="000B2CDA">
              <w:rPr>
                <w:rFonts w:eastAsia="Calibri" w:cstheme="minorHAnsi"/>
                <w:sz w:val="20"/>
                <w:szCs w:val="20"/>
              </w:rPr>
              <w:t xml:space="preserve">32.90 </w:t>
            </w:r>
          </w:p>
        </w:tc>
        <w:tc>
          <w:tcPr>
            <w:tcW w:w="1276" w:type="dxa"/>
            <w:tcBorders>
              <w:top w:val="single" w:sz="8" w:space="0" w:color="auto"/>
              <w:left w:val="single" w:sz="8" w:space="0" w:color="auto"/>
              <w:bottom w:val="single" w:sz="8" w:space="0" w:color="auto"/>
              <w:right w:val="single" w:sz="8" w:space="0" w:color="auto"/>
            </w:tcBorders>
          </w:tcPr>
          <w:p w14:paraId="7EF38CA9" w14:textId="0AC17E6C" w:rsidR="0FE9BE9B" w:rsidRPr="000B2CDA" w:rsidRDefault="0FE9BE9B">
            <w:pPr>
              <w:rPr>
                <w:rFonts w:cstheme="minorHAnsi"/>
                <w:sz w:val="20"/>
                <w:szCs w:val="20"/>
              </w:rPr>
            </w:pPr>
            <w:r w:rsidRPr="000B2CDA">
              <w:rPr>
                <w:rFonts w:eastAsia="Calibri" w:cstheme="minorHAnsi"/>
                <w:sz w:val="20"/>
                <w:szCs w:val="20"/>
              </w:rPr>
              <w:t xml:space="preserve">20.80 </w:t>
            </w:r>
          </w:p>
        </w:tc>
        <w:tc>
          <w:tcPr>
            <w:tcW w:w="1242" w:type="dxa"/>
            <w:tcBorders>
              <w:top w:val="single" w:sz="8" w:space="0" w:color="auto"/>
              <w:left w:val="single" w:sz="8" w:space="0" w:color="auto"/>
              <w:bottom w:val="single" w:sz="8" w:space="0" w:color="auto"/>
              <w:right w:val="single" w:sz="8" w:space="0" w:color="auto"/>
            </w:tcBorders>
          </w:tcPr>
          <w:p w14:paraId="34C79960" w14:textId="3F039EFB" w:rsidR="0FE9BE9B" w:rsidRPr="000B2CDA" w:rsidRDefault="0FE9BE9B">
            <w:pPr>
              <w:rPr>
                <w:rFonts w:cstheme="minorHAnsi"/>
                <w:sz w:val="20"/>
                <w:szCs w:val="20"/>
              </w:rPr>
            </w:pPr>
            <w:r w:rsidRPr="000B2CDA">
              <w:rPr>
                <w:rFonts w:eastAsia="Calibri" w:cstheme="minorHAnsi"/>
                <w:sz w:val="20"/>
                <w:szCs w:val="20"/>
              </w:rPr>
              <w:t xml:space="preserve">5.68 </w:t>
            </w:r>
          </w:p>
        </w:tc>
      </w:tr>
      <w:tr w:rsidR="000B2CDA" w:rsidRPr="000B2CDA" w14:paraId="05E100D8" w14:textId="77777777" w:rsidTr="000B2CDA">
        <w:tc>
          <w:tcPr>
            <w:tcW w:w="1949" w:type="dxa"/>
            <w:tcBorders>
              <w:top w:val="single" w:sz="8" w:space="0" w:color="auto"/>
              <w:left w:val="single" w:sz="8" w:space="0" w:color="auto"/>
              <w:bottom w:val="single" w:sz="8" w:space="0" w:color="auto"/>
              <w:right w:val="single" w:sz="8" w:space="0" w:color="auto"/>
            </w:tcBorders>
          </w:tcPr>
          <w:p w14:paraId="60217BE6" w14:textId="2C73E46E" w:rsidR="0FE9BE9B" w:rsidRPr="000B2CDA" w:rsidRDefault="0FE9BE9B">
            <w:pPr>
              <w:rPr>
                <w:rFonts w:cstheme="minorHAnsi"/>
                <w:sz w:val="20"/>
                <w:szCs w:val="20"/>
              </w:rPr>
            </w:pPr>
            <w:r w:rsidRPr="000B2CDA">
              <w:rPr>
                <w:rFonts w:eastAsia="Calibri" w:cstheme="minorHAnsi"/>
                <w:sz w:val="20"/>
                <w:szCs w:val="20"/>
              </w:rPr>
              <w:t xml:space="preserve">Elective Bed-days (mean) </w:t>
            </w:r>
          </w:p>
        </w:tc>
        <w:tc>
          <w:tcPr>
            <w:tcW w:w="1018" w:type="dxa"/>
            <w:tcBorders>
              <w:top w:val="single" w:sz="8" w:space="0" w:color="auto"/>
              <w:left w:val="single" w:sz="8" w:space="0" w:color="auto"/>
              <w:bottom w:val="single" w:sz="8" w:space="0" w:color="auto"/>
              <w:right w:val="single" w:sz="8" w:space="0" w:color="auto"/>
            </w:tcBorders>
          </w:tcPr>
          <w:p w14:paraId="4ADA5128" w14:textId="224A4761" w:rsidR="0FE9BE9B" w:rsidRPr="000B2CDA" w:rsidRDefault="0FE9BE9B">
            <w:pPr>
              <w:rPr>
                <w:rFonts w:cstheme="minorHAnsi"/>
                <w:sz w:val="20"/>
                <w:szCs w:val="20"/>
              </w:rPr>
            </w:pPr>
            <w:r w:rsidRPr="000B2CDA">
              <w:rPr>
                <w:rFonts w:eastAsia="Times New Roman" w:cstheme="minorHAnsi"/>
                <w:sz w:val="20"/>
                <w:szCs w:val="20"/>
              </w:rPr>
              <w:t>1.20</w:t>
            </w:r>
          </w:p>
        </w:tc>
        <w:tc>
          <w:tcPr>
            <w:tcW w:w="992" w:type="dxa"/>
            <w:tcBorders>
              <w:top w:val="single" w:sz="8" w:space="0" w:color="auto"/>
              <w:left w:val="single" w:sz="8" w:space="0" w:color="auto"/>
              <w:bottom w:val="single" w:sz="8" w:space="0" w:color="auto"/>
              <w:right w:val="single" w:sz="8" w:space="0" w:color="auto"/>
            </w:tcBorders>
          </w:tcPr>
          <w:p w14:paraId="0A732509" w14:textId="6E4F2FFD" w:rsidR="0FE9BE9B" w:rsidRPr="000B2CDA" w:rsidRDefault="0FE9BE9B">
            <w:pPr>
              <w:rPr>
                <w:rFonts w:cstheme="minorHAnsi"/>
                <w:sz w:val="20"/>
                <w:szCs w:val="20"/>
              </w:rPr>
            </w:pPr>
            <w:r w:rsidRPr="000B2CDA">
              <w:rPr>
                <w:rFonts w:eastAsia="Calibri" w:cstheme="minorHAnsi"/>
                <w:sz w:val="20"/>
                <w:szCs w:val="20"/>
              </w:rPr>
              <w:t>1.23</w:t>
            </w:r>
          </w:p>
        </w:tc>
        <w:tc>
          <w:tcPr>
            <w:tcW w:w="993" w:type="dxa"/>
            <w:tcBorders>
              <w:top w:val="single" w:sz="8" w:space="0" w:color="auto"/>
              <w:left w:val="single" w:sz="8" w:space="0" w:color="auto"/>
              <w:bottom w:val="single" w:sz="8" w:space="0" w:color="auto"/>
              <w:right w:val="single" w:sz="8" w:space="0" w:color="auto"/>
            </w:tcBorders>
          </w:tcPr>
          <w:p w14:paraId="76C1C4B8" w14:textId="21AFD673" w:rsidR="0FE9BE9B" w:rsidRPr="000B2CDA" w:rsidRDefault="0FE9BE9B">
            <w:pPr>
              <w:rPr>
                <w:rFonts w:cstheme="minorHAnsi"/>
                <w:sz w:val="20"/>
                <w:szCs w:val="20"/>
              </w:rPr>
            </w:pPr>
            <w:r w:rsidRPr="000B2CDA">
              <w:rPr>
                <w:rFonts w:eastAsia="Calibri" w:cstheme="minorHAnsi"/>
                <w:sz w:val="20"/>
                <w:szCs w:val="20"/>
              </w:rPr>
              <w:t xml:space="preserve">1.43 </w:t>
            </w:r>
          </w:p>
        </w:tc>
        <w:tc>
          <w:tcPr>
            <w:tcW w:w="992" w:type="dxa"/>
            <w:tcBorders>
              <w:top w:val="single" w:sz="8" w:space="0" w:color="auto"/>
              <w:left w:val="single" w:sz="8" w:space="0" w:color="auto"/>
              <w:bottom w:val="single" w:sz="8" w:space="0" w:color="auto"/>
              <w:right w:val="single" w:sz="8" w:space="0" w:color="auto"/>
            </w:tcBorders>
          </w:tcPr>
          <w:p w14:paraId="367C7C1A" w14:textId="162E2047" w:rsidR="0FE9BE9B" w:rsidRPr="000B2CDA" w:rsidRDefault="0FE9BE9B">
            <w:pPr>
              <w:rPr>
                <w:rFonts w:cstheme="minorHAnsi"/>
                <w:sz w:val="20"/>
                <w:szCs w:val="20"/>
              </w:rPr>
            </w:pPr>
            <w:r w:rsidRPr="000B2CDA">
              <w:rPr>
                <w:rFonts w:eastAsia="Calibri" w:cstheme="minorHAnsi"/>
                <w:sz w:val="20"/>
                <w:szCs w:val="20"/>
              </w:rPr>
              <w:t xml:space="preserve">1.57 </w:t>
            </w:r>
          </w:p>
        </w:tc>
        <w:tc>
          <w:tcPr>
            <w:tcW w:w="1134" w:type="dxa"/>
            <w:tcBorders>
              <w:top w:val="single" w:sz="8" w:space="0" w:color="auto"/>
              <w:left w:val="single" w:sz="8" w:space="0" w:color="auto"/>
              <w:bottom w:val="single" w:sz="8" w:space="0" w:color="auto"/>
              <w:right w:val="single" w:sz="8" w:space="0" w:color="auto"/>
            </w:tcBorders>
          </w:tcPr>
          <w:p w14:paraId="4866662C" w14:textId="3107233F" w:rsidR="0FE9BE9B" w:rsidRPr="000B2CDA" w:rsidRDefault="0FE9BE9B">
            <w:pPr>
              <w:rPr>
                <w:rFonts w:cstheme="minorHAnsi"/>
                <w:sz w:val="20"/>
                <w:szCs w:val="20"/>
              </w:rPr>
            </w:pPr>
            <w:r w:rsidRPr="000B2CDA">
              <w:rPr>
                <w:rFonts w:eastAsia="Calibri" w:cstheme="minorHAnsi"/>
                <w:sz w:val="20"/>
                <w:szCs w:val="20"/>
              </w:rPr>
              <w:t xml:space="preserve">0.99 </w:t>
            </w:r>
          </w:p>
        </w:tc>
        <w:tc>
          <w:tcPr>
            <w:tcW w:w="1276" w:type="dxa"/>
            <w:tcBorders>
              <w:top w:val="single" w:sz="8" w:space="0" w:color="auto"/>
              <w:left w:val="single" w:sz="8" w:space="0" w:color="auto"/>
              <w:bottom w:val="single" w:sz="8" w:space="0" w:color="auto"/>
              <w:right w:val="single" w:sz="8" w:space="0" w:color="auto"/>
            </w:tcBorders>
          </w:tcPr>
          <w:p w14:paraId="45FD05D0" w14:textId="3F1CD087" w:rsidR="0FE9BE9B" w:rsidRPr="000B2CDA" w:rsidRDefault="0FE9BE9B">
            <w:pPr>
              <w:rPr>
                <w:rFonts w:cstheme="minorHAnsi"/>
                <w:sz w:val="20"/>
                <w:szCs w:val="20"/>
              </w:rPr>
            </w:pPr>
            <w:r w:rsidRPr="000B2CDA">
              <w:rPr>
                <w:rFonts w:eastAsia="Calibri" w:cstheme="minorHAnsi"/>
                <w:sz w:val="20"/>
                <w:szCs w:val="20"/>
              </w:rPr>
              <w:t xml:space="preserve">0.74 </w:t>
            </w:r>
          </w:p>
        </w:tc>
        <w:tc>
          <w:tcPr>
            <w:tcW w:w="1242" w:type="dxa"/>
            <w:tcBorders>
              <w:top w:val="single" w:sz="8" w:space="0" w:color="auto"/>
              <w:left w:val="single" w:sz="8" w:space="0" w:color="auto"/>
              <w:bottom w:val="single" w:sz="8" w:space="0" w:color="auto"/>
              <w:right w:val="single" w:sz="8" w:space="0" w:color="auto"/>
            </w:tcBorders>
          </w:tcPr>
          <w:p w14:paraId="776DF9C4" w14:textId="6F34DC8B" w:rsidR="0FE9BE9B" w:rsidRPr="000B2CDA" w:rsidRDefault="0FE9BE9B">
            <w:pPr>
              <w:rPr>
                <w:rFonts w:cstheme="minorHAnsi"/>
                <w:sz w:val="20"/>
                <w:szCs w:val="20"/>
              </w:rPr>
            </w:pPr>
            <w:r w:rsidRPr="000B2CDA">
              <w:rPr>
                <w:rFonts w:eastAsia="Calibri" w:cstheme="minorHAnsi"/>
                <w:sz w:val="20"/>
                <w:szCs w:val="20"/>
              </w:rPr>
              <w:t>0.73</w:t>
            </w:r>
          </w:p>
        </w:tc>
      </w:tr>
    </w:tbl>
    <w:p w14:paraId="4022AA98" w14:textId="12A92551" w:rsidR="00D51EC7" w:rsidRDefault="00D51EC7" w:rsidP="0FE9BE9B"/>
    <w:p w14:paraId="7E094FEA" w14:textId="7C54B070" w:rsidR="00452177" w:rsidRDefault="00A15590" w:rsidP="00953789">
      <w:r>
        <w:t xml:space="preserve">Ischaemic strokes made up 90% of our cohort, with prevalence’s of 16%,15% and 47% for diabetes, atrial </w:t>
      </w:r>
      <w:r w:rsidR="00C71C83">
        <w:t>fibrillation,</w:t>
      </w:r>
      <w:r>
        <w:t xml:space="preserve"> and hypertension. Percentage of men decreased with </w:t>
      </w:r>
      <w:proofErr w:type="spellStart"/>
      <w:r>
        <w:t>mRS</w:t>
      </w:r>
      <w:proofErr w:type="spellEnd"/>
      <w:r>
        <w:t xml:space="preserve"> whilst age and stroke severity (NIHSS) increased. </w:t>
      </w:r>
      <w:r w:rsidR="00452177">
        <w:t xml:space="preserve">We observed </w:t>
      </w:r>
      <w:r w:rsidR="00953789">
        <w:t>252</w:t>
      </w:r>
      <w:r w:rsidR="00452177">
        <w:t xml:space="preserve"> deaths</w:t>
      </w:r>
      <w:r w:rsidR="00953789">
        <w:t xml:space="preserve"> within 12 months and 587 between month 13 and censor.  There was a total of 6137 A&amp;</w:t>
      </w:r>
      <w:r w:rsidR="00452177">
        <w:t xml:space="preserve"> Attendances, </w:t>
      </w:r>
      <w:r w:rsidR="00953789">
        <w:t>4,234 non elective admissions (accounting for 35,063 bed days) and 1,255 non-elective admissions (accounting for 1,770 bed days).</w:t>
      </w:r>
      <w:r w:rsidR="00452177">
        <w:t xml:space="preserve"> </w:t>
      </w:r>
      <w:r w:rsidR="00953789">
        <w:t xml:space="preserve">Five diagnoses accounted for 18% of </w:t>
      </w:r>
      <w:r>
        <w:t>non-elective</w:t>
      </w:r>
      <w:r w:rsidR="00953789">
        <w:t xml:space="preserve"> admissions (Pneumonia (except that caused by TB), Other connective tissue disease, Acute cerebrovascular disease, Urinary tract infections and Nonspecific chest pain). Further d</w:t>
      </w:r>
      <w:r w:rsidR="00452177">
        <w:t>etails of primary diagnoses of non-elective admissions are shown in supplementary material</w:t>
      </w:r>
      <w:r w:rsidR="00953789">
        <w:t>.</w:t>
      </w:r>
    </w:p>
    <w:p w14:paraId="5801BDFC" w14:textId="55E24BC8" w:rsidR="00C71C83" w:rsidRDefault="00C71C83" w:rsidP="00953789"/>
    <w:p w14:paraId="65820C53" w14:textId="0302A424" w:rsidR="00C71C83" w:rsidRPr="00C71C83" w:rsidRDefault="00C71C83" w:rsidP="00953789">
      <w:pPr>
        <w:rPr>
          <w:i/>
          <w:iCs/>
        </w:rPr>
      </w:pPr>
      <w:r w:rsidRPr="00C71C83">
        <w:rPr>
          <w:i/>
          <w:iCs/>
        </w:rPr>
        <w:t>Statistical Models</w:t>
      </w:r>
    </w:p>
    <w:p w14:paraId="31C22DE7" w14:textId="0AFCA1E5" w:rsidR="000B2CDA" w:rsidRDefault="000B2CDA" w:rsidP="0FE9BE9B">
      <w:r>
        <w:t xml:space="preserve">The results of the two analyses to predict mortality in the twelve months following discharge are shown in Table 2.  </w:t>
      </w:r>
      <w:r w:rsidR="00A15590">
        <w:t>The risk of mortality with 12 months decreased with age</w:t>
      </w:r>
      <w:r w:rsidR="00AB2E9A">
        <w:t xml:space="preserve"> and was greater for men. Higher </w:t>
      </w:r>
      <w:proofErr w:type="spellStart"/>
      <w:r w:rsidR="00AB2E9A">
        <w:t>mRS</w:t>
      </w:r>
      <w:proofErr w:type="spellEnd"/>
      <w:r w:rsidR="00AB2E9A">
        <w:t xml:space="preserve"> was associated with a higher risk of death, except for those with an </w:t>
      </w:r>
      <w:proofErr w:type="spellStart"/>
      <w:r w:rsidR="00AB2E9A">
        <w:t>mRS</w:t>
      </w:r>
      <w:proofErr w:type="spellEnd"/>
      <w:r w:rsidR="00AB2E9A">
        <w:t xml:space="preserve"> of 1 who had a small and statistically insignificant greater risk than those with </w:t>
      </w:r>
      <w:proofErr w:type="spellStart"/>
      <w:r w:rsidR="00AB2E9A">
        <w:t>mRS</w:t>
      </w:r>
      <w:proofErr w:type="spellEnd"/>
      <w:r w:rsidR="00AB2E9A">
        <w:t xml:space="preserve"> 0.</w:t>
      </w:r>
    </w:p>
    <w:p w14:paraId="0A3E2103" w14:textId="47D2811B" w:rsidR="00D51EC7" w:rsidRDefault="000E14EB">
      <w:r>
        <w:t>Table 2 Survival Analyses</w:t>
      </w:r>
    </w:p>
    <w:tbl>
      <w:tblPr>
        <w:tblW w:w="100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9"/>
        <w:gridCol w:w="1006"/>
        <w:gridCol w:w="939"/>
        <w:gridCol w:w="1792"/>
        <w:gridCol w:w="14"/>
        <w:gridCol w:w="1056"/>
        <w:gridCol w:w="1051"/>
        <w:gridCol w:w="1792"/>
        <w:gridCol w:w="7"/>
        <w:gridCol w:w="7"/>
      </w:tblGrid>
      <w:tr w:rsidR="00510AFC" w:rsidRPr="007A35DA" w14:paraId="071BC136" w14:textId="6C9D003F" w:rsidTr="002629BB">
        <w:trPr>
          <w:trHeight w:val="300"/>
        </w:trPr>
        <w:tc>
          <w:tcPr>
            <w:tcW w:w="2379" w:type="dxa"/>
            <w:shd w:val="clear" w:color="auto" w:fill="auto"/>
            <w:vAlign w:val="center"/>
          </w:tcPr>
          <w:p w14:paraId="2FD79F25" w14:textId="77777777" w:rsidR="00510AFC" w:rsidRPr="007A35DA" w:rsidRDefault="00510AFC" w:rsidP="008125B4">
            <w:pPr>
              <w:spacing w:after="0" w:line="240" w:lineRule="auto"/>
              <w:rPr>
                <w:rFonts w:ascii="Calibri" w:eastAsia="Times New Roman" w:hAnsi="Calibri" w:cs="Calibri"/>
                <w:color w:val="000000"/>
                <w:sz w:val="20"/>
                <w:szCs w:val="20"/>
                <w:lang w:eastAsia="en-GB"/>
              </w:rPr>
            </w:pPr>
          </w:p>
        </w:tc>
        <w:tc>
          <w:tcPr>
            <w:tcW w:w="3751" w:type="dxa"/>
            <w:gridSpan w:val="4"/>
            <w:shd w:val="clear" w:color="auto" w:fill="auto"/>
            <w:vAlign w:val="center"/>
          </w:tcPr>
          <w:p w14:paraId="4C843616" w14:textId="1E70E5BB" w:rsidR="00510AFC" w:rsidRPr="007A35DA" w:rsidRDefault="00510AFC" w:rsidP="00E22C5F">
            <w:pPr>
              <w:spacing w:after="0" w:line="240" w:lineRule="auto"/>
              <w:jc w:val="center"/>
              <w:rPr>
                <w:rFonts w:ascii="Calibri" w:eastAsia="Times New Roman" w:hAnsi="Calibri" w:cs="Calibri"/>
                <w:color w:val="000000"/>
                <w:sz w:val="20"/>
                <w:szCs w:val="20"/>
                <w:lang w:eastAsia="en-GB"/>
              </w:rPr>
            </w:pPr>
            <w:r w:rsidRPr="007A35DA">
              <w:rPr>
                <w:rFonts w:ascii="Calibri" w:eastAsia="Times New Roman" w:hAnsi="Calibri" w:cs="Calibri"/>
                <w:color w:val="000000"/>
                <w:sz w:val="20"/>
                <w:szCs w:val="20"/>
                <w:lang w:eastAsia="en-GB"/>
              </w:rPr>
              <w:t xml:space="preserve">Year One </w:t>
            </w:r>
            <w:r w:rsidR="007A35DA" w:rsidRPr="007A35DA">
              <w:rPr>
                <w:rFonts w:ascii="Calibri" w:eastAsia="Times New Roman" w:hAnsi="Calibri" w:cs="Calibri"/>
                <w:color w:val="000000"/>
                <w:sz w:val="20"/>
                <w:szCs w:val="20"/>
                <w:lang w:eastAsia="en-GB"/>
              </w:rPr>
              <w:t>Logistic</w:t>
            </w:r>
          </w:p>
        </w:tc>
        <w:tc>
          <w:tcPr>
            <w:tcW w:w="3913" w:type="dxa"/>
            <w:gridSpan w:val="5"/>
          </w:tcPr>
          <w:p w14:paraId="5E1F6E9D" w14:textId="1112B53C" w:rsidR="00510AFC" w:rsidRPr="007A35DA" w:rsidRDefault="00510AFC" w:rsidP="00E22C5F">
            <w:pPr>
              <w:spacing w:after="0" w:line="240" w:lineRule="auto"/>
              <w:jc w:val="center"/>
              <w:rPr>
                <w:rFonts w:ascii="Calibri" w:eastAsia="Times New Roman" w:hAnsi="Calibri" w:cs="Calibri"/>
                <w:color w:val="000000"/>
                <w:sz w:val="20"/>
                <w:szCs w:val="20"/>
                <w:lang w:eastAsia="en-GB"/>
              </w:rPr>
            </w:pPr>
            <w:proofErr w:type="spellStart"/>
            <w:r w:rsidRPr="007A35DA">
              <w:rPr>
                <w:rFonts w:ascii="Calibri" w:eastAsia="Times New Roman" w:hAnsi="Calibri" w:cs="Calibri"/>
                <w:color w:val="000000"/>
                <w:sz w:val="20"/>
                <w:szCs w:val="20"/>
                <w:lang w:eastAsia="en-GB"/>
              </w:rPr>
              <w:t>Gompertz</w:t>
            </w:r>
            <w:proofErr w:type="spellEnd"/>
            <w:r w:rsidR="00A63655" w:rsidRPr="007A35DA">
              <w:rPr>
                <w:rFonts w:ascii="Calibri" w:eastAsia="Times New Roman" w:hAnsi="Calibri" w:cs="Calibri"/>
                <w:color w:val="000000"/>
                <w:sz w:val="20"/>
                <w:szCs w:val="20"/>
                <w:lang w:eastAsia="en-GB"/>
              </w:rPr>
              <w:t xml:space="preserve"> Hazard</w:t>
            </w:r>
          </w:p>
        </w:tc>
      </w:tr>
      <w:tr w:rsidR="009C208E" w:rsidRPr="007A35DA" w14:paraId="2D031268" w14:textId="76CFE649" w:rsidTr="002629BB">
        <w:trPr>
          <w:gridAfter w:val="2"/>
          <w:wAfter w:w="14" w:type="dxa"/>
          <w:trHeight w:val="300"/>
        </w:trPr>
        <w:tc>
          <w:tcPr>
            <w:tcW w:w="2379" w:type="dxa"/>
            <w:shd w:val="clear" w:color="auto" w:fill="auto"/>
            <w:vAlign w:val="center"/>
          </w:tcPr>
          <w:p w14:paraId="290CD8D7" w14:textId="18995CDB" w:rsidR="009C208E" w:rsidRPr="007A35DA" w:rsidRDefault="009C208E" w:rsidP="008125B4">
            <w:pPr>
              <w:spacing w:after="0" w:line="240" w:lineRule="auto"/>
              <w:rPr>
                <w:rFonts w:ascii="Calibri" w:eastAsia="Times New Roman" w:hAnsi="Calibri" w:cs="Calibri"/>
                <w:color w:val="000000"/>
                <w:sz w:val="20"/>
                <w:szCs w:val="20"/>
                <w:lang w:eastAsia="en-GB"/>
              </w:rPr>
            </w:pPr>
            <w:r w:rsidRPr="007A35DA">
              <w:rPr>
                <w:rFonts w:ascii="Calibri" w:eastAsia="Times New Roman" w:hAnsi="Calibri" w:cs="Calibri"/>
                <w:color w:val="000000"/>
                <w:sz w:val="20"/>
                <w:szCs w:val="20"/>
                <w:lang w:eastAsia="en-GB"/>
              </w:rPr>
              <w:t>Variable</w:t>
            </w:r>
          </w:p>
        </w:tc>
        <w:tc>
          <w:tcPr>
            <w:tcW w:w="1006" w:type="dxa"/>
            <w:shd w:val="clear" w:color="auto" w:fill="auto"/>
            <w:vAlign w:val="center"/>
          </w:tcPr>
          <w:p w14:paraId="6CE77796" w14:textId="189BC3E4" w:rsidR="009C208E" w:rsidRPr="007A35DA" w:rsidRDefault="009C208E" w:rsidP="006039A7">
            <w:pPr>
              <w:spacing w:after="0" w:line="240" w:lineRule="auto"/>
              <w:jc w:val="center"/>
              <w:rPr>
                <w:rFonts w:ascii="Calibri" w:eastAsia="Times New Roman" w:hAnsi="Calibri" w:cs="Calibri"/>
                <w:color w:val="000000"/>
                <w:sz w:val="20"/>
                <w:szCs w:val="20"/>
                <w:lang w:eastAsia="en-GB"/>
              </w:rPr>
            </w:pPr>
            <w:proofErr w:type="spellStart"/>
            <w:r w:rsidRPr="007A35DA">
              <w:rPr>
                <w:rFonts w:ascii="Calibri" w:eastAsia="Times New Roman" w:hAnsi="Calibri" w:cs="Calibri"/>
                <w:color w:val="000000"/>
                <w:sz w:val="20"/>
                <w:szCs w:val="20"/>
                <w:lang w:eastAsia="en-GB"/>
              </w:rPr>
              <w:t>Coef</w:t>
            </w:r>
            <w:proofErr w:type="spellEnd"/>
          </w:p>
        </w:tc>
        <w:tc>
          <w:tcPr>
            <w:tcW w:w="939" w:type="dxa"/>
            <w:shd w:val="clear" w:color="auto" w:fill="auto"/>
            <w:vAlign w:val="center"/>
          </w:tcPr>
          <w:p w14:paraId="06E39A46" w14:textId="42611473" w:rsidR="009C208E" w:rsidRPr="007A35DA" w:rsidRDefault="009C208E" w:rsidP="006039A7">
            <w:pPr>
              <w:spacing w:after="0" w:line="240" w:lineRule="auto"/>
              <w:jc w:val="center"/>
              <w:rPr>
                <w:rFonts w:ascii="Calibri" w:eastAsia="Times New Roman" w:hAnsi="Calibri" w:cs="Calibri"/>
                <w:color w:val="000000"/>
                <w:sz w:val="20"/>
                <w:szCs w:val="20"/>
                <w:lang w:eastAsia="en-GB"/>
              </w:rPr>
            </w:pPr>
            <w:r w:rsidRPr="007A35DA">
              <w:rPr>
                <w:rFonts w:ascii="Calibri" w:eastAsia="Times New Roman" w:hAnsi="Calibri" w:cs="Calibri"/>
                <w:color w:val="000000"/>
                <w:sz w:val="20"/>
                <w:szCs w:val="20"/>
                <w:lang w:eastAsia="en-GB"/>
              </w:rPr>
              <w:t>SE</w:t>
            </w:r>
          </w:p>
        </w:tc>
        <w:tc>
          <w:tcPr>
            <w:tcW w:w="1792" w:type="dxa"/>
            <w:shd w:val="clear" w:color="auto" w:fill="auto"/>
            <w:vAlign w:val="center"/>
          </w:tcPr>
          <w:p w14:paraId="26EEAA2C" w14:textId="36943FBC" w:rsidR="009C208E" w:rsidRPr="007A35DA" w:rsidRDefault="009C208E" w:rsidP="006039A7">
            <w:pPr>
              <w:spacing w:after="0" w:line="240" w:lineRule="auto"/>
              <w:jc w:val="center"/>
              <w:rPr>
                <w:rFonts w:ascii="Calibri" w:eastAsia="Times New Roman" w:hAnsi="Calibri" w:cs="Calibri"/>
                <w:color w:val="000000"/>
                <w:sz w:val="20"/>
                <w:szCs w:val="20"/>
                <w:lang w:eastAsia="en-GB"/>
              </w:rPr>
            </w:pPr>
            <w:r w:rsidRPr="007A35DA">
              <w:rPr>
                <w:rFonts w:ascii="Calibri" w:eastAsia="Times New Roman" w:hAnsi="Calibri" w:cs="Calibri"/>
                <w:color w:val="000000"/>
                <w:sz w:val="20"/>
                <w:szCs w:val="20"/>
                <w:lang w:eastAsia="en-GB"/>
              </w:rPr>
              <w:t>95% CI</w:t>
            </w:r>
          </w:p>
        </w:tc>
        <w:tc>
          <w:tcPr>
            <w:tcW w:w="1070" w:type="dxa"/>
            <w:gridSpan w:val="2"/>
          </w:tcPr>
          <w:p w14:paraId="426EB7FD" w14:textId="60E5FEDD" w:rsidR="009C208E" w:rsidRPr="007A35DA" w:rsidRDefault="009C208E" w:rsidP="00E22C5F">
            <w:pPr>
              <w:spacing w:after="0" w:line="240" w:lineRule="auto"/>
              <w:jc w:val="center"/>
              <w:rPr>
                <w:rFonts w:ascii="Calibri" w:eastAsia="Times New Roman" w:hAnsi="Calibri" w:cs="Calibri"/>
                <w:color w:val="000000"/>
                <w:sz w:val="20"/>
                <w:szCs w:val="20"/>
                <w:lang w:eastAsia="en-GB"/>
              </w:rPr>
            </w:pPr>
            <w:proofErr w:type="spellStart"/>
            <w:r w:rsidRPr="007A35DA">
              <w:rPr>
                <w:rFonts w:ascii="Calibri" w:eastAsia="Times New Roman" w:hAnsi="Calibri" w:cs="Calibri"/>
                <w:color w:val="000000"/>
                <w:sz w:val="20"/>
                <w:szCs w:val="20"/>
                <w:lang w:eastAsia="en-GB"/>
              </w:rPr>
              <w:t>Coef</w:t>
            </w:r>
            <w:proofErr w:type="spellEnd"/>
          </w:p>
        </w:tc>
        <w:tc>
          <w:tcPr>
            <w:tcW w:w="1051" w:type="dxa"/>
          </w:tcPr>
          <w:p w14:paraId="543A006C" w14:textId="3515F09A" w:rsidR="009C208E" w:rsidRPr="007A35DA" w:rsidRDefault="009C208E" w:rsidP="00E22C5F">
            <w:pPr>
              <w:spacing w:after="0" w:line="240" w:lineRule="auto"/>
              <w:jc w:val="center"/>
              <w:rPr>
                <w:rFonts w:ascii="Calibri" w:eastAsia="Times New Roman" w:hAnsi="Calibri" w:cs="Calibri"/>
                <w:color w:val="000000"/>
                <w:sz w:val="20"/>
                <w:szCs w:val="20"/>
                <w:lang w:eastAsia="en-GB"/>
              </w:rPr>
            </w:pPr>
            <w:r w:rsidRPr="007A35DA">
              <w:rPr>
                <w:rFonts w:ascii="Calibri" w:eastAsia="Times New Roman" w:hAnsi="Calibri" w:cs="Calibri"/>
                <w:color w:val="000000"/>
                <w:sz w:val="20"/>
                <w:szCs w:val="20"/>
                <w:lang w:eastAsia="en-GB"/>
              </w:rPr>
              <w:t>SD</w:t>
            </w:r>
          </w:p>
        </w:tc>
        <w:tc>
          <w:tcPr>
            <w:tcW w:w="1792" w:type="dxa"/>
          </w:tcPr>
          <w:p w14:paraId="20C28073" w14:textId="57CCB2BB" w:rsidR="009C208E" w:rsidRPr="007A35DA" w:rsidRDefault="00214C11" w:rsidP="00E22C5F">
            <w:pPr>
              <w:spacing w:after="0" w:line="240" w:lineRule="auto"/>
              <w:jc w:val="center"/>
              <w:rPr>
                <w:rFonts w:ascii="Calibri" w:eastAsia="Times New Roman" w:hAnsi="Calibri" w:cs="Calibri"/>
                <w:color w:val="000000"/>
                <w:sz w:val="20"/>
                <w:szCs w:val="20"/>
                <w:lang w:eastAsia="en-GB"/>
              </w:rPr>
            </w:pPr>
            <w:r w:rsidRPr="007A35DA">
              <w:rPr>
                <w:rFonts w:ascii="Calibri" w:eastAsia="Times New Roman" w:hAnsi="Calibri" w:cs="Calibri"/>
                <w:color w:val="000000"/>
                <w:sz w:val="20"/>
                <w:szCs w:val="20"/>
                <w:lang w:eastAsia="en-GB"/>
              </w:rPr>
              <w:t>95% CI</w:t>
            </w:r>
          </w:p>
        </w:tc>
      </w:tr>
      <w:tr w:rsidR="00965AD0" w:rsidRPr="007A35DA" w14:paraId="678C26F7" w14:textId="77777777" w:rsidTr="003D5535">
        <w:trPr>
          <w:gridAfter w:val="2"/>
          <w:wAfter w:w="14" w:type="dxa"/>
          <w:trHeight w:val="300"/>
        </w:trPr>
        <w:tc>
          <w:tcPr>
            <w:tcW w:w="2379" w:type="dxa"/>
            <w:shd w:val="clear" w:color="auto" w:fill="auto"/>
            <w:vAlign w:val="center"/>
          </w:tcPr>
          <w:p w14:paraId="711EDB28" w14:textId="5CA41799" w:rsidR="00965AD0" w:rsidRPr="007A35DA" w:rsidRDefault="000B2CDA" w:rsidP="00965AD0">
            <w:pPr>
              <w:spacing w:after="0" w:line="240" w:lineRule="auto"/>
              <w:rPr>
                <w:rFonts w:ascii="Calibri" w:eastAsia="Times New Roman" w:hAnsi="Calibri" w:cs="Calibri"/>
                <w:color w:val="000000"/>
                <w:sz w:val="20"/>
                <w:szCs w:val="20"/>
                <w:lang w:eastAsia="en-GB"/>
              </w:rPr>
            </w:pPr>
            <w:r w:rsidRPr="007A35DA">
              <w:rPr>
                <w:rFonts w:ascii="Calibri" w:eastAsia="Times New Roman" w:hAnsi="Calibri" w:cs="Calibri"/>
                <w:color w:val="000000"/>
                <w:sz w:val="20"/>
                <w:szCs w:val="20"/>
                <w:lang w:eastAsia="en-GB"/>
              </w:rPr>
              <w:t>C</w:t>
            </w:r>
            <w:r w:rsidR="00A473E3" w:rsidRPr="007A35DA">
              <w:rPr>
                <w:rFonts w:ascii="Calibri" w:eastAsia="Times New Roman" w:hAnsi="Calibri" w:cs="Calibri"/>
                <w:color w:val="000000"/>
                <w:sz w:val="20"/>
                <w:szCs w:val="20"/>
                <w:lang w:eastAsia="en-GB"/>
              </w:rPr>
              <w:t>onstant</w:t>
            </w:r>
          </w:p>
        </w:tc>
        <w:tc>
          <w:tcPr>
            <w:tcW w:w="1006" w:type="dxa"/>
            <w:shd w:val="clear" w:color="auto" w:fill="auto"/>
            <w:vAlign w:val="center"/>
          </w:tcPr>
          <w:p w14:paraId="47CA70D0" w14:textId="754D8EB2" w:rsidR="00965AD0" w:rsidRPr="007A35DA" w:rsidRDefault="00965AD0" w:rsidP="00965AD0">
            <w:pPr>
              <w:spacing w:after="0" w:line="240" w:lineRule="auto"/>
              <w:jc w:val="right"/>
              <w:rPr>
                <w:rFonts w:ascii="Calibri" w:hAnsi="Calibri" w:cs="Calibri"/>
                <w:color w:val="000000"/>
                <w:sz w:val="20"/>
                <w:szCs w:val="20"/>
              </w:rPr>
            </w:pPr>
            <w:r w:rsidRPr="007A35DA">
              <w:rPr>
                <w:color w:val="000000"/>
                <w:sz w:val="20"/>
                <w:szCs w:val="20"/>
              </w:rPr>
              <w:t>-4.2354</w:t>
            </w:r>
          </w:p>
        </w:tc>
        <w:tc>
          <w:tcPr>
            <w:tcW w:w="939" w:type="dxa"/>
            <w:shd w:val="clear" w:color="auto" w:fill="auto"/>
            <w:vAlign w:val="center"/>
          </w:tcPr>
          <w:p w14:paraId="3C56A8F7" w14:textId="68CA6F2B" w:rsidR="00965AD0" w:rsidRPr="007A35DA" w:rsidRDefault="00965AD0" w:rsidP="00965AD0">
            <w:pPr>
              <w:spacing w:after="0" w:line="240" w:lineRule="auto"/>
              <w:jc w:val="right"/>
              <w:rPr>
                <w:rFonts w:ascii="Calibri" w:hAnsi="Calibri" w:cs="Calibri"/>
                <w:color w:val="000000"/>
                <w:sz w:val="20"/>
                <w:szCs w:val="20"/>
              </w:rPr>
            </w:pPr>
            <w:r w:rsidRPr="007A35DA">
              <w:rPr>
                <w:color w:val="000000"/>
                <w:sz w:val="20"/>
                <w:szCs w:val="20"/>
              </w:rPr>
              <w:t>0.6057</w:t>
            </w:r>
          </w:p>
        </w:tc>
        <w:tc>
          <w:tcPr>
            <w:tcW w:w="1792" w:type="dxa"/>
            <w:shd w:val="clear" w:color="auto" w:fill="auto"/>
          </w:tcPr>
          <w:p w14:paraId="639CD78E" w14:textId="79D8B9F8" w:rsidR="00965AD0" w:rsidRPr="007A35DA" w:rsidRDefault="00F77FA5" w:rsidP="000C13FA">
            <w:pPr>
              <w:spacing w:after="0" w:line="240" w:lineRule="auto"/>
              <w:jc w:val="right"/>
              <w:rPr>
                <w:rFonts w:ascii="Calibri" w:hAnsi="Calibri" w:cs="Calibri"/>
                <w:color w:val="000000"/>
                <w:sz w:val="20"/>
                <w:szCs w:val="20"/>
              </w:rPr>
            </w:pPr>
            <w:r w:rsidRPr="007A35DA">
              <w:rPr>
                <w:rFonts w:ascii="Calibri" w:hAnsi="Calibri" w:cs="Calibri"/>
                <w:color w:val="000000"/>
                <w:sz w:val="20"/>
                <w:szCs w:val="20"/>
              </w:rPr>
              <w:t>-5.4226, -3.0483</w:t>
            </w:r>
          </w:p>
        </w:tc>
        <w:tc>
          <w:tcPr>
            <w:tcW w:w="1070" w:type="dxa"/>
            <w:gridSpan w:val="2"/>
            <w:vAlign w:val="center"/>
          </w:tcPr>
          <w:p w14:paraId="13065BE6" w14:textId="3F6F8424" w:rsidR="00965AD0" w:rsidRPr="007A35DA" w:rsidRDefault="00965AD0" w:rsidP="00965AD0">
            <w:pPr>
              <w:spacing w:after="0" w:line="240" w:lineRule="auto"/>
              <w:jc w:val="right"/>
              <w:rPr>
                <w:sz w:val="20"/>
                <w:szCs w:val="20"/>
              </w:rPr>
            </w:pPr>
            <w:r w:rsidRPr="007A35DA">
              <w:rPr>
                <w:color w:val="000000"/>
                <w:sz w:val="20"/>
                <w:szCs w:val="20"/>
              </w:rPr>
              <w:t>-9.067</w:t>
            </w:r>
          </w:p>
        </w:tc>
        <w:tc>
          <w:tcPr>
            <w:tcW w:w="1051" w:type="dxa"/>
            <w:vAlign w:val="center"/>
          </w:tcPr>
          <w:p w14:paraId="76003CF3" w14:textId="44F313F3" w:rsidR="00965AD0" w:rsidRPr="007A35DA" w:rsidRDefault="00965AD0" w:rsidP="00965AD0">
            <w:pPr>
              <w:spacing w:after="0" w:line="240" w:lineRule="auto"/>
              <w:jc w:val="right"/>
              <w:rPr>
                <w:rFonts w:ascii="Calibri" w:hAnsi="Calibri" w:cs="Calibri"/>
                <w:color w:val="000000"/>
                <w:sz w:val="20"/>
                <w:szCs w:val="20"/>
              </w:rPr>
            </w:pPr>
            <w:r w:rsidRPr="007A35DA">
              <w:rPr>
                <w:color w:val="000000"/>
                <w:sz w:val="20"/>
                <w:szCs w:val="20"/>
              </w:rPr>
              <w:t>0.1416</w:t>
            </w:r>
          </w:p>
        </w:tc>
        <w:tc>
          <w:tcPr>
            <w:tcW w:w="1792" w:type="dxa"/>
          </w:tcPr>
          <w:p w14:paraId="022F318A" w14:textId="4142DB2F" w:rsidR="00965AD0" w:rsidRPr="007A35DA" w:rsidRDefault="006F1C54" w:rsidP="00965AD0">
            <w:pPr>
              <w:spacing w:after="0" w:line="240" w:lineRule="auto"/>
              <w:jc w:val="right"/>
              <w:rPr>
                <w:rFonts w:ascii="Calibri" w:hAnsi="Calibri" w:cs="Calibri"/>
                <w:color w:val="000000"/>
                <w:sz w:val="20"/>
                <w:szCs w:val="20"/>
              </w:rPr>
            </w:pPr>
            <w:r w:rsidRPr="007A35DA">
              <w:rPr>
                <w:rFonts w:ascii="Calibri" w:hAnsi="Calibri" w:cs="Calibri"/>
                <w:color w:val="000000"/>
                <w:sz w:val="20"/>
                <w:szCs w:val="20"/>
              </w:rPr>
              <w:t>-</w:t>
            </w:r>
            <w:r w:rsidR="00A04D18" w:rsidRPr="007A35DA">
              <w:rPr>
                <w:rFonts w:ascii="Calibri" w:hAnsi="Calibri" w:cs="Calibri"/>
                <w:color w:val="000000"/>
                <w:sz w:val="20"/>
                <w:szCs w:val="20"/>
              </w:rPr>
              <w:t>9.</w:t>
            </w:r>
            <w:r w:rsidR="00867505" w:rsidRPr="007A35DA">
              <w:rPr>
                <w:rFonts w:ascii="Calibri" w:hAnsi="Calibri" w:cs="Calibri"/>
                <w:color w:val="000000"/>
                <w:sz w:val="20"/>
                <w:szCs w:val="20"/>
              </w:rPr>
              <w:t>3093</w:t>
            </w:r>
            <w:r w:rsidR="00A04D18" w:rsidRPr="007A35DA">
              <w:rPr>
                <w:rFonts w:ascii="Calibri" w:hAnsi="Calibri" w:cs="Calibri"/>
                <w:color w:val="000000"/>
                <w:sz w:val="20"/>
                <w:szCs w:val="20"/>
              </w:rPr>
              <w:t xml:space="preserve"> -9.</w:t>
            </w:r>
            <w:r w:rsidR="00867505" w:rsidRPr="007A35DA">
              <w:rPr>
                <w:rFonts w:ascii="Calibri" w:hAnsi="Calibri" w:cs="Calibri"/>
                <w:color w:val="000000"/>
                <w:sz w:val="20"/>
                <w:szCs w:val="20"/>
              </w:rPr>
              <w:t>2968</w:t>
            </w:r>
          </w:p>
        </w:tc>
      </w:tr>
      <w:tr w:rsidR="005751E4" w:rsidRPr="007A35DA" w14:paraId="6E3931E4" w14:textId="77777777" w:rsidTr="005451F6">
        <w:trPr>
          <w:gridAfter w:val="2"/>
          <w:wAfter w:w="14" w:type="dxa"/>
          <w:trHeight w:val="300"/>
        </w:trPr>
        <w:tc>
          <w:tcPr>
            <w:tcW w:w="2379" w:type="dxa"/>
            <w:shd w:val="clear" w:color="auto" w:fill="auto"/>
          </w:tcPr>
          <w:p w14:paraId="79A1A3B5" w14:textId="7B4E5E13" w:rsidR="005751E4" w:rsidRPr="007A35DA" w:rsidRDefault="005751E4" w:rsidP="005751E4">
            <w:pPr>
              <w:spacing w:after="0" w:line="240" w:lineRule="auto"/>
              <w:rPr>
                <w:rFonts w:ascii="Calibri" w:eastAsia="Times New Roman" w:hAnsi="Calibri" w:cs="Calibri"/>
                <w:color w:val="000000"/>
                <w:sz w:val="20"/>
                <w:szCs w:val="20"/>
                <w:lang w:eastAsia="en-GB"/>
              </w:rPr>
            </w:pPr>
            <w:r w:rsidRPr="007A35DA">
              <w:rPr>
                <w:rFonts w:ascii="Calibri" w:hAnsi="Calibri" w:cs="Calibri"/>
                <w:color w:val="000000"/>
                <w:sz w:val="20"/>
                <w:szCs w:val="20"/>
              </w:rPr>
              <w:t>Gamma</w:t>
            </w:r>
          </w:p>
        </w:tc>
        <w:tc>
          <w:tcPr>
            <w:tcW w:w="1006" w:type="dxa"/>
            <w:shd w:val="clear" w:color="auto" w:fill="auto"/>
          </w:tcPr>
          <w:p w14:paraId="49124280" w14:textId="087BE5DC" w:rsidR="005751E4" w:rsidRPr="007A35DA" w:rsidRDefault="005751E4" w:rsidP="005751E4">
            <w:pPr>
              <w:spacing w:after="0" w:line="240" w:lineRule="auto"/>
              <w:jc w:val="right"/>
              <w:rPr>
                <w:rFonts w:ascii="Calibri" w:hAnsi="Calibri" w:cs="Calibri"/>
                <w:color w:val="000000"/>
                <w:sz w:val="20"/>
                <w:szCs w:val="20"/>
              </w:rPr>
            </w:pPr>
            <w:r w:rsidRPr="007A35DA">
              <w:rPr>
                <w:rFonts w:ascii="Calibri" w:hAnsi="Calibri" w:cs="Calibri"/>
                <w:color w:val="000000"/>
                <w:sz w:val="20"/>
                <w:szCs w:val="20"/>
              </w:rPr>
              <w:t>-</w:t>
            </w:r>
          </w:p>
        </w:tc>
        <w:tc>
          <w:tcPr>
            <w:tcW w:w="939" w:type="dxa"/>
            <w:shd w:val="clear" w:color="auto" w:fill="auto"/>
          </w:tcPr>
          <w:p w14:paraId="5C8E0A21" w14:textId="142DCC37" w:rsidR="005751E4" w:rsidRPr="007A35DA" w:rsidRDefault="005751E4" w:rsidP="005751E4">
            <w:pPr>
              <w:spacing w:after="0" w:line="240" w:lineRule="auto"/>
              <w:jc w:val="right"/>
              <w:rPr>
                <w:rFonts w:ascii="Calibri" w:hAnsi="Calibri" w:cs="Calibri"/>
                <w:color w:val="000000"/>
                <w:sz w:val="20"/>
                <w:szCs w:val="20"/>
              </w:rPr>
            </w:pPr>
            <w:r w:rsidRPr="007A35DA">
              <w:rPr>
                <w:rFonts w:ascii="Calibri" w:hAnsi="Calibri" w:cs="Calibri"/>
                <w:color w:val="000000"/>
                <w:sz w:val="20"/>
                <w:szCs w:val="20"/>
              </w:rPr>
              <w:t>-</w:t>
            </w:r>
          </w:p>
        </w:tc>
        <w:tc>
          <w:tcPr>
            <w:tcW w:w="1792" w:type="dxa"/>
            <w:shd w:val="clear" w:color="auto" w:fill="auto"/>
          </w:tcPr>
          <w:p w14:paraId="502787D4" w14:textId="3C0022A9" w:rsidR="005751E4" w:rsidRPr="007A35DA" w:rsidRDefault="005751E4" w:rsidP="000C13FA">
            <w:pPr>
              <w:spacing w:after="0" w:line="240" w:lineRule="auto"/>
              <w:jc w:val="right"/>
              <w:rPr>
                <w:rFonts w:ascii="Calibri" w:hAnsi="Calibri" w:cs="Calibri"/>
                <w:color w:val="000000"/>
                <w:sz w:val="20"/>
                <w:szCs w:val="20"/>
              </w:rPr>
            </w:pPr>
            <w:r w:rsidRPr="007A35DA">
              <w:rPr>
                <w:rFonts w:ascii="Calibri" w:hAnsi="Calibri" w:cs="Calibri"/>
                <w:color w:val="000000"/>
                <w:sz w:val="20"/>
                <w:szCs w:val="20"/>
              </w:rPr>
              <w:t>-</w:t>
            </w:r>
          </w:p>
        </w:tc>
        <w:tc>
          <w:tcPr>
            <w:tcW w:w="1070" w:type="dxa"/>
            <w:gridSpan w:val="2"/>
          </w:tcPr>
          <w:p w14:paraId="1792A2D0" w14:textId="50AA59A0" w:rsidR="005751E4" w:rsidRPr="007A35DA" w:rsidRDefault="005751E4" w:rsidP="005751E4">
            <w:pPr>
              <w:spacing w:after="0" w:line="240" w:lineRule="auto"/>
              <w:jc w:val="right"/>
              <w:rPr>
                <w:sz w:val="20"/>
                <w:szCs w:val="20"/>
              </w:rPr>
            </w:pPr>
            <w:r w:rsidRPr="007A35DA">
              <w:rPr>
                <w:rFonts w:ascii="Calibri" w:hAnsi="Calibri" w:cs="Calibri"/>
                <w:color w:val="000000"/>
                <w:sz w:val="20"/>
                <w:szCs w:val="20"/>
              </w:rPr>
              <w:t>0.0002</w:t>
            </w:r>
          </w:p>
        </w:tc>
        <w:tc>
          <w:tcPr>
            <w:tcW w:w="1051" w:type="dxa"/>
          </w:tcPr>
          <w:p w14:paraId="6F7CD462" w14:textId="36F08DCC" w:rsidR="005751E4" w:rsidRPr="007A35DA" w:rsidRDefault="005751E4" w:rsidP="005751E4">
            <w:pPr>
              <w:spacing w:after="0" w:line="240" w:lineRule="auto"/>
              <w:jc w:val="right"/>
              <w:rPr>
                <w:rFonts w:ascii="Calibri" w:hAnsi="Calibri" w:cs="Calibri"/>
                <w:color w:val="000000"/>
                <w:sz w:val="20"/>
                <w:szCs w:val="20"/>
              </w:rPr>
            </w:pPr>
            <w:r w:rsidRPr="007A35DA">
              <w:rPr>
                <w:rFonts w:ascii="Calibri" w:hAnsi="Calibri" w:cs="Calibri"/>
                <w:color w:val="000000"/>
                <w:sz w:val="20"/>
                <w:szCs w:val="20"/>
              </w:rPr>
              <w:t>0.00001</w:t>
            </w:r>
          </w:p>
        </w:tc>
        <w:tc>
          <w:tcPr>
            <w:tcW w:w="1792" w:type="dxa"/>
          </w:tcPr>
          <w:p w14:paraId="22ECB71A" w14:textId="36A2F8A0" w:rsidR="005751E4" w:rsidRPr="007A35DA" w:rsidRDefault="00872226" w:rsidP="005751E4">
            <w:pPr>
              <w:spacing w:after="0" w:line="240" w:lineRule="auto"/>
              <w:jc w:val="right"/>
              <w:rPr>
                <w:rFonts w:ascii="Calibri" w:hAnsi="Calibri" w:cs="Calibri"/>
                <w:color w:val="000000"/>
                <w:sz w:val="20"/>
                <w:szCs w:val="20"/>
              </w:rPr>
            </w:pPr>
            <w:r w:rsidRPr="007A35DA">
              <w:rPr>
                <w:rFonts w:ascii="Calibri" w:hAnsi="Calibri" w:cs="Calibri"/>
                <w:color w:val="000000"/>
                <w:sz w:val="20"/>
                <w:szCs w:val="20"/>
              </w:rPr>
              <w:t>0.0002</w:t>
            </w:r>
            <w:r w:rsidR="00F164C5" w:rsidRPr="007A35DA">
              <w:rPr>
                <w:rFonts w:ascii="Calibri" w:hAnsi="Calibri" w:cs="Calibri"/>
                <w:color w:val="000000"/>
                <w:sz w:val="20"/>
                <w:szCs w:val="20"/>
              </w:rPr>
              <w:t>, 0.0002</w:t>
            </w:r>
          </w:p>
        </w:tc>
      </w:tr>
      <w:tr w:rsidR="00131E4E" w:rsidRPr="007A35DA" w14:paraId="37D3CF26" w14:textId="33DD45A9" w:rsidTr="00046BB1">
        <w:trPr>
          <w:gridAfter w:val="2"/>
          <w:wAfter w:w="14" w:type="dxa"/>
          <w:trHeight w:val="300"/>
        </w:trPr>
        <w:tc>
          <w:tcPr>
            <w:tcW w:w="2379" w:type="dxa"/>
            <w:shd w:val="clear" w:color="auto" w:fill="auto"/>
            <w:vAlign w:val="center"/>
            <w:hideMark/>
          </w:tcPr>
          <w:p w14:paraId="5B71F39F" w14:textId="74EEBD91" w:rsidR="00131E4E" w:rsidRPr="007A35DA" w:rsidRDefault="00131E4E" w:rsidP="00131E4E">
            <w:pPr>
              <w:spacing w:after="0" w:line="240" w:lineRule="auto"/>
              <w:rPr>
                <w:rFonts w:ascii="Calibri" w:eastAsia="Times New Roman" w:hAnsi="Calibri" w:cs="Calibri"/>
                <w:color w:val="000000"/>
                <w:sz w:val="20"/>
                <w:szCs w:val="20"/>
                <w:lang w:eastAsia="en-GB"/>
              </w:rPr>
            </w:pPr>
            <w:r w:rsidRPr="007A35DA">
              <w:rPr>
                <w:rFonts w:ascii="Calibri" w:eastAsia="Times New Roman" w:hAnsi="Calibri" w:cs="Calibri"/>
                <w:color w:val="000000"/>
                <w:sz w:val="20"/>
                <w:szCs w:val="20"/>
                <w:lang w:eastAsia="en-GB"/>
              </w:rPr>
              <w:t>Age at onset ¹</w:t>
            </w:r>
          </w:p>
        </w:tc>
        <w:tc>
          <w:tcPr>
            <w:tcW w:w="1006" w:type="dxa"/>
            <w:shd w:val="clear" w:color="auto" w:fill="auto"/>
            <w:vAlign w:val="center"/>
          </w:tcPr>
          <w:p w14:paraId="3D9BF679" w14:textId="1780C663" w:rsidR="00131E4E" w:rsidRPr="007A35DA" w:rsidRDefault="00131E4E" w:rsidP="00131E4E">
            <w:pPr>
              <w:spacing w:after="0" w:line="240" w:lineRule="auto"/>
              <w:jc w:val="right"/>
              <w:rPr>
                <w:rFonts w:ascii="Calibri" w:eastAsia="Times New Roman" w:hAnsi="Calibri" w:cs="Calibri"/>
                <w:color w:val="000000"/>
                <w:sz w:val="20"/>
                <w:szCs w:val="20"/>
                <w:lang w:eastAsia="en-GB"/>
              </w:rPr>
            </w:pPr>
            <w:r w:rsidRPr="007A35DA">
              <w:rPr>
                <w:color w:val="000000"/>
                <w:sz w:val="20"/>
                <w:szCs w:val="20"/>
              </w:rPr>
              <w:t>0.0663</w:t>
            </w:r>
          </w:p>
        </w:tc>
        <w:tc>
          <w:tcPr>
            <w:tcW w:w="939" w:type="dxa"/>
            <w:shd w:val="clear" w:color="auto" w:fill="auto"/>
            <w:vAlign w:val="center"/>
          </w:tcPr>
          <w:p w14:paraId="234B6663" w14:textId="5958EB6B" w:rsidR="00131E4E" w:rsidRPr="007A35DA" w:rsidRDefault="00131E4E" w:rsidP="00131E4E">
            <w:pPr>
              <w:spacing w:after="0" w:line="240" w:lineRule="auto"/>
              <w:jc w:val="right"/>
              <w:rPr>
                <w:rFonts w:ascii="Calibri" w:eastAsia="Times New Roman" w:hAnsi="Calibri" w:cs="Calibri"/>
                <w:color w:val="000000"/>
                <w:sz w:val="20"/>
                <w:szCs w:val="20"/>
                <w:lang w:eastAsia="en-GB"/>
              </w:rPr>
            </w:pPr>
            <w:r w:rsidRPr="007A35DA">
              <w:rPr>
                <w:color w:val="000000"/>
                <w:sz w:val="20"/>
                <w:szCs w:val="20"/>
              </w:rPr>
              <w:t>0.0082</w:t>
            </w:r>
          </w:p>
        </w:tc>
        <w:tc>
          <w:tcPr>
            <w:tcW w:w="1792" w:type="dxa"/>
            <w:shd w:val="clear" w:color="auto" w:fill="auto"/>
            <w:vAlign w:val="bottom"/>
          </w:tcPr>
          <w:p w14:paraId="5B07083C" w14:textId="3DB65F1C" w:rsidR="00131E4E" w:rsidRPr="007A35DA" w:rsidRDefault="00131E4E" w:rsidP="00131E4E">
            <w:pPr>
              <w:spacing w:after="0" w:line="240" w:lineRule="auto"/>
              <w:jc w:val="right"/>
              <w:rPr>
                <w:rFonts w:ascii="Calibri" w:eastAsia="Times New Roman" w:hAnsi="Calibri" w:cs="Calibri"/>
                <w:color w:val="000000"/>
                <w:sz w:val="20"/>
                <w:szCs w:val="20"/>
                <w:lang w:eastAsia="en-GB"/>
              </w:rPr>
            </w:pPr>
            <w:r w:rsidRPr="007A35DA">
              <w:rPr>
                <w:rFonts w:ascii="Calibri" w:hAnsi="Calibri" w:cs="Calibri"/>
                <w:color w:val="000000"/>
                <w:sz w:val="20"/>
                <w:szCs w:val="20"/>
              </w:rPr>
              <w:t xml:space="preserve">0.0503, </w:t>
            </w:r>
            <w:r w:rsidRPr="007A35DA">
              <w:rPr>
                <w:rFonts w:ascii="Calibri" w:hAnsi="Calibri" w:cs="Calibri"/>
                <w:color w:val="000000"/>
                <w:sz w:val="20"/>
                <w:szCs w:val="20"/>
              </w:rPr>
              <w:tab/>
              <w:t>0.0823</w:t>
            </w:r>
          </w:p>
        </w:tc>
        <w:tc>
          <w:tcPr>
            <w:tcW w:w="1070" w:type="dxa"/>
            <w:gridSpan w:val="2"/>
            <w:vAlign w:val="center"/>
          </w:tcPr>
          <w:p w14:paraId="1182D5ED" w14:textId="3A3820DE" w:rsidR="00131E4E" w:rsidRPr="007A35DA" w:rsidRDefault="00131E4E" w:rsidP="00131E4E">
            <w:pPr>
              <w:spacing w:after="0" w:line="240" w:lineRule="auto"/>
              <w:jc w:val="right"/>
              <w:rPr>
                <w:rFonts w:ascii="Calibri" w:hAnsi="Calibri" w:cs="Calibri"/>
                <w:b/>
                <w:bCs/>
                <w:color w:val="000000"/>
                <w:sz w:val="20"/>
                <w:szCs w:val="20"/>
              </w:rPr>
            </w:pPr>
            <w:r w:rsidRPr="007A35DA">
              <w:rPr>
                <w:color w:val="000000"/>
                <w:sz w:val="20"/>
                <w:szCs w:val="20"/>
              </w:rPr>
              <w:t>0.007</w:t>
            </w:r>
            <w:r w:rsidR="00AC5AC0">
              <w:rPr>
                <w:color w:val="000000"/>
                <w:sz w:val="20"/>
                <w:szCs w:val="20"/>
              </w:rPr>
              <w:t>3</w:t>
            </w:r>
          </w:p>
        </w:tc>
        <w:tc>
          <w:tcPr>
            <w:tcW w:w="1051" w:type="dxa"/>
            <w:vAlign w:val="center"/>
          </w:tcPr>
          <w:p w14:paraId="7D742FFE" w14:textId="149358A5" w:rsidR="00131E4E" w:rsidRPr="007A35DA" w:rsidRDefault="00131E4E" w:rsidP="00131E4E">
            <w:pPr>
              <w:spacing w:after="0" w:line="240" w:lineRule="auto"/>
              <w:jc w:val="right"/>
              <w:rPr>
                <w:rFonts w:ascii="Calibri" w:hAnsi="Calibri" w:cs="Calibri"/>
                <w:color w:val="000000"/>
                <w:sz w:val="20"/>
                <w:szCs w:val="20"/>
              </w:rPr>
            </w:pPr>
            <w:r w:rsidRPr="007A35DA">
              <w:rPr>
                <w:color w:val="000000"/>
                <w:sz w:val="20"/>
                <w:szCs w:val="20"/>
              </w:rPr>
              <w:t>0.0164</w:t>
            </w:r>
          </w:p>
        </w:tc>
        <w:tc>
          <w:tcPr>
            <w:tcW w:w="1792" w:type="dxa"/>
            <w:vAlign w:val="bottom"/>
          </w:tcPr>
          <w:p w14:paraId="4AC62CA0" w14:textId="3EB64302" w:rsidR="00131E4E" w:rsidRPr="007A35DA" w:rsidRDefault="00131E4E" w:rsidP="00131E4E">
            <w:pPr>
              <w:spacing w:after="0" w:line="240" w:lineRule="auto"/>
              <w:jc w:val="right"/>
              <w:rPr>
                <w:rFonts w:ascii="Calibri" w:hAnsi="Calibri" w:cs="Calibri"/>
                <w:color w:val="000000"/>
                <w:sz w:val="20"/>
                <w:szCs w:val="20"/>
              </w:rPr>
            </w:pPr>
            <w:r w:rsidRPr="007A35DA">
              <w:rPr>
                <w:rFonts w:ascii="Calibri" w:hAnsi="Calibri" w:cs="Calibri"/>
                <w:color w:val="000000"/>
                <w:sz w:val="20"/>
                <w:szCs w:val="20"/>
              </w:rPr>
              <w:t>-0.0203, 0.0334</w:t>
            </w:r>
          </w:p>
        </w:tc>
      </w:tr>
      <w:tr w:rsidR="00131E4E" w:rsidRPr="007A35DA" w14:paraId="43B0A216" w14:textId="4111B31F" w:rsidTr="00C13C4C">
        <w:trPr>
          <w:gridAfter w:val="2"/>
          <w:wAfter w:w="14" w:type="dxa"/>
          <w:trHeight w:val="300"/>
        </w:trPr>
        <w:tc>
          <w:tcPr>
            <w:tcW w:w="2379" w:type="dxa"/>
            <w:shd w:val="clear" w:color="auto" w:fill="auto"/>
            <w:vAlign w:val="center"/>
            <w:hideMark/>
          </w:tcPr>
          <w:p w14:paraId="53BEA71E" w14:textId="2F5B6368" w:rsidR="00131E4E" w:rsidRPr="007A35DA" w:rsidRDefault="00131E4E" w:rsidP="00131E4E">
            <w:pPr>
              <w:spacing w:after="0" w:line="240" w:lineRule="auto"/>
              <w:rPr>
                <w:rFonts w:ascii="Calibri" w:eastAsia="Times New Roman" w:hAnsi="Calibri" w:cs="Calibri"/>
                <w:color w:val="000000"/>
                <w:sz w:val="20"/>
                <w:szCs w:val="20"/>
                <w:lang w:eastAsia="en-GB"/>
              </w:rPr>
            </w:pPr>
            <w:r w:rsidRPr="007A35DA">
              <w:rPr>
                <w:rFonts w:ascii="Calibri" w:eastAsia="Times New Roman" w:hAnsi="Calibri" w:cs="Calibri"/>
                <w:color w:val="000000"/>
                <w:sz w:val="20"/>
                <w:szCs w:val="20"/>
                <w:lang w:eastAsia="en-GB"/>
              </w:rPr>
              <w:t>Age at onset squared ¹</w:t>
            </w:r>
          </w:p>
        </w:tc>
        <w:tc>
          <w:tcPr>
            <w:tcW w:w="1006" w:type="dxa"/>
            <w:shd w:val="clear" w:color="auto" w:fill="auto"/>
            <w:vAlign w:val="center"/>
          </w:tcPr>
          <w:p w14:paraId="541DFA38" w14:textId="464FEF4F" w:rsidR="00131E4E" w:rsidRPr="007A35DA" w:rsidRDefault="00131E4E" w:rsidP="00131E4E">
            <w:pPr>
              <w:spacing w:after="0" w:line="240" w:lineRule="auto"/>
              <w:jc w:val="right"/>
              <w:rPr>
                <w:rFonts w:ascii="Calibri" w:eastAsia="Times New Roman" w:hAnsi="Calibri" w:cs="Calibri"/>
                <w:color w:val="000000"/>
                <w:sz w:val="20"/>
                <w:szCs w:val="20"/>
                <w:lang w:eastAsia="en-GB"/>
              </w:rPr>
            </w:pPr>
            <w:r w:rsidRPr="007A35DA">
              <w:rPr>
                <w:rFonts w:ascii="Calibri" w:eastAsia="Times New Roman" w:hAnsi="Calibri" w:cs="Calibri"/>
                <w:color w:val="000000"/>
                <w:sz w:val="20"/>
                <w:szCs w:val="20"/>
                <w:lang w:eastAsia="en-GB"/>
              </w:rPr>
              <w:t>-</w:t>
            </w:r>
          </w:p>
        </w:tc>
        <w:tc>
          <w:tcPr>
            <w:tcW w:w="939" w:type="dxa"/>
            <w:shd w:val="clear" w:color="auto" w:fill="auto"/>
            <w:vAlign w:val="center"/>
          </w:tcPr>
          <w:p w14:paraId="1D152BC2" w14:textId="55E3119A" w:rsidR="00131E4E" w:rsidRPr="007A35DA" w:rsidRDefault="00371E23" w:rsidP="00131E4E">
            <w:pPr>
              <w:spacing w:after="0" w:line="240" w:lineRule="auto"/>
              <w:jc w:val="right"/>
              <w:rPr>
                <w:rFonts w:ascii="Calibri" w:eastAsia="Times New Roman" w:hAnsi="Calibri" w:cs="Calibri"/>
                <w:color w:val="000000"/>
                <w:sz w:val="20"/>
                <w:szCs w:val="20"/>
                <w:lang w:eastAsia="en-GB"/>
              </w:rPr>
            </w:pPr>
            <w:r w:rsidRPr="007A35DA">
              <w:rPr>
                <w:rFonts w:ascii="Calibri" w:eastAsia="Times New Roman" w:hAnsi="Calibri" w:cs="Calibri"/>
                <w:color w:val="000000"/>
                <w:sz w:val="20"/>
                <w:szCs w:val="20"/>
                <w:lang w:eastAsia="en-GB"/>
              </w:rPr>
              <w:t>-</w:t>
            </w:r>
          </w:p>
        </w:tc>
        <w:tc>
          <w:tcPr>
            <w:tcW w:w="1792" w:type="dxa"/>
            <w:shd w:val="clear" w:color="auto" w:fill="auto"/>
            <w:vAlign w:val="center"/>
          </w:tcPr>
          <w:p w14:paraId="649F05DB" w14:textId="03272ECB" w:rsidR="00131E4E" w:rsidRPr="007A35DA" w:rsidRDefault="00371E23" w:rsidP="00131E4E">
            <w:pPr>
              <w:spacing w:after="0" w:line="240" w:lineRule="auto"/>
              <w:jc w:val="right"/>
              <w:rPr>
                <w:rFonts w:ascii="Calibri" w:eastAsia="Times New Roman" w:hAnsi="Calibri" w:cs="Calibri"/>
                <w:color w:val="000000"/>
                <w:sz w:val="20"/>
                <w:szCs w:val="20"/>
                <w:lang w:eastAsia="en-GB"/>
              </w:rPr>
            </w:pPr>
            <w:r w:rsidRPr="007A35DA">
              <w:rPr>
                <w:rFonts w:ascii="Calibri" w:eastAsia="Times New Roman" w:hAnsi="Calibri" w:cs="Calibri"/>
                <w:color w:val="000000"/>
                <w:sz w:val="20"/>
                <w:szCs w:val="20"/>
                <w:lang w:eastAsia="en-GB"/>
              </w:rPr>
              <w:t>-</w:t>
            </w:r>
          </w:p>
        </w:tc>
        <w:tc>
          <w:tcPr>
            <w:tcW w:w="1070" w:type="dxa"/>
            <w:gridSpan w:val="2"/>
            <w:vAlign w:val="center"/>
          </w:tcPr>
          <w:p w14:paraId="010F48DF" w14:textId="61FE3C32" w:rsidR="00131E4E" w:rsidRPr="007A35DA" w:rsidRDefault="00131E4E" w:rsidP="00131E4E">
            <w:pPr>
              <w:spacing w:after="0" w:line="240" w:lineRule="auto"/>
              <w:jc w:val="right"/>
              <w:rPr>
                <w:rFonts w:ascii="Calibri" w:hAnsi="Calibri" w:cs="Calibri"/>
                <w:b/>
                <w:bCs/>
                <w:color w:val="000000"/>
                <w:sz w:val="20"/>
                <w:szCs w:val="20"/>
              </w:rPr>
            </w:pPr>
            <w:r w:rsidRPr="007A35DA">
              <w:rPr>
                <w:color w:val="000000"/>
                <w:sz w:val="20"/>
                <w:szCs w:val="20"/>
              </w:rPr>
              <w:t>0.000</w:t>
            </w:r>
            <w:r w:rsidR="00AC5AC0">
              <w:rPr>
                <w:color w:val="000000"/>
                <w:sz w:val="20"/>
                <w:szCs w:val="20"/>
              </w:rPr>
              <w:t>6</w:t>
            </w:r>
          </w:p>
        </w:tc>
        <w:tc>
          <w:tcPr>
            <w:tcW w:w="1051" w:type="dxa"/>
            <w:vAlign w:val="center"/>
          </w:tcPr>
          <w:p w14:paraId="627A0211" w14:textId="2CEBEA4E" w:rsidR="00131E4E" w:rsidRPr="007A35DA" w:rsidRDefault="00131E4E" w:rsidP="00131E4E">
            <w:pPr>
              <w:spacing w:after="0" w:line="240" w:lineRule="auto"/>
              <w:jc w:val="right"/>
              <w:rPr>
                <w:rFonts w:ascii="Calibri" w:hAnsi="Calibri" w:cs="Calibri"/>
                <w:color w:val="000000"/>
                <w:sz w:val="20"/>
                <w:szCs w:val="20"/>
              </w:rPr>
            </w:pPr>
            <w:r w:rsidRPr="007A35DA">
              <w:rPr>
                <w:color w:val="000000"/>
                <w:sz w:val="20"/>
                <w:szCs w:val="20"/>
              </w:rPr>
              <w:t>0.0001</w:t>
            </w:r>
          </w:p>
        </w:tc>
        <w:tc>
          <w:tcPr>
            <w:tcW w:w="1792" w:type="dxa"/>
            <w:vAlign w:val="bottom"/>
          </w:tcPr>
          <w:p w14:paraId="5F118DF7" w14:textId="14D1313C" w:rsidR="00131E4E" w:rsidRPr="007A35DA" w:rsidRDefault="00131E4E" w:rsidP="00131E4E">
            <w:pPr>
              <w:spacing w:after="0" w:line="240" w:lineRule="auto"/>
              <w:jc w:val="right"/>
              <w:rPr>
                <w:rFonts w:ascii="Calibri" w:hAnsi="Calibri" w:cs="Calibri"/>
                <w:color w:val="000000"/>
                <w:sz w:val="20"/>
                <w:szCs w:val="20"/>
              </w:rPr>
            </w:pPr>
            <w:r w:rsidRPr="007A35DA">
              <w:rPr>
                <w:rFonts w:ascii="Calibri" w:hAnsi="Calibri" w:cs="Calibri"/>
                <w:color w:val="000000"/>
                <w:sz w:val="20"/>
                <w:szCs w:val="20"/>
              </w:rPr>
              <w:t>0.0004, 0.0008</w:t>
            </w:r>
          </w:p>
        </w:tc>
      </w:tr>
      <w:tr w:rsidR="00131E4E" w:rsidRPr="007A35DA" w14:paraId="60FC94F4" w14:textId="7C040F65" w:rsidTr="00C13C4C">
        <w:trPr>
          <w:gridAfter w:val="2"/>
          <w:wAfter w:w="14" w:type="dxa"/>
          <w:trHeight w:val="300"/>
        </w:trPr>
        <w:tc>
          <w:tcPr>
            <w:tcW w:w="2379" w:type="dxa"/>
            <w:shd w:val="clear" w:color="auto" w:fill="auto"/>
            <w:vAlign w:val="center"/>
            <w:hideMark/>
          </w:tcPr>
          <w:p w14:paraId="6A4705AC" w14:textId="0C9D834C" w:rsidR="00131E4E" w:rsidRPr="007A35DA" w:rsidRDefault="00131E4E" w:rsidP="00131E4E">
            <w:pPr>
              <w:spacing w:after="0" w:line="240" w:lineRule="auto"/>
              <w:rPr>
                <w:rFonts w:ascii="Calibri" w:eastAsia="Times New Roman" w:hAnsi="Calibri" w:cs="Calibri"/>
                <w:color w:val="000000"/>
                <w:sz w:val="20"/>
                <w:szCs w:val="20"/>
                <w:lang w:eastAsia="en-GB"/>
              </w:rPr>
            </w:pPr>
            <w:r w:rsidRPr="007A35DA">
              <w:rPr>
                <w:rFonts w:ascii="Calibri" w:eastAsia="Times New Roman" w:hAnsi="Calibri" w:cs="Calibri"/>
                <w:color w:val="000000"/>
                <w:sz w:val="20"/>
                <w:szCs w:val="20"/>
                <w:lang w:eastAsia="en-GB"/>
              </w:rPr>
              <w:t>Male</w:t>
            </w:r>
          </w:p>
        </w:tc>
        <w:tc>
          <w:tcPr>
            <w:tcW w:w="1006" w:type="dxa"/>
            <w:shd w:val="clear" w:color="auto" w:fill="auto"/>
            <w:vAlign w:val="bottom"/>
          </w:tcPr>
          <w:p w14:paraId="41B195F7" w14:textId="14BFB525" w:rsidR="00131E4E" w:rsidRPr="007A35DA" w:rsidRDefault="00131E4E" w:rsidP="00131E4E">
            <w:pPr>
              <w:spacing w:after="0" w:line="240" w:lineRule="auto"/>
              <w:jc w:val="right"/>
              <w:rPr>
                <w:rFonts w:ascii="Calibri" w:eastAsia="Times New Roman" w:hAnsi="Calibri" w:cs="Calibri"/>
                <w:color w:val="000000"/>
                <w:sz w:val="20"/>
                <w:szCs w:val="20"/>
                <w:lang w:eastAsia="en-GB"/>
              </w:rPr>
            </w:pPr>
            <w:r w:rsidRPr="007A35DA">
              <w:rPr>
                <w:rFonts w:ascii="Calibri" w:hAnsi="Calibri" w:cs="Calibri"/>
                <w:color w:val="000000"/>
                <w:sz w:val="20"/>
                <w:szCs w:val="20"/>
              </w:rPr>
              <w:t>0.2636</w:t>
            </w:r>
          </w:p>
        </w:tc>
        <w:tc>
          <w:tcPr>
            <w:tcW w:w="939" w:type="dxa"/>
            <w:shd w:val="clear" w:color="auto" w:fill="auto"/>
            <w:vAlign w:val="bottom"/>
          </w:tcPr>
          <w:p w14:paraId="54D2EF95" w14:textId="1994F62E" w:rsidR="00131E4E" w:rsidRPr="007A35DA" w:rsidRDefault="00131E4E" w:rsidP="00131E4E">
            <w:pPr>
              <w:spacing w:after="0" w:line="240" w:lineRule="auto"/>
              <w:jc w:val="right"/>
              <w:rPr>
                <w:rFonts w:ascii="Calibri" w:eastAsia="Times New Roman" w:hAnsi="Calibri" w:cs="Calibri"/>
                <w:color w:val="000000"/>
                <w:sz w:val="20"/>
                <w:szCs w:val="20"/>
                <w:lang w:eastAsia="en-GB"/>
              </w:rPr>
            </w:pPr>
            <w:r w:rsidRPr="007A35DA">
              <w:rPr>
                <w:rFonts w:ascii="Calibri" w:hAnsi="Calibri" w:cs="Calibri"/>
                <w:color w:val="000000"/>
                <w:sz w:val="20"/>
                <w:szCs w:val="20"/>
              </w:rPr>
              <w:t>0.1601</w:t>
            </w:r>
          </w:p>
        </w:tc>
        <w:tc>
          <w:tcPr>
            <w:tcW w:w="1792" w:type="dxa"/>
            <w:shd w:val="clear" w:color="auto" w:fill="auto"/>
            <w:vAlign w:val="bottom"/>
          </w:tcPr>
          <w:p w14:paraId="629AA018" w14:textId="434BC762" w:rsidR="00131E4E" w:rsidRPr="007A35DA" w:rsidRDefault="00131E4E" w:rsidP="00131E4E">
            <w:pPr>
              <w:spacing w:after="0" w:line="240" w:lineRule="auto"/>
              <w:jc w:val="right"/>
              <w:rPr>
                <w:rFonts w:ascii="Calibri" w:eastAsia="Times New Roman" w:hAnsi="Calibri" w:cs="Calibri"/>
                <w:color w:val="000000"/>
                <w:sz w:val="20"/>
                <w:szCs w:val="20"/>
                <w:lang w:eastAsia="en-GB"/>
              </w:rPr>
            </w:pPr>
            <w:r w:rsidRPr="007A35DA">
              <w:rPr>
                <w:rFonts w:ascii="Calibri" w:hAnsi="Calibri" w:cs="Calibri"/>
                <w:color w:val="000000"/>
                <w:sz w:val="20"/>
                <w:szCs w:val="20"/>
              </w:rPr>
              <w:t>-0.0389, 0.5904</w:t>
            </w:r>
          </w:p>
        </w:tc>
        <w:tc>
          <w:tcPr>
            <w:tcW w:w="1070" w:type="dxa"/>
            <w:gridSpan w:val="2"/>
            <w:vAlign w:val="center"/>
          </w:tcPr>
          <w:p w14:paraId="31E56488" w14:textId="71582413" w:rsidR="00131E4E" w:rsidRPr="007A35DA" w:rsidRDefault="00131E4E" w:rsidP="00131E4E">
            <w:pPr>
              <w:spacing w:after="0" w:line="240" w:lineRule="auto"/>
              <w:jc w:val="right"/>
              <w:rPr>
                <w:rFonts w:ascii="Calibri" w:hAnsi="Calibri" w:cs="Calibri"/>
                <w:color w:val="000000"/>
                <w:sz w:val="20"/>
                <w:szCs w:val="20"/>
              </w:rPr>
            </w:pPr>
            <w:r w:rsidRPr="007A35DA">
              <w:rPr>
                <w:color w:val="000000"/>
                <w:sz w:val="20"/>
                <w:szCs w:val="20"/>
              </w:rPr>
              <w:t>0.1782</w:t>
            </w:r>
          </w:p>
        </w:tc>
        <w:tc>
          <w:tcPr>
            <w:tcW w:w="1051" w:type="dxa"/>
            <w:vAlign w:val="center"/>
          </w:tcPr>
          <w:p w14:paraId="4D6A788B" w14:textId="08311B94" w:rsidR="00131E4E" w:rsidRPr="007A35DA" w:rsidRDefault="00131E4E" w:rsidP="00131E4E">
            <w:pPr>
              <w:spacing w:after="0" w:line="240" w:lineRule="auto"/>
              <w:jc w:val="right"/>
              <w:rPr>
                <w:rFonts w:ascii="Calibri" w:hAnsi="Calibri" w:cs="Calibri"/>
                <w:color w:val="000000"/>
                <w:sz w:val="20"/>
                <w:szCs w:val="20"/>
              </w:rPr>
            </w:pPr>
            <w:r w:rsidRPr="007A35DA">
              <w:rPr>
                <w:color w:val="000000"/>
                <w:sz w:val="20"/>
                <w:szCs w:val="20"/>
              </w:rPr>
              <w:t>0.0436</w:t>
            </w:r>
          </w:p>
        </w:tc>
        <w:tc>
          <w:tcPr>
            <w:tcW w:w="1792" w:type="dxa"/>
            <w:vAlign w:val="bottom"/>
          </w:tcPr>
          <w:p w14:paraId="42CF95AB" w14:textId="0DCF9F5F" w:rsidR="00131E4E" w:rsidRPr="007A35DA" w:rsidRDefault="005C1CF6" w:rsidP="00131E4E">
            <w:pPr>
              <w:spacing w:after="0" w:line="240" w:lineRule="auto"/>
              <w:jc w:val="right"/>
              <w:rPr>
                <w:rFonts w:ascii="Calibri" w:hAnsi="Calibri" w:cs="Calibri"/>
                <w:color w:val="000000"/>
                <w:sz w:val="20"/>
                <w:szCs w:val="20"/>
              </w:rPr>
            </w:pPr>
            <w:r w:rsidRPr="007A35DA">
              <w:rPr>
                <w:rFonts w:ascii="Calibri" w:hAnsi="Calibri" w:cs="Calibri"/>
                <w:color w:val="000000"/>
                <w:sz w:val="20"/>
                <w:szCs w:val="20"/>
              </w:rPr>
              <w:t>0.1048,</w:t>
            </w:r>
            <w:r w:rsidR="00D5021F" w:rsidRPr="007A35DA">
              <w:rPr>
                <w:rFonts w:ascii="Calibri" w:hAnsi="Calibri" w:cs="Calibri"/>
                <w:color w:val="000000"/>
                <w:sz w:val="20"/>
                <w:szCs w:val="20"/>
              </w:rPr>
              <w:t xml:space="preserve"> 0.2490</w:t>
            </w:r>
          </w:p>
        </w:tc>
      </w:tr>
      <w:tr w:rsidR="00131E4E" w:rsidRPr="007A35DA" w14:paraId="5C2BA217" w14:textId="0F302078" w:rsidTr="00C13C4C">
        <w:trPr>
          <w:gridAfter w:val="2"/>
          <w:wAfter w:w="14" w:type="dxa"/>
          <w:trHeight w:val="300"/>
        </w:trPr>
        <w:tc>
          <w:tcPr>
            <w:tcW w:w="2379" w:type="dxa"/>
            <w:shd w:val="clear" w:color="auto" w:fill="auto"/>
            <w:vAlign w:val="center"/>
            <w:hideMark/>
          </w:tcPr>
          <w:p w14:paraId="54EB457B" w14:textId="1F8BE05C" w:rsidR="00131E4E" w:rsidRPr="007A35DA" w:rsidRDefault="00131E4E" w:rsidP="00131E4E">
            <w:pPr>
              <w:spacing w:after="0" w:line="240" w:lineRule="auto"/>
              <w:rPr>
                <w:rFonts w:ascii="Calibri" w:eastAsia="Times New Roman" w:hAnsi="Calibri" w:cs="Calibri"/>
                <w:color w:val="000000"/>
                <w:sz w:val="20"/>
                <w:szCs w:val="20"/>
                <w:lang w:eastAsia="en-GB"/>
              </w:rPr>
            </w:pPr>
            <w:proofErr w:type="spellStart"/>
            <w:r w:rsidRPr="007A35DA">
              <w:rPr>
                <w:rFonts w:ascii="Calibri" w:eastAsia="Times New Roman" w:hAnsi="Calibri" w:cs="Calibri"/>
                <w:color w:val="000000"/>
                <w:sz w:val="20"/>
                <w:szCs w:val="20"/>
                <w:lang w:eastAsia="en-GB"/>
              </w:rPr>
              <w:t>mrs</w:t>
            </w:r>
            <w:proofErr w:type="spellEnd"/>
            <w:r w:rsidRPr="007A35DA">
              <w:rPr>
                <w:rFonts w:ascii="Calibri" w:eastAsia="Times New Roman" w:hAnsi="Calibri" w:cs="Calibri"/>
                <w:color w:val="000000"/>
                <w:sz w:val="20"/>
                <w:szCs w:val="20"/>
                <w:lang w:eastAsia="en-GB"/>
              </w:rPr>
              <w:t xml:space="preserve"> 1 * Age at onset</w:t>
            </w:r>
            <w:r w:rsidR="00153818" w:rsidRPr="007A35DA">
              <w:rPr>
                <w:rFonts w:ascii="Calibri" w:eastAsia="Times New Roman" w:hAnsi="Calibri" w:cs="Calibri"/>
                <w:color w:val="000000"/>
                <w:sz w:val="20"/>
                <w:szCs w:val="20"/>
                <w:lang w:eastAsia="en-GB"/>
              </w:rPr>
              <w:t xml:space="preserve"> ¹</w:t>
            </w:r>
          </w:p>
        </w:tc>
        <w:tc>
          <w:tcPr>
            <w:tcW w:w="1006" w:type="dxa"/>
            <w:shd w:val="clear" w:color="auto" w:fill="auto"/>
            <w:vAlign w:val="center"/>
          </w:tcPr>
          <w:p w14:paraId="60D56EA7" w14:textId="039C8B8F" w:rsidR="00131E4E" w:rsidRPr="007A35DA" w:rsidRDefault="00131E4E" w:rsidP="00131E4E">
            <w:pPr>
              <w:spacing w:after="0" w:line="240" w:lineRule="auto"/>
              <w:jc w:val="right"/>
              <w:rPr>
                <w:rFonts w:ascii="Calibri" w:eastAsia="Times New Roman" w:hAnsi="Calibri" w:cs="Calibri"/>
                <w:color w:val="000000"/>
                <w:sz w:val="20"/>
                <w:szCs w:val="20"/>
                <w:lang w:eastAsia="en-GB"/>
              </w:rPr>
            </w:pPr>
            <w:r w:rsidRPr="007A35DA">
              <w:rPr>
                <w:rFonts w:ascii="Calibri" w:eastAsia="Times New Roman" w:hAnsi="Calibri" w:cs="Calibri"/>
                <w:color w:val="000000"/>
                <w:sz w:val="20"/>
                <w:szCs w:val="20"/>
                <w:lang w:eastAsia="en-GB"/>
              </w:rPr>
              <w:t>-</w:t>
            </w:r>
          </w:p>
        </w:tc>
        <w:tc>
          <w:tcPr>
            <w:tcW w:w="939" w:type="dxa"/>
            <w:shd w:val="clear" w:color="auto" w:fill="auto"/>
            <w:vAlign w:val="center"/>
          </w:tcPr>
          <w:p w14:paraId="7702D6E1" w14:textId="189FF2AD" w:rsidR="00131E4E" w:rsidRPr="007A35DA" w:rsidRDefault="00131E4E" w:rsidP="00131E4E">
            <w:pPr>
              <w:spacing w:after="0" w:line="240" w:lineRule="auto"/>
              <w:jc w:val="right"/>
              <w:rPr>
                <w:rFonts w:ascii="Calibri" w:eastAsia="Times New Roman" w:hAnsi="Calibri" w:cs="Calibri"/>
                <w:color w:val="000000"/>
                <w:sz w:val="20"/>
                <w:szCs w:val="20"/>
                <w:lang w:eastAsia="en-GB"/>
              </w:rPr>
            </w:pPr>
            <w:r w:rsidRPr="007A35DA">
              <w:rPr>
                <w:rFonts w:ascii="Calibri" w:eastAsia="Times New Roman" w:hAnsi="Calibri" w:cs="Calibri"/>
                <w:color w:val="000000"/>
                <w:sz w:val="20"/>
                <w:szCs w:val="20"/>
                <w:lang w:eastAsia="en-GB"/>
              </w:rPr>
              <w:t>-</w:t>
            </w:r>
          </w:p>
        </w:tc>
        <w:tc>
          <w:tcPr>
            <w:tcW w:w="1792" w:type="dxa"/>
            <w:shd w:val="clear" w:color="auto" w:fill="auto"/>
            <w:vAlign w:val="center"/>
          </w:tcPr>
          <w:p w14:paraId="3E9E5B91" w14:textId="4B2D9291" w:rsidR="00131E4E" w:rsidRPr="007A35DA" w:rsidRDefault="00131E4E" w:rsidP="00131E4E">
            <w:pPr>
              <w:spacing w:after="0" w:line="240" w:lineRule="auto"/>
              <w:jc w:val="right"/>
              <w:rPr>
                <w:rFonts w:ascii="Calibri" w:eastAsia="Times New Roman" w:hAnsi="Calibri" w:cs="Calibri"/>
                <w:color w:val="000000"/>
                <w:sz w:val="20"/>
                <w:szCs w:val="20"/>
                <w:lang w:eastAsia="en-GB"/>
              </w:rPr>
            </w:pPr>
            <w:r w:rsidRPr="007A35DA">
              <w:rPr>
                <w:rFonts w:ascii="Calibri" w:eastAsia="Times New Roman" w:hAnsi="Calibri" w:cs="Calibri"/>
                <w:color w:val="000000"/>
                <w:sz w:val="20"/>
                <w:szCs w:val="20"/>
                <w:lang w:eastAsia="en-GB"/>
              </w:rPr>
              <w:t>-</w:t>
            </w:r>
          </w:p>
        </w:tc>
        <w:tc>
          <w:tcPr>
            <w:tcW w:w="1070" w:type="dxa"/>
            <w:gridSpan w:val="2"/>
            <w:vAlign w:val="center"/>
          </w:tcPr>
          <w:p w14:paraId="423B11A8" w14:textId="7A9935B0" w:rsidR="00131E4E" w:rsidRPr="007A35DA" w:rsidRDefault="00131E4E" w:rsidP="00131E4E">
            <w:pPr>
              <w:spacing w:after="0" w:line="240" w:lineRule="auto"/>
              <w:jc w:val="right"/>
              <w:rPr>
                <w:rFonts w:ascii="Calibri" w:hAnsi="Calibri" w:cs="Calibri"/>
                <w:color w:val="000000"/>
                <w:sz w:val="20"/>
                <w:szCs w:val="20"/>
              </w:rPr>
            </w:pPr>
            <w:r w:rsidRPr="007A35DA">
              <w:rPr>
                <w:color w:val="000000"/>
                <w:sz w:val="20"/>
                <w:szCs w:val="20"/>
              </w:rPr>
              <w:t>-0.0204</w:t>
            </w:r>
          </w:p>
        </w:tc>
        <w:tc>
          <w:tcPr>
            <w:tcW w:w="1051" w:type="dxa"/>
            <w:vAlign w:val="center"/>
          </w:tcPr>
          <w:p w14:paraId="55256884" w14:textId="3BC0A02B" w:rsidR="00131E4E" w:rsidRPr="007A35DA" w:rsidRDefault="00131E4E" w:rsidP="00131E4E">
            <w:pPr>
              <w:spacing w:after="0" w:line="240" w:lineRule="auto"/>
              <w:jc w:val="right"/>
              <w:rPr>
                <w:rFonts w:ascii="Calibri" w:hAnsi="Calibri" w:cs="Calibri"/>
                <w:color w:val="000000"/>
                <w:sz w:val="20"/>
                <w:szCs w:val="20"/>
              </w:rPr>
            </w:pPr>
            <w:r w:rsidRPr="007A35DA">
              <w:rPr>
                <w:color w:val="000000"/>
                <w:sz w:val="20"/>
                <w:szCs w:val="20"/>
              </w:rPr>
              <w:t>0.007</w:t>
            </w:r>
          </w:p>
        </w:tc>
        <w:tc>
          <w:tcPr>
            <w:tcW w:w="1792" w:type="dxa"/>
            <w:vAlign w:val="bottom"/>
          </w:tcPr>
          <w:p w14:paraId="445A4B8C" w14:textId="58BE2144" w:rsidR="00131E4E" w:rsidRPr="007A35DA" w:rsidRDefault="00024739" w:rsidP="00131E4E">
            <w:pPr>
              <w:spacing w:after="0" w:line="240" w:lineRule="auto"/>
              <w:jc w:val="right"/>
              <w:rPr>
                <w:rFonts w:ascii="Calibri" w:hAnsi="Calibri" w:cs="Calibri"/>
                <w:color w:val="000000"/>
                <w:sz w:val="20"/>
                <w:szCs w:val="20"/>
              </w:rPr>
            </w:pPr>
            <w:r w:rsidRPr="007A35DA">
              <w:rPr>
                <w:rFonts w:ascii="Calibri" w:hAnsi="Calibri" w:cs="Calibri"/>
                <w:color w:val="000000"/>
                <w:sz w:val="20"/>
                <w:szCs w:val="20"/>
              </w:rPr>
              <w:t>-0.0319, -0.00</w:t>
            </w:r>
            <w:r w:rsidR="00FB07BB" w:rsidRPr="007A35DA">
              <w:rPr>
                <w:rFonts w:ascii="Calibri" w:hAnsi="Calibri" w:cs="Calibri"/>
                <w:color w:val="000000"/>
                <w:sz w:val="20"/>
                <w:szCs w:val="20"/>
              </w:rPr>
              <w:t>89</w:t>
            </w:r>
          </w:p>
        </w:tc>
      </w:tr>
      <w:tr w:rsidR="00131E4E" w:rsidRPr="007A35DA" w14:paraId="40E5089B" w14:textId="228A1D6C" w:rsidTr="00C13C4C">
        <w:trPr>
          <w:gridAfter w:val="2"/>
          <w:wAfter w:w="14" w:type="dxa"/>
          <w:trHeight w:val="300"/>
        </w:trPr>
        <w:tc>
          <w:tcPr>
            <w:tcW w:w="2379" w:type="dxa"/>
            <w:shd w:val="clear" w:color="auto" w:fill="auto"/>
            <w:vAlign w:val="center"/>
            <w:hideMark/>
          </w:tcPr>
          <w:p w14:paraId="10F63316" w14:textId="2654A75D" w:rsidR="00131E4E" w:rsidRPr="007A35DA" w:rsidRDefault="00131E4E" w:rsidP="00131E4E">
            <w:pPr>
              <w:spacing w:after="0" w:line="240" w:lineRule="auto"/>
              <w:rPr>
                <w:rFonts w:ascii="Calibri" w:eastAsia="Times New Roman" w:hAnsi="Calibri" w:cs="Calibri"/>
                <w:color w:val="000000"/>
                <w:sz w:val="20"/>
                <w:szCs w:val="20"/>
                <w:lang w:eastAsia="en-GB"/>
              </w:rPr>
            </w:pPr>
            <w:proofErr w:type="spellStart"/>
            <w:r w:rsidRPr="007A35DA">
              <w:rPr>
                <w:rFonts w:ascii="Calibri" w:eastAsia="Times New Roman" w:hAnsi="Calibri" w:cs="Calibri"/>
                <w:color w:val="000000"/>
                <w:sz w:val="20"/>
                <w:szCs w:val="20"/>
                <w:lang w:eastAsia="en-GB"/>
              </w:rPr>
              <w:t>mrs</w:t>
            </w:r>
            <w:proofErr w:type="spellEnd"/>
            <w:r w:rsidRPr="007A35DA">
              <w:rPr>
                <w:rFonts w:ascii="Calibri" w:eastAsia="Times New Roman" w:hAnsi="Calibri" w:cs="Calibri"/>
                <w:color w:val="000000"/>
                <w:sz w:val="20"/>
                <w:szCs w:val="20"/>
                <w:lang w:eastAsia="en-GB"/>
              </w:rPr>
              <w:t xml:space="preserve"> 2 * Age at onset</w:t>
            </w:r>
            <w:r w:rsidR="00153818" w:rsidRPr="007A35DA">
              <w:rPr>
                <w:rFonts w:ascii="Calibri" w:eastAsia="Times New Roman" w:hAnsi="Calibri" w:cs="Calibri"/>
                <w:color w:val="000000"/>
                <w:sz w:val="20"/>
                <w:szCs w:val="20"/>
                <w:lang w:eastAsia="en-GB"/>
              </w:rPr>
              <w:t xml:space="preserve"> ¹</w:t>
            </w:r>
          </w:p>
        </w:tc>
        <w:tc>
          <w:tcPr>
            <w:tcW w:w="1006" w:type="dxa"/>
            <w:shd w:val="clear" w:color="auto" w:fill="auto"/>
            <w:vAlign w:val="center"/>
          </w:tcPr>
          <w:p w14:paraId="50128797" w14:textId="27A2A8F8" w:rsidR="00131E4E" w:rsidRPr="007A35DA" w:rsidRDefault="00131E4E" w:rsidP="00131E4E">
            <w:pPr>
              <w:spacing w:after="0" w:line="240" w:lineRule="auto"/>
              <w:jc w:val="right"/>
              <w:rPr>
                <w:rFonts w:ascii="Calibri" w:eastAsia="Times New Roman" w:hAnsi="Calibri" w:cs="Calibri"/>
                <w:color w:val="000000"/>
                <w:sz w:val="20"/>
                <w:szCs w:val="20"/>
                <w:lang w:eastAsia="en-GB"/>
              </w:rPr>
            </w:pPr>
            <w:r w:rsidRPr="007A35DA">
              <w:rPr>
                <w:rFonts w:ascii="Calibri" w:eastAsia="Times New Roman" w:hAnsi="Calibri" w:cs="Calibri"/>
                <w:color w:val="000000"/>
                <w:sz w:val="20"/>
                <w:szCs w:val="20"/>
                <w:lang w:eastAsia="en-GB"/>
              </w:rPr>
              <w:t>-</w:t>
            </w:r>
          </w:p>
        </w:tc>
        <w:tc>
          <w:tcPr>
            <w:tcW w:w="939" w:type="dxa"/>
            <w:shd w:val="clear" w:color="auto" w:fill="auto"/>
            <w:vAlign w:val="center"/>
          </w:tcPr>
          <w:p w14:paraId="71E89953" w14:textId="214CC14A" w:rsidR="00131E4E" w:rsidRPr="007A35DA" w:rsidRDefault="00131E4E" w:rsidP="00131E4E">
            <w:pPr>
              <w:spacing w:after="0" w:line="240" w:lineRule="auto"/>
              <w:jc w:val="right"/>
              <w:rPr>
                <w:rFonts w:ascii="Calibri" w:eastAsia="Times New Roman" w:hAnsi="Calibri" w:cs="Calibri"/>
                <w:color w:val="000000"/>
                <w:sz w:val="20"/>
                <w:szCs w:val="20"/>
                <w:lang w:eastAsia="en-GB"/>
              </w:rPr>
            </w:pPr>
            <w:r w:rsidRPr="007A35DA">
              <w:rPr>
                <w:rFonts w:ascii="Calibri" w:eastAsia="Times New Roman" w:hAnsi="Calibri" w:cs="Calibri"/>
                <w:color w:val="000000"/>
                <w:sz w:val="20"/>
                <w:szCs w:val="20"/>
                <w:lang w:eastAsia="en-GB"/>
              </w:rPr>
              <w:t>-</w:t>
            </w:r>
          </w:p>
        </w:tc>
        <w:tc>
          <w:tcPr>
            <w:tcW w:w="1792" w:type="dxa"/>
            <w:shd w:val="clear" w:color="auto" w:fill="auto"/>
            <w:vAlign w:val="center"/>
          </w:tcPr>
          <w:p w14:paraId="34D094B1" w14:textId="2E5C959A" w:rsidR="00131E4E" w:rsidRPr="007A35DA" w:rsidRDefault="00131E4E" w:rsidP="00131E4E">
            <w:pPr>
              <w:spacing w:after="0" w:line="240" w:lineRule="auto"/>
              <w:jc w:val="right"/>
              <w:rPr>
                <w:rFonts w:ascii="Calibri" w:eastAsia="Times New Roman" w:hAnsi="Calibri" w:cs="Calibri"/>
                <w:color w:val="000000"/>
                <w:sz w:val="20"/>
                <w:szCs w:val="20"/>
                <w:lang w:eastAsia="en-GB"/>
              </w:rPr>
            </w:pPr>
            <w:r w:rsidRPr="007A35DA">
              <w:rPr>
                <w:rFonts w:ascii="Calibri" w:eastAsia="Times New Roman" w:hAnsi="Calibri" w:cs="Calibri"/>
                <w:color w:val="000000"/>
                <w:sz w:val="20"/>
                <w:szCs w:val="20"/>
                <w:lang w:eastAsia="en-GB"/>
              </w:rPr>
              <w:t>-</w:t>
            </w:r>
          </w:p>
        </w:tc>
        <w:tc>
          <w:tcPr>
            <w:tcW w:w="1070" w:type="dxa"/>
            <w:gridSpan w:val="2"/>
            <w:vAlign w:val="center"/>
          </w:tcPr>
          <w:p w14:paraId="60A652C0" w14:textId="4DB78A04" w:rsidR="00131E4E" w:rsidRPr="007A35DA" w:rsidRDefault="00131E4E" w:rsidP="00131E4E">
            <w:pPr>
              <w:spacing w:after="0" w:line="240" w:lineRule="auto"/>
              <w:jc w:val="right"/>
              <w:rPr>
                <w:rFonts w:ascii="Calibri" w:hAnsi="Calibri" w:cs="Calibri"/>
                <w:color w:val="000000"/>
                <w:sz w:val="20"/>
                <w:szCs w:val="20"/>
              </w:rPr>
            </w:pPr>
            <w:r w:rsidRPr="007A35DA">
              <w:rPr>
                <w:color w:val="000000"/>
                <w:sz w:val="20"/>
                <w:szCs w:val="20"/>
              </w:rPr>
              <w:t>-0.0259</w:t>
            </w:r>
          </w:p>
        </w:tc>
        <w:tc>
          <w:tcPr>
            <w:tcW w:w="1051" w:type="dxa"/>
            <w:vAlign w:val="center"/>
          </w:tcPr>
          <w:p w14:paraId="39CC1BA5" w14:textId="6841247B" w:rsidR="00131E4E" w:rsidRPr="007A35DA" w:rsidRDefault="00131E4E" w:rsidP="00131E4E">
            <w:pPr>
              <w:spacing w:after="0" w:line="240" w:lineRule="auto"/>
              <w:jc w:val="right"/>
              <w:rPr>
                <w:rFonts w:ascii="Calibri" w:hAnsi="Calibri" w:cs="Calibri"/>
                <w:color w:val="000000"/>
                <w:sz w:val="20"/>
                <w:szCs w:val="20"/>
              </w:rPr>
            </w:pPr>
            <w:r w:rsidRPr="007A35DA">
              <w:rPr>
                <w:color w:val="000000"/>
                <w:sz w:val="20"/>
                <w:szCs w:val="20"/>
              </w:rPr>
              <w:t>0.0069</w:t>
            </w:r>
          </w:p>
        </w:tc>
        <w:tc>
          <w:tcPr>
            <w:tcW w:w="1792" w:type="dxa"/>
            <w:vAlign w:val="bottom"/>
          </w:tcPr>
          <w:p w14:paraId="2797900D" w14:textId="2C0B87BB" w:rsidR="00131E4E" w:rsidRPr="007A35DA" w:rsidRDefault="00FB07BB" w:rsidP="00131E4E">
            <w:pPr>
              <w:spacing w:after="0" w:line="240" w:lineRule="auto"/>
              <w:jc w:val="right"/>
              <w:rPr>
                <w:rFonts w:ascii="Calibri" w:hAnsi="Calibri" w:cs="Calibri"/>
                <w:color w:val="000000"/>
                <w:sz w:val="20"/>
                <w:szCs w:val="20"/>
              </w:rPr>
            </w:pPr>
            <w:r w:rsidRPr="007A35DA">
              <w:rPr>
                <w:rFonts w:ascii="Calibri" w:hAnsi="Calibri" w:cs="Calibri"/>
                <w:color w:val="000000"/>
                <w:sz w:val="20"/>
                <w:szCs w:val="20"/>
              </w:rPr>
              <w:t>-0.0372, -0.0145</w:t>
            </w:r>
          </w:p>
        </w:tc>
      </w:tr>
      <w:tr w:rsidR="00131E4E" w:rsidRPr="007A35DA" w14:paraId="339DC67B" w14:textId="76DE78A5" w:rsidTr="00C13C4C">
        <w:trPr>
          <w:gridAfter w:val="2"/>
          <w:wAfter w:w="14" w:type="dxa"/>
          <w:trHeight w:val="300"/>
        </w:trPr>
        <w:tc>
          <w:tcPr>
            <w:tcW w:w="2379" w:type="dxa"/>
            <w:shd w:val="clear" w:color="auto" w:fill="auto"/>
            <w:vAlign w:val="center"/>
            <w:hideMark/>
          </w:tcPr>
          <w:p w14:paraId="2D87EA47" w14:textId="18A568DD" w:rsidR="00131E4E" w:rsidRPr="007A35DA" w:rsidRDefault="00131E4E" w:rsidP="00131E4E">
            <w:pPr>
              <w:spacing w:after="0" w:line="240" w:lineRule="auto"/>
              <w:rPr>
                <w:rFonts w:ascii="Calibri" w:eastAsia="Times New Roman" w:hAnsi="Calibri" w:cs="Calibri"/>
                <w:color w:val="000000"/>
                <w:sz w:val="20"/>
                <w:szCs w:val="20"/>
                <w:lang w:eastAsia="en-GB"/>
              </w:rPr>
            </w:pPr>
            <w:proofErr w:type="spellStart"/>
            <w:r w:rsidRPr="007A35DA">
              <w:rPr>
                <w:rFonts w:ascii="Calibri" w:eastAsia="Times New Roman" w:hAnsi="Calibri" w:cs="Calibri"/>
                <w:color w:val="000000"/>
                <w:sz w:val="20"/>
                <w:szCs w:val="20"/>
                <w:lang w:eastAsia="en-GB"/>
              </w:rPr>
              <w:t>mrs</w:t>
            </w:r>
            <w:proofErr w:type="spellEnd"/>
            <w:r w:rsidRPr="007A35DA">
              <w:rPr>
                <w:rFonts w:ascii="Calibri" w:eastAsia="Times New Roman" w:hAnsi="Calibri" w:cs="Calibri"/>
                <w:color w:val="000000"/>
                <w:sz w:val="20"/>
                <w:szCs w:val="20"/>
                <w:lang w:eastAsia="en-GB"/>
              </w:rPr>
              <w:t xml:space="preserve"> 3 * Age at onset</w:t>
            </w:r>
            <w:r w:rsidR="00153818" w:rsidRPr="007A35DA">
              <w:rPr>
                <w:rFonts w:ascii="Calibri" w:eastAsia="Times New Roman" w:hAnsi="Calibri" w:cs="Calibri"/>
                <w:color w:val="000000"/>
                <w:sz w:val="20"/>
                <w:szCs w:val="20"/>
                <w:lang w:eastAsia="en-GB"/>
              </w:rPr>
              <w:t xml:space="preserve"> ¹</w:t>
            </w:r>
          </w:p>
        </w:tc>
        <w:tc>
          <w:tcPr>
            <w:tcW w:w="1006" w:type="dxa"/>
            <w:shd w:val="clear" w:color="auto" w:fill="auto"/>
            <w:vAlign w:val="center"/>
          </w:tcPr>
          <w:p w14:paraId="52337E5C" w14:textId="2638F887" w:rsidR="00131E4E" w:rsidRPr="007A35DA" w:rsidRDefault="00131E4E" w:rsidP="00131E4E">
            <w:pPr>
              <w:spacing w:after="0" w:line="240" w:lineRule="auto"/>
              <w:jc w:val="right"/>
              <w:rPr>
                <w:rFonts w:ascii="Calibri" w:eastAsia="Times New Roman" w:hAnsi="Calibri" w:cs="Calibri"/>
                <w:color w:val="000000"/>
                <w:sz w:val="20"/>
                <w:szCs w:val="20"/>
                <w:lang w:eastAsia="en-GB"/>
              </w:rPr>
            </w:pPr>
            <w:r w:rsidRPr="007A35DA">
              <w:rPr>
                <w:rFonts w:ascii="Calibri" w:eastAsia="Times New Roman" w:hAnsi="Calibri" w:cs="Calibri"/>
                <w:color w:val="000000"/>
                <w:sz w:val="20"/>
                <w:szCs w:val="20"/>
                <w:lang w:eastAsia="en-GB"/>
              </w:rPr>
              <w:t>-</w:t>
            </w:r>
          </w:p>
        </w:tc>
        <w:tc>
          <w:tcPr>
            <w:tcW w:w="939" w:type="dxa"/>
            <w:shd w:val="clear" w:color="auto" w:fill="auto"/>
            <w:vAlign w:val="center"/>
          </w:tcPr>
          <w:p w14:paraId="1C835DB9" w14:textId="3DC09CD1" w:rsidR="00131E4E" w:rsidRPr="007A35DA" w:rsidRDefault="00131E4E" w:rsidP="00131E4E">
            <w:pPr>
              <w:spacing w:after="0" w:line="240" w:lineRule="auto"/>
              <w:jc w:val="right"/>
              <w:rPr>
                <w:rFonts w:ascii="Calibri" w:eastAsia="Times New Roman" w:hAnsi="Calibri" w:cs="Calibri"/>
                <w:color w:val="000000"/>
                <w:sz w:val="20"/>
                <w:szCs w:val="20"/>
                <w:lang w:eastAsia="en-GB"/>
              </w:rPr>
            </w:pPr>
            <w:r w:rsidRPr="007A35DA">
              <w:rPr>
                <w:rFonts w:ascii="Calibri" w:eastAsia="Times New Roman" w:hAnsi="Calibri" w:cs="Calibri"/>
                <w:color w:val="000000"/>
                <w:sz w:val="20"/>
                <w:szCs w:val="20"/>
                <w:lang w:eastAsia="en-GB"/>
              </w:rPr>
              <w:t>-</w:t>
            </w:r>
          </w:p>
        </w:tc>
        <w:tc>
          <w:tcPr>
            <w:tcW w:w="1792" w:type="dxa"/>
            <w:shd w:val="clear" w:color="auto" w:fill="auto"/>
            <w:vAlign w:val="center"/>
          </w:tcPr>
          <w:p w14:paraId="5C188471" w14:textId="30E3EF04" w:rsidR="00131E4E" w:rsidRPr="007A35DA" w:rsidRDefault="00131E4E" w:rsidP="00131E4E">
            <w:pPr>
              <w:spacing w:after="0" w:line="240" w:lineRule="auto"/>
              <w:jc w:val="right"/>
              <w:rPr>
                <w:rFonts w:ascii="Calibri" w:eastAsia="Times New Roman" w:hAnsi="Calibri" w:cs="Calibri"/>
                <w:color w:val="000000"/>
                <w:sz w:val="20"/>
                <w:szCs w:val="20"/>
                <w:lang w:eastAsia="en-GB"/>
              </w:rPr>
            </w:pPr>
            <w:r w:rsidRPr="007A35DA">
              <w:rPr>
                <w:rFonts w:ascii="Calibri" w:eastAsia="Times New Roman" w:hAnsi="Calibri" w:cs="Calibri"/>
                <w:color w:val="000000"/>
                <w:sz w:val="20"/>
                <w:szCs w:val="20"/>
                <w:lang w:eastAsia="en-GB"/>
              </w:rPr>
              <w:t>-</w:t>
            </w:r>
          </w:p>
        </w:tc>
        <w:tc>
          <w:tcPr>
            <w:tcW w:w="1070" w:type="dxa"/>
            <w:gridSpan w:val="2"/>
            <w:vAlign w:val="center"/>
          </w:tcPr>
          <w:p w14:paraId="1E81A338" w14:textId="694BEDD3" w:rsidR="00131E4E" w:rsidRPr="007A35DA" w:rsidRDefault="00131E4E" w:rsidP="00131E4E">
            <w:pPr>
              <w:spacing w:after="0" w:line="240" w:lineRule="auto"/>
              <w:jc w:val="right"/>
              <w:rPr>
                <w:rFonts w:ascii="Calibri" w:hAnsi="Calibri" w:cs="Calibri"/>
                <w:color w:val="000000"/>
                <w:sz w:val="20"/>
                <w:szCs w:val="20"/>
              </w:rPr>
            </w:pPr>
            <w:r w:rsidRPr="007A35DA">
              <w:rPr>
                <w:color w:val="000000"/>
                <w:sz w:val="20"/>
                <w:szCs w:val="20"/>
              </w:rPr>
              <w:t>-0.0256</w:t>
            </w:r>
          </w:p>
        </w:tc>
        <w:tc>
          <w:tcPr>
            <w:tcW w:w="1051" w:type="dxa"/>
            <w:vAlign w:val="center"/>
          </w:tcPr>
          <w:p w14:paraId="6B9FC770" w14:textId="22FDB151" w:rsidR="00131E4E" w:rsidRPr="007A35DA" w:rsidRDefault="00131E4E" w:rsidP="00131E4E">
            <w:pPr>
              <w:spacing w:after="0" w:line="240" w:lineRule="auto"/>
              <w:jc w:val="right"/>
              <w:rPr>
                <w:rFonts w:ascii="Calibri" w:hAnsi="Calibri" w:cs="Calibri"/>
                <w:color w:val="000000"/>
                <w:sz w:val="20"/>
                <w:szCs w:val="20"/>
              </w:rPr>
            </w:pPr>
            <w:r w:rsidRPr="007A35DA">
              <w:rPr>
                <w:color w:val="000000"/>
                <w:sz w:val="20"/>
                <w:szCs w:val="20"/>
              </w:rPr>
              <w:t>0.007</w:t>
            </w:r>
          </w:p>
        </w:tc>
        <w:tc>
          <w:tcPr>
            <w:tcW w:w="1792" w:type="dxa"/>
            <w:vAlign w:val="bottom"/>
          </w:tcPr>
          <w:p w14:paraId="4FC73DFD" w14:textId="0D0D6285" w:rsidR="00131E4E" w:rsidRPr="007A35DA" w:rsidRDefault="00865D5C" w:rsidP="00131E4E">
            <w:pPr>
              <w:spacing w:after="0" w:line="240" w:lineRule="auto"/>
              <w:jc w:val="right"/>
              <w:rPr>
                <w:rFonts w:ascii="Calibri" w:hAnsi="Calibri" w:cs="Calibri"/>
                <w:color w:val="000000"/>
                <w:sz w:val="20"/>
                <w:szCs w:val="20"/>
              </w:rPr>
            </w:pPr>
            <w:r w:rsidRPr="007A35DA">
              <w:rPr>
                <w:rFonts w:ascii="Calibri" w:hAnsi="Calibri" w:cs="Calibri"/>
                <w:color w:val="000000"/>
                <w:sz w:val="20"/>
                <w:szCs w:val="20"/>
              </w:rPr>
              <w:t>-0.0372, -0.0142</w:t>
            </w:r>
          </w:p>
        </w:tc>
      </w:tr>
      <w:tr w:rsidR="00131E4E" w:rsidRPr="007A35DA" w14:paraId="4DE58997" w14:textId="731A4B8F" w:rsidTr="00C13C4C">
        <w:trPr>
          <w:gridAfter w:val="2"/>
          <w:wAfter w:w="14" w:type="dxa"/>
          <w:trHeight w:val="300"/>
        </w:trPr>
        <w:tc>
          <w:tcPr>
            <w:tcW w:w="2379" w:type="dxa"/>
            <w:shd w:val="clear" w:color="auto" w:fill="auto"/>
            <w:vAlign w:val="center"/>
            <w:hideMark/>
          </w:tcPr>
          <w:p w14:paraId="46D437F2" w14:textId="1CB4A41A" w:rsidR="00131E4E" w:rsidRPr="007A35DA" w:rsidRDefault="00131E4E" w:rsidP="00131E4E">
            <w:pPr>
              <w:spacing w:after="0" w:line="240" w:lineRule="auto"/>
              <w:rPr>
                <w:rFonts w:ascii="Calibri" w:eastAsia="Times New Roman" w:hAnsi="Calibri" w:cs="Calibri"/>
                <w:color w:val="000000"/>
                <w:sz w:val="20"/>
                <w:szCs w:val="20"/>
                <w:lang w:eastAsia="en-GB"/>
              </w:rPr>
            </w:pPr>
            <w:proofErr w:type="spellStart"/>
            <w:r w:rsidRPr="007A35DA">
              <w:rPr>
                <w:rFonts w:ascii="Calibri" w:eastAsia="Times New Roman" w:hAnsi="Calibri" w:cs="Calibri"/>
                <w:color w:val="000000"/>
                <w:sz w:val="20"/>
                <w:szCs w:val="20"/>
                <w:lang w:eastAsia="en-GB"/>
              </w:rPr>
              <w:t>mrs</w:t>
            </w:r>
            <w:proofErr w:type="spellEnd"/>
            <w:r w:rsidRPr="007A35DA">
              <w:rPr>
                <w:rFonts w:ascii="Calibri" w:eastAsia="Times New Roman" w:hAnsi="Calibri" w:cs="Calibri"/>
                <w:color w:val="000000"/>
                <w:sz w:val="20"/>
                <w:szCs w:val="20"/>
                <w:lang w:eastAsia="en-GB"/>
              </w:rPr>
              <w:t xml:space="preserve"> 4 * Age at onset</w:t>
            </w:r>
            <w:r w:rsidR="00153818" w:rsidRPr="007A35DA">
              <w:rPr>
                <w:rFonts w:ascii="Calibri" w:eastAsia="Times New Roman" w:hAnsi="Calibri" w:cs="Calibri"/>
                <w:color w:val="000000"/>
                <w:sz w:val="20"/>
                <w:szCs w:val="20"/>
                <w:lang w:eastAsia="en-GB"/>
              </w:rPr>
              <w:t xml:space="preserve"> ¹</w:t>
            </w:r>
          </w:p>
        </w:tc>
        <w:tc>
          <w:tcPr>
            <w:tcW w:w="1006" w:type="dxa"/>
            <w:shd w:val="clear" w:color="auto" w:fill="auto"/>
            <w:vAlign w:val="center"/>
          </w:tcPr>
          <w:p w14:paraId="567321E5" w14:textId="72A322FD" w:rsidR="00131E4E" w:rsidRPr="007A35DA" w:rsidRDefault="00131E4E" w:rsidP="00131E4E">
            <w:pPr>
              <w:spacing w:after="0" w:line="240" w:lineRule="auto"/>
              <w:jc w:val="right"/>
              <w:rPr>
                <w:rFonts w:ascii="Calibri" w:eastAsia="Times New Roman" w:hAnsi="Calibri" w:cs="Calibri"/>
                <w:color w:val="000000"/>
                <w:sz w:val="20"/>
                <w:szCs w:val="20"/>
                <w:lang w:eastAsia="en-GB"/>
              </w:rPr>
            </w:pPr>
            <w:r w:rsidRPr="007A35DA">
              <w:rPr>
                <w:rFonts w:ascii="Calibri" w:eastAsia="Times New Roman" w:hAnsi="Calibri" w:cs="Calibri"/>
                <w:color w:val="000000"/>
                <w:sz w:val="20"/>
                <w:szCs w:val="20"/>
                <w:lang w:eastAsia="en-GB"/>
              </w:rPr>
              <w:t>-</w:t>
            </w:r>
          </w:p>
        </w:tc>
        <w:tc>
          <w:tcPr>
            <w:tcW w:w="939" w:type="dxa"/>
            <w:shd w:val="clear" w:color="auto" w:fill="auto"/>
            <w:vAlign w:val="center"/>
          </w:tcPr>
          <w:p w14:paraId="19E82603" w14:textId="14CAA8F6" w:rsidR="00131E4E" w:rsidRPr="007A35DA" w:rsidRDefault="00131E4E" w:rsidP="00131E4E">
            <w:pPr>
              <w:spacing w:after="0" w:line="240" w:lineRule="auto"/>
              <w:jc w:val="right"/>
              <w:rPr>
                <w:rFonts w:ascii="Calibri" w:eastAsia="Times New Roman" w:hAnsi="Calibri" w:cs="Calibri"/>
                <w:color w:val="000000"/>
                <w:sz w:val="20"/>
                <w:szCs w:val="20"/>
                <w:lang w:eastAsia="en-GB"/>
              </w:rPr>
            </w:pPr>
            <w:r w:rsidRPr="007A35DA">
              <w:rPr>
                <w:rFonts w:ascii="Calibri" w:eastAsia="Times New Roman" w:hAnsi="Calibri" w:cs="Calibri"/>
                <w:color w:val="000000"/>
                <w:sz w:val="20"/>
                <w:szCs w:val="20"/>
                <w:lang w:eastAsia="en-GB"/>
              </w:rPr>
              <w:t>-</w:t>
            </w:r>
          </w:p>
        </w:tc>
        <w:tc>
          <w:tcPr>
            <w:tcW w:w="1792" w:type="dxa"/>
            <w:shd w:val="clear" w:color="auto" w:fill="auto"/>
            <w:vAlign w:val="center"/>
          </w:tcPr>
          <w:p w14:paraId="41073E15" w14:textId="33553D87" w:rsidR="00131E4E" w:rsidRPr="007A35DA" w:rsidRDefault="00131E4E" w:rsidP="00131E4E">
            <w:pPr>
              <w:spacing w:after="0" w:line="240" w:lineRule="auto"/>
              <w:jc w:val="right"/>
              <w:rPr>
                <w:rFonts w:ascii="Calibri" w:eastAsia="Times New Roman" w:hAnsi="Calibri" w:cs="Calibri"/>
                <w:color w:val="000000"/>
                <w:sz w:val="20"/>
                <w:szCs w:val="20"/>
                <w:lang w:eastAsia="en-GB"/>
              </w:rPr>
            </w:pPr>
            <w:r w:rsidRPr="007A35DA">
              <w:rPr>
                <w:rFonts w:ascii="Calibri" w:eastAsia="Times New Roman" w:hAnsi="Calibri" w:cs="Calibri"/>
                <w:color w:val="000000"/>
                <w:sz w:val="20"/>
                <w:szCs w:val="20"/>
                <w:lang w:eastAsia="en-GB"/>
              </w:rPr>
              <w:t>-</w:t>
            </w:r>
          </w:p>
        </w:tc>
        <w:tc>
          <w:tcPr>
            <w:tcW w:w="1070" w:type="dxa"/>
            <w:gridSpan w:val="2"/>
            <w:vAlign w:val="center"/>
          </w:tcPr>
          <w:p w14:paraId="181D89A6" w14:textId="79402AC8" w:rsidR="00131E4E" w:rsidRPr="007A35DA" w:rsidRDefault="00131E4E" w:rsidP="00131E4E">
            <w:pPr>
              <w:spacing w:after="0" w:line="240" w:lineRule="auto"/>
              <w:jc w:val="right"/>
              <w:rPr>
                <w:rFonts w:ascii="Calibri" w:hAnsi="Calibri" w:cs="Calibri"/>
                <w:color w:val="000000"/>
                <w:sz w:val="20"/>
                <w:szCs w:val="20"/>
              </w:rPr>
            </w:pPr>
            <w:r w:rsidRPr="007A35DA">
              <w:rPr>
                <w:color w:val="000000"/>
                <w:sz w:val="20"/>
                <w:szCs w:val="20"/>
              </w:rPr>
              <w:t>-0.0313</w:t>
            </w:r>
          </w:p>
        </w:tc>
        <w:tc>
          <w:tcPr>
            <w:tcW w:w="1051" w:type="dxa"/>
            <w:vAlign w:val="center"/>
          </w:tcPr>
          <w:p w14:paraId="37C4CE7E" w14:textId="4261A2A7" w:rsidR="00131E4E" w:rsidRPr="007A35DA" w:rsidRDefault="00131E4E" w:rsidP="00131E4E">
            <w:pPr>
              <w:spacing w:after="0" w:line="240" w:lineRule="auto"/>
              <w:jc w:val="right"/>
              <w:rPr>
                <w:rFonts w:ascii="Calibri" w:hAnsi="Calibri" w:cs="Calibri"/>
                <w:color w:val="000000"/>
                <w:sz w:val="20"/>
                <w:szCs w:val="20"/>
              </w:rPr>
            </w:pPr>
            <w:r w:rsidRPr="007A35DA">
              <w:rPr>
                <w:color w:val="000000"/>
                <w:sz w:val="20"/>
                <w:szCs w:val="20"/>
              </w:rPr>
              <w:t>0.0078</w:t>
            </w:r>
          </w:p>
        </w:tc>
        <w:tc>
          <w:tcPr>
            <w:tcW w:w="1792" w:type="dxa"/>
            <w:vAlign w:val="bottom"/>
          </w:tcPr>
          <w:p w14:paraId="52D1940D" w14:textId="7547F0BB" w:rsidR="00131E4E" w:rsidRPr="007A35DA" w:rsidRDefault="00B35F5A" w:rsidP="00131E4E">
            <w:pPr>
              <w:spacing w:after="0" w:line="240" w:lineRule="auto"/>
              <w:jc w:val="right"/>
              <w:rPr>
                <w:rFonts w:ascii="Calibri" w:hAnsi="Calibri" w:cs="Calibri"/>
                <w:color w:val="000000"/>
                <w:sz w:val="20"/>
                <w:szCs w:val="20"/>
              </w:rPr>
            </w:pPr>
            <w:r w:rsidRPr="007A35DA">
              <w:rPr>
                <w:rFonts w:ascii="Calibri" w:hAnsi="Calibri" w:cs="Calibri"/>
                <w:color w:val="000000"/>
                <w:sz w:val="20"/>
                <w:szCs w:val="20"/>
              </w:rPr>
              <w:t>-0.0444, -0.0185</w:t>
            </w:r>
          </w:p>
        </w:tc>
      </w:tr>
      <w:tr w:rsidR="00131E4E" w:rsidRPr="007A35DA" w14:paraId="7D1F5034" w14:textId="7DD4216F" w:rsidTr="00C13C4C">
        <w:trPr>
          <w:gridAfter w:val="2"/>
          <w:wAfter w:w="14" w:type="dxa"/>
          <w:trHeight w:val="300"/>
        </w:trPr>
        <w:tc>
          <w:tcPr>
            <w:tcW w:w="2379" w:type="dxa"/>
            <w:shd w:val="clear" w:color="auto" w:fill="auto"/>
            <w:vAlign w:val="center"/>
            <w:hideMark/>
          </w:tcPr>
          <w:p w14:paraId="79DC3726" w14:textId="59084DAA" w:rsidR="00131E4E" w:rsidRPr="007A35DA" w:rsidRDefault="00131E4E" w:rsidP="00131E4E">
            <w:pPr>
              <w:spacing w:after="0" w:line="240" w:lineRule="auto"/>
              <w:rPr>
                <w:rFonts w:ascii="Calibri" w:eastAsia="Times New Roman" w:hAnsi="Calibri" w:cs="Calibri"/>
                <w:color w:val="000000"/>
                <w:sz w:val="20"/>
                <w:szCs w:val="20"/>
                <w:lang w:eastAsia="en-GB"/>
              </w:rPr>
            </w:pPr>
            <w:proofErr w:type="spellStart"/>
            <w:r w:rsidRPr="007A35DA">
              <w:rPr>
                <w:rFonts w:ascii="Calibri" w:eastAsia="Times New Roman" w:hAnsi="Calibri" w:cs="Calibri"/>
                <w:color w:val="000000"/>
                <w:sz w:val="20"/>
                <w:szCs w:val="20"/>
                <w:lang w:eastAsia="en-GB"/>
              </w:rPr>
              <w:t>mrs</w:t>
            </w:r>
            <w:proofErr w:type="spellEnd"/>
            <w:r w:rsidRPr="007A35DA">
              <w:rPr>
                <w:rFonts w:ascii="Calibri" w:eastAsia="Times New Roman" w:hAnsi="Calibri" w:cs="Calibri"/>
                <w:color w:val="000000"/>
                <w:sz w:val="20"/>
                <w:szCs w:val="20"/>
                <w:lang w:eastAsia="en-GB"/>
              </w:rPr>
              <w:t xml:space="preserve"> 5 * Age at onset</w:t>
            </w:r>
            <w:r w:rsidR="00153818" w:rsidRPr="007A35DA">
              <w:rPr>
                <w:rFonts w:ascii="Calibri" w:eastAsia="Times New Roman" w:hAnsi="Calibri" w:cs="Calibri"/>
                <w:color w:val="000000"/>
                <w:sz w:val="20"/>
                <w:szCs w:val="20"/>
                <w:lang w:eastAsia="en-GB"/>
              </w:rPr>
              <w:t xml:space="preserve"> ¹</w:t>
            </w:r>
          </w:p>
        </w:tc>
        <w:tc>
          <w:tcPr>
            <w:tcW w:w="1006" w:type="dxa"/>
            <w:shd w:val="clear" w:color="auto" w:fill="auto"/>
            <w:vAlign w:val="center"/>
          </w:tcPr>
          <w:p w14:paraId="103CB015" w14:textId="77823CD7" w:rsidR="00131E4E" w:rsidRPr="007A35DA" w:rsidRDefault="00131E4E" w:rsidP="00131E4E">
            <w:pPr>
              <w:spacing w:after="0" w:line="240" w:lineRule="auto"/>
              <w:jc w:val="right"/>
              <w:rPr>
                <w:rFonts w:ascii="Calibri" w:eastAsia="Times New Roman" w:hAnsi="Calibri" w:cs="Calibri"/>
                <w:color w:val="000000"/>
                <w:sz w:val="20"/>
                <w:szCs w:val="20"/>
                <w:lang w:eastAsia="en-GB"/>
              </w:rPr>
            </w:pPr>
            <w:r w:rsidRPr="007A35DA">
              <w:rPr>
                <w:rFonts w:ascii="Calibri" w:eastAsia="Times New Roman" w:hAnsi="Calibri" w:cs="Calibri"/>
                <w:color w:val="000000"/>
                <w:sz w:val="20"/>
                <w:szCs w:val="20"/>
                <w:lang w:eastAsia="en-GB"/>
              </w:rPr>
              <w:t>-</w:t>
            </w:r>
          </w:p>
        </w:tc>
        <w:tc>
          <w:tcPr>
            <w:tcW w:w="939" w:type="dxa"/>
            <w:shd w:val="clear" w:color="auto" w:fill="auto"/>
            <w:vAlign w:val="center"/>
          </w:tcPr>
          <w:p w14:paraId="033BD21A" w14:textId="625C94F0" w:rsidR="00131E4E" w:rsidRPr="007A35DA" w:rsidRDefault="00131E4E" w:rsidP="00131E4E">
            <w:pPr>
              <w:spacing w:after="0" w:line="240" w:lineRule="auto"/>
              <w:jc w:val="right"/>
              <w:rPr>
                <w:rFonts w:ascii="Calibri" w:eastAsia="Times New Roman" w:hAnsi="Calibri" w:cs="Calibri"/>
                <w:color w:val="000000"/>
                <w:sz w:val="20"/>
                <w:szCs w:val="20"/>
                <w:lang w:eastAsia="en-GB"/>
              </w:rPr>
            </w:pPr>
            <w:r w:rsidRPr="007A35DA">
              <w:rPr>
                <w:rFonts w:ascii="Calibri" w:eastAsia="Times New Roman" w:hAnsi="Calibri" w:cs="Calibri"/>
                <w:color w:val="000000"/>
                <w:sz w:val="20"/>
                <w:szCs w:val="20"/>
                <w:lang w:eastAsia="en-GB"/>
              </w:rPr>
              <w:t>-</w:t>
            </w:r>
          </w:p>
        </w:tc>
        <w:tc>
          <w:tcPr>
            <w:tcW w:w="1792" w:type="dxa"/>
            <w:shd w:val="clear" w:color="auto" w:fill="auto"/>
            <w:vAlign w:val="center"/>
          </w:tcPr>
          <w:p w14:paraId="29C4C752" w14:textId="68262C0C" w:rsidR="00131E4E" w:rsidRPr="007A35DA" w:rsidRDefault="00131E4E" w:rsidP="00131E4E">
            <w:pPr>
              <w:spacing w:after="0" w:line="240" w:lineRule="auto"/>
              <w:jc w:val="right"/>
              <w:rPr>
                <w:rFonts w:ascii="Calibri" w:eastAsia="Times New Roman" w:hAnsi="Calibri" w:cs="Calibri"/>
                <w:color w:val="000000"/>
                <w:sz w:val="20"/>
                <w:szCs w:val="20"/>
                <w:lang w:eastAsia="en-GB"/>
              </w:rPr>
            </w:pPr>
            <w:r w:rsidRPr="007A35DA">
              <w:rPr>
                <w:rFonts w:ascii="Calibri" w:eastAsia="Times New Roman" w:hAnsi="Calibri" w:cs="Calibri"/>
                <w:color w:val="000000"/>
                <w:sz w:val="20"/>
                <w:szCs w:val="20"/>
                <w:lang w:eastAsia="en-GB"/>
              </w:rPr>
              <w:t>-</w:t>
            </w:r>
          </w:p>
        </w:tc>
        <w:tc>
          <w:tcPr>
            <w:tcW w:w="1070" w:type="dxa"/>
            <w:gridSpan w:val="2"/>
            <w:vAlign w:val="center"/>
          </w:tcPr>
          <w:p w14:paraId="3F6E18CC" w14:textId="2839C0D7" w:rsidR="00131E4E" w:rsidRPr="007A35DA" w:rsidRDefault="00131E4E" w:rsidP="00131E4E">
            <w:pPr>
              <w:spacing w:after="0" w:line="240" w:lineRule="auto"/>
              <w:jc w:val="right"/>
              <w:rPr>
                <w:rFonts w:ascii="Calibri" w:hAnsi="Calibri" w:cs="Calibri"/>
                <w:color w:val="000000"/>
                <w:sz w:val="20"/>
                <w:szCs w:val="20"/>
              </w:rPr>
            </w:pPr>
            <w:r w:rsidRPr="007A35DA">
              <w:rPr>
                <w:color w:val="000000"/>
                <w:sz w:val="20"/>
                <w:szCs w:val="20"/>
              </w:rPr>
              <w:t>-0.1386</w:t>
            </w:r>
          </w:p>
        </w:tc>
        <w:tc>
          <w:tcPr>
            <w:tcW w:w="1051" w:type="dxa"/>
            <w:vAlign w:val="center"/>
          </w:tcPr>
          <w:p w14:paraId="688EB87F" w14:textId="20E0BD1A" w:rsidR="00131E4E" w:rsidRPr="007A35DA" w:rsidRDefault="00131E4E" w:rsidP="00131E4E">
            <w:pPr>
              <w:spacing w:after="0" w:line="240" w:lineRule="auto"/>
              <w:jc w:val="right"/>
              <w:rPr>
                <w:rFonts w:ascii="Calibri" w:hAnsi="Calibri" w:cs="Calibri"/>
                <w:color w:val="000000"/>
                <w:sz w:val="20"/>
                <w:szCs w:val="20"/>
              </w:rPr>
            </w:pPr>
            <w:r w:rsidRPr="007A35DA">
              <w:rPr>
                <w:color w:val="000000"/>
                <w:sz w:val="20"/>
                <w:szCs w:val="20"/>
              </w:rPr>
              <w:t>0.0066</w:t>
            </w:r>
          </w:p>
        </w:tc>
        <w:tc>
          <w:tcPr>
            <w:tcW w:w="1792" w:type="dxa"/>
            <w:vAlign w:val="bottom"/>
          </w:tcPr>
          <w:p w14:paraId="4E1387EC" w14:textId="28B3CC9C" w:rsidR="00131E4E" w:rsidRPr="007A35DA" w:rsidRDefault="00BF0F03" w:rsidP="00131E4E">
            <w:pPr>
              <w:spacing w:after="0" w:line="240" w:lineRule="auto"/>
              <w:jc w:val="right"/>
              <w:rPr>
                <w:rFonts w:ascii="Calibri" w:hAnsi="Calibri" w:cs="Calibri"/>
                <w:color w:val="000000"/>
                <w:sz w:val="20"/>
                <w:szCs w:val="20"/>
              </w:rPr>
            </w:pPr>
            <w:r w:rsidRPr="007A35DA">
              <w:rPr>
                <w:rFonts w:ascii="Calibri" w:hAnsi="Calibri" w:cs="Calibri"/>
                <w:color w:val="000000"/>
                <w:sz w:val="20"/>
                <w:szCs w:val="20"/>
              </w:rPr>
              <w:t>-0.1494, -0.1277</w:t>
            </w:r>
          </w:p>
        </w:tc>
      </w:tr>
      <w:tr w:rsidR="00131E4E" w:rsidRPr="007A35DA" w14:paraId="5ADE8F81" w14:textId="728F215D" w:rsidTr="007243D8">
        <w:trPr>
          <w:gridAfter w:val="2"/>
          <w:wAfter w:w="14" w:type="dxa"/>
          <w:trHeight w:val="300"/>
        </w:trPr>
        <w:tc>
          <w:tcPr>
            <w:tcW w:w="2379" w:type="dxa"/>
            <w:shd w:val="clear" w:color="auto" w:fill="auto"/>
            <w:vAlign w:val="center"/>
            <w:hideMark/>
          </w:tcPr>
          <w:p w14:paraId="72CA9811" w14:textId="6DBFE817" w:rsidR="00131E4E" w:rsidRPr="007A35DA" w:rsidRDefault="00131E4E" w:rsidP="00131E4E">
            <w:pPr>
              <w:spacing w:after="0" w:line="240" w:lineRule="auto"/>
              <w:rPr>
                <w:rFonts w:ascii="Calibri" w:eastAsia="Times New Roman" w:hAnsi="Calibri" w:cs="Calibri"/>
                <w:color w:val="000000"/>
                <w:sz w:val="20"/>
                <w:szCs w:val="20"/>
                <w:lang w:eastAsia="en-GB"/>
              </w:rPr>
            </w:pPr>
            <w:proofErr w:type="spellStart"/>
            <w:r w:rsidRPr="007A35DA">
              <w:rPr>
                <w:rFonts w:ascii="Calibri" w:eastAsia="Times New Roman" w:hAnsi="Calibri" w:cs="Calibri"/>
                <w:color w:val="000000"/>
                <w:sz w:val="20"/>
                <w:szCs w:val="20"/>
                <w:lang w:eastAsia="en-GB"/>
              </w:rPr>
              <w:t>mrs</w:t>
            </w:r>
            <w:proofErr w:type="spellEnd"/>
            <w:r w:rsidRPr="007A35DA">
              <w:rPr>
                <w:rFonts w:ascii="Calibri" w:eastAsia="Times New Roman" w:hAnsi="Calibri" w:cs="Calibri"/>
                <w:color w:val="000000"/>
                <w:sz w:val="20"/>
                <w:szCs w:val="20"/>
                <w:lang w:eastAsia="en-GB"/>
              </w:rPr>
              <w:t xml:space="preserve"> 1</w:t>
            </w:r>
          </w:p>
        </w:tc>
        <w:tc>
          <w:tcPr>
            <w:tcW w:w="1006" w:type="dxa"/>
            <w:shd w:val="clear" w:color="auto" w:fill="auto"/>
            <w:vAlign w:val="center"/>
          </w:tcPr>
          <w:p w14:paraId="6138AA14" w14:textId="54A51B8E" w:rsidR="00131E4E" w:rsidRPr="007A35DA" w:rsidRDefault="00131E4E" w:rsidP="00131E4E">
            <w:pPr>
              <w:spacing w:after="0" w:line="240" w:lineRule="auto"/>
              <w:jc w:val="right"/>
              <w:rPr>
                <w:rFonts w:ascii="Calibri" w:eastAsia="Times New Roman" w:hAnsi="Calibri" w:cs="Calibri"/>
                <w:color w:val="000000"/>
                <w:sz w:val="20"/>
                <w:szCs w:val="20"/>
                <w:lang w:eastAsia="en-GB"/>
              </w:rPr>
            </w:pPr>
            <w:r w:rsidRPr="007A35DA">
              <w:rPr>
                <w:color w:val="000000"/>
                <w:sz w:val="20"/>
                <w:szCs w:val="20"/>
              </w:rPr>
              <w:t>0.9539</w:t>
            </w:r>
          </w:p>
        </w:tc>
        <w:tc>
          <w:tcPr>
            <w:tcW w:w="939" w:type="dxa"/>
            <w:shd w:val="clear" w:color="auto" w:fill="auto"/>
            <w:vAlign w:val="center"/>
          </w:tcPr>
          <w:p w14:paraId="55E19C4D" w14:textId="5D1EF3B8" w:rsidR="00131E4E" w:rsidRPr="007A35DA" w:rsidRDefault="00131E4E" w:rsidP="00131E4E">
            <w:pPr>
              <w:spacing w:after="0" w:line="240" w:lineRule="auto"/>
              <w:jc w:val="right"/>
              <w:rPr>
                <w:rFonts w:ascii="Calibri" w:eastAsia="Times New Roman" w:hAnsi="Calibri" w:cs="Calibri"/>
                <w:color w:val="000000"/>
                <w:sz w:val="20"/>
                <w:szCs w:val="20"/>
                <w:lang w:eastAsia="en-GB"/>
              </w:rPr>
            </w:pPr>
            <w:r w:rsidRPr="007A35DA">
              <w:rPr>
                <w:color w:val="000000"/>
                <w:sz w:val="20"/>
                <w:szCs w:val="20"/>
              </w:rPr>
              <w:t>0.6403</w:t>
            </w:r>
          </w:p>
        </w:tc>
        <w:tc>
          <w:tcPr>
            <w:tcW w:w="1792" w:type="dxa"/>
            <w:shd w:val="clear" w:color="auto" w:fill="auto"/>
            <w:vAlign w:val="bottom"/>
          </w:tcPr>
          <w:p w14:paraId="65D942A5" w14:textId="04874F53" w:rsidR="00131E4E" w:rsidRPr="007A35DA" w:rsidRDefault="00131E4E" w:rsidP="00131E4E">
            <w:pPr>
              <w:spacing w:after="0" w:line="240" w:lineRule="auto"/>
              <w:jc w:val="right"/>
              <w:rPr>
                <w:rFonts w:ascii="Calibri" w:eastAsia="Times New Roman" w:hAnsi="Calibri" w:cs="Calibri"/>
                <w:color w:val="000000"/>
                <w:sz w:val="20"/>
                <w:szCs w:val="20"/>
                <w:lang w:eastAsia="en-GB"/>
              </w:rPr>
            </w:pPr>
            <w:r w:rsidRPr="007A35DA">
              <w:rPr>
                <w:rFonts w:ascii="Calibri" w:hAnsi="Calibri" w:cs="Calibri"/>
                <w:color w:val="000000"/>
                <w:sz w:val="20"/>
                <w:szCs w:val="20"/>
              </w:rPr>
              <w:t>-0.3012, 2.2089</w:t>
            </w:r>
          </w:p>
        </w:tc>
        <w:tc>
          <w:tcPr>
            <w:tcW w:w="1070" w:type="dxa"/>
            <w:gridSpan w:val="2"/>
            <w:vAlign w:val="center"/>
          </w:tcPr>
          <w:p w14:paraId="0BCF225F" w14:textId="163D6052" w:rsidR="00131E4E" w:rsidRPr="007A35DA" w:rsidRDefault="00131E4E" w:rsidP="00131E4E">
            <w:pPr>
              <w:spacing w:after="0" w:line="240" w:lineRule="auto"/>
              <w:jc w:val="right"/>
              <w:rPr>
                <w:rFonts w:ascii="Calibri" w:hAnsi="Calibri" w:cs="Calibri"/>
                <w:color w:val="000000"/>
                <w:sz w:val="20"/>
                <w:szCs w:val="20"/>
              </w:rPr>
            </w:pPr>
            <w:r w:rsidRPr="007A35DA">
              <w:rPr>
                <w:color w:val="000000"/>
                <w:sz w:val="20"/>
                <w:szCs w:val="20"/>
              </w:rPr>
              <w:t>0.230</w:t>
            </w:r>
            <w:r w:rsidR="00AC5AC0">
              <w:rPr>
                <w:color w:val="000000"/>
                <w:sz w:val="20"/>
                <w:szCs w:val="20"/>
              </w:rPr>
              <w:t>1</w:t>
            </w:r>
          </w:p>
        </w:tc>
        <w:tc>
          <w:tcPr>
            <w:tcW w:w="1051" w:type="dxa"/>
            <w:vAlign w:val="center"/>
          </w:tcPr>
          <w:p w14:paraId="799202FF" w14:textId="637F7639" w:rsidR="00131E4E" w:rsidRPr="007A35DA" w:rsidRDefault="00131E4E" w:rsidP="00131E4E">
            <w:pPr>
              <w:spacing w:after="0" w:line="240" w:lineRule="auto"/>
              <w:jc w:val="right"/>
              <w:rPr>
                <w:rFonts w:ascii="Calibri" w:hAnsi="Calibri" w:cs="Calibri"/>
                <w:color w:val="000000"/>
                <w:sz w:val="20"/>
                <w:szCs w:val="20"/>
              </w:rPr>
            </w:pPr>
            <w:r w:rsidRPr="007A35DA">
              <w:rPr>
                <w:color w:val="000000"/>
                <w:sz w:val="20"/>
                <w:szCs w:val="20"/>
              </w:rPr>
              <w:t>0.0835</w:t>
            </w:r>
          </w:p>
        </w:tc>
        <w:tc>
          <w:tcPr>
            <w:tcW w:w="1792" w:type="dxa"/>
            <w:vAlign w:val="bottom"/>
          </w:tcPr>
          <w:p w14:paraId="77FFDBAD" w14:textId="7F5123E6" w:rsidR="00131E4E" w:rsidRPr="007A35DA" w:rsidRDefault="00633350" w:rsidP="00131E4E">
            <w:pPr>
              <w:spacing w:after="0" w:line="240" w:lineRule="auto"/>
              <w:jc w:val="right"/>
              <w:rPr>
                <w:rFonts w:ascii="Calibri" w:hAnsi="Calibri" w:cs="Calibri"/>
                <w:color w:val="000000"/>
                <w:sz w:val="20"/>
                <w:szCs w:val="20"/>
              </w:rPr>
            </w:pPr>
            <w:r w:rsidRPr="007A35DA">
              <w:rPr>
                <w:rFonts w:ascii="Calibri" w:hAnsi="Calibri" w:cs="Calibri"/>
                <w:color w:val="000000"/>
                <w:sz w:val="20"/>
                <w:szCs w:val="20"/>
              </w:rPr>
              <w:t>0.0920, 0.3646</w:t>
            </w:r>
          </w:p>
        </w:tc>
      </w:tr>
      <w:tr w:rsidR="00131E4E" w:rsidRPr="007A35DA" w14:paraId="4CF45123" w14:textId="56000592" w:rsidTr="007243D8">
        <w:trPr>
          <w:gridAfter w:val="2"/>
          <w:wAfter w:w="14" w:type="dxa"/>
          <w:trHeight w:val="300"/>
        </w:trPr>
        <w:tc>
          <w:tcPr>
            <w:tcW w:w="2379" w:type="dxa"/>
            <w:shd w:val="clear" w:color="auto" w:fill="auto"/>
            <w:vAlign w:val="center"/>
            <w:hideMark/>
          </w:tcPr>
          <w:p w14:paraId="2734205B" w14:textId="70B7CE79" w:rsidR="00131E4E" w:rsidRPr="007A35DA" w:rsidRDefault="00131E4E" w:rsidP="00131E4E">
            <w:pPr>
              <w:spacing w:after="0" w:line="240" w:lineRule="auto"/>
              <w:rPr>
                <w:rFonts w:ascii="Calibri" w:eastAsia="Times New Roman" w:hAnsi="Calibri" w:cs="Calibri"/>
                <w:color w:val="000000"/>
                <w:sz w:val="20"/>
                <w:szCs w:val="20"/>
                <w:lang w:eastAsia="en-GB"/>
              </w:rPr>
            </w:pPr>
            <w:proofErr w:type="spellStart"/>
            <w:r w:rsidRPr="007A35DA">
              <w:rPr>
                <w:rFonts w:ascii="Calibri" w:eastAsia="Times New Roman" w:hAnsi="Calibri" w:cs="Calibri"/>
                <w:color w:val="000000"/>
                <w:sz w:val="20"/>
                <w:szCs w:val="20"/>
                <w:lang w:eastAsia="en-GB"/>
              </w:rPr>
              <w:t>mrs</w:t>
            </w:r>
            <w:proofErr w:type="spellEnd"/>
            <w:r w:rsidRPr="007A35DA">
              <w:rPr>
                <w:rFonts w:ascii="Calibri" w:eastAsia="Times New Roman" w:hAnsi="Calibri" w:cs="Calibri"/>
                <w:color w:val="000000"/>
                <w:sz w:val="20"/>
                <w:szCs w:val="20"/>
                <w:lang w:eastAsia="en-GB"/>
              </w:rPr>
              <w:t xml:space="preserve"> 2</w:t>
            </w:r>
          </w:p>
        </w:tc>
        <w:tc>
          <w:tcPr>
            <w:tcW w:w="1006" w:type="dxa"/>
            <w:shd w:val="clear" w:color="auto" w:fill="auto"/>
            <w:vAlign w:val="center"/>
          </w:tcPr>
          <w:p w14:paraId="15CA0A65" w14:textId="410CFEA5" w:rsidR="00131E4E" w:rsidRPr="007A35DA" w:rsidRDefault="00131E4E" w:rsidP="00131E4E">
            <w:pPr>
              <w:spacing w:after="0" w:line="240" w:lineRule="auto"/>
              <w:jc w:val="right"/>
              <w:rPr>
                <w:rFonts w:ascii="Calibri" w:eastAsia="Times New Roman" w:hAnsi="Calibri" w:cs="Calibri"/>
                <w:color w:val="000000"/>
                <w:sz w:val="20"/>
                <w:szCs w:val="20"/>
                <w:lang w:eastAsia="en-GB"/>
              </w:rPr>
            </w:pPr>
            <w:r w:rsidRPr="007A35DA">
              <w:rPr>
                <w:color w:val="000000"/>
                <w:sz w:val="20"/>
                <w:szCs w:val="20"/>
              </w:rPr>
              <w:t>1.2590</w:t>
            </w:r>
          </w:p>
        </w:tc>
        <w:tc>
          <w:tcPr>
            <w:tcW w:w="939" w:type="dxa"/>
            <w:shd w:val="clear" w:color="auto" w:fill="auto"/>
            <w:vAlign w:val="center"/>
          </w:tcPr>
          <w:p w14:paraId="02FD752D" w14:textId="2A91DEA7" w:rsidR="00131E4E" w:rsidRPr="007A35DA" w:rsidRDefault="00131E4E" w:rsidP="00131E4E">
            <w:pPr>
              <w:spacing w:after="0" w:line="240" w:lineRule="auto"/>
              <w:jc w:val="right"/>
              <w:rPr>
                <w:rFonts w:ascii="Calibri" w:eastAsia="Times New Roman" w:hAnsi="Calibri" w:cs="Calibri"/>
                <w:color w:val="000000"/>
                <w:sz w:val="20"/>
                <w:szCs w:val="20"/>
                <w:lang w:eastAsia="en-GB"/>
              </w:rPr>
            </w:pPr>
            <w:r w:rsidRPr="007A35DA">
              <w:rPr>
                <w:color w:val="000000"/>
                <w:sz w:val="20"/>
                <w:szCs w:val="20"/>
              </w:rPr>
              <w:t>0.6240</w:t>
            </w:r>
          </w:p>
        </w:tc>
        <w:tc>
          <w:tcPr>
            <w:tcW w:w="1792" w:type="dxa"/>
            <w:shd w:val="clear" w:color="auto" w:fill="auto"/>
            <w:vAlign w:val="bottom"/>
          </w:tcPr>
          <w:p w14:paraId="29CD8858" w14:textId="2D89F00D" w:rsidR="00131E4E" w:rsidRPr="007A35DA" w:rsidRDefault="00131E4E" w:rsidP="00131E4E">
            <w:pPr>
              <w:spacing w:after="0" w:line="240" w:lineRule="auto"/>
              <w:jc w:val="right"/>
              <w:rPr>
                <w:rFonts w:ascii="Calibri" w:eastAsia="Times New Roman" w:hAnsi="Calibri" w:cs="Calibri"/>
                <w:color w:val="000000"/>
                <w:sz w:val="20"/>
                <w:szCs w:val="20"/>
                <w:lang w:eastAsia="en-GB"/>
              </w:rPr>
            </w:pPr>
            <w:r w:rsidRPr="007A35DA">
              <w:rPr>
                <w:rFonts w:ascii="Calibri" w:hAnsi="Calibri" w:cs="Calibri"/>
                <w:color w:val="000000"/>
                <w:sz w:val="20"/>
                <w:szCs w:val="20"/>
              </w:rPr>
              <w:t>0.0360,</w:t>
            </w:r>
            <w:r w:rsidRPr="007A35DA">
              <w:rPr>
                <w:rFonts w:ascii="Calibri" w:hAnsi="Calibri" w:cs="Calibri"/>
                <w:color w:val="000000"/>
                <w:sz w:val="20"/>
                <w:szCs w:val="20"/>
              </w:rPr>
              <w:tab/>
              <w:t>2.4821</w:t>
            </w:r>
          </w:p>
        </w:tc>
        <w:tc>
          <w:tcPr>
            <w:tcW w:w="1070" w:type="dxa"/>
            <w:gridSpan w:val="2"/>
            <w:vAlign w:val="center"/>
          </w:tcPr>
          <w:p w14:paraId="43712C45" w14:textId="5B1F410D" w:rsidR="00131E4E" w:rsidRPr="007A35DA" w:rsidRDefault="00131E4E" w:rsidP="00131E4E">
            <w:pPr>
              <w:spacing w:after="0" w:line="240" w:lineRule="auto"/>
              <w:jc w:val="right"/>
              <w:rPr>
                <w:rFonts w:ascii="Calibri" w:hAnsi="Calibri" w:cs="Calibri"/>
                <w:color w:val="000000"/>
                <w:sz w:val="20"/>
                <w:szCs w:val="20"/>
              </w:rPr>
            </w:pPr>
            <w:r w:rsidRPr="007A35DA">
              <w:rPr>
                <w:color w:val="000000"/>
                <w:sz w:val="20"/>
                <w:szCs w:val="20"/>
              </w:rPr>
              <w:t>0.411</w:t>
            </w:r>
            <w:r w:rsidR="00AC5AC0">
              <w:rPr>
                <w:color w:val="000000"/>
                <w:sz w:val="20"/>
                <w:szCs w:val="20"/>
              </w:rPr>
              <w:t>4</w:t>
            </w:r>
          </w:p>
        </w:tc>
        <w:tc>
          <w:tcPr>
            <w:tcW w:w="1051" w:type="dxa"/>
            <w:vAlign w:val="center"/>
          </w:tcPr>
          <w:p w14:paraId="23410DF3" w14:textId="6C9ACA61" w:rsidR="00131E4E" w:rsidRPr="007A35DA" w:rsidRDefault="00131E4E" w:rsidP="00131E4E">
            <w:pPr>
              <w:spacing w:after="0" w:line="240" w:lineRule="auto"/>
              <w:jc w:val="right"/>
              <w:rPr>
                <w:rFonts w:ascii="Calibri" w:hAnsi="Calibri" w:cs="Calibri"/>
                <w:color w:val="000000"/>
                <w:sz w:val="20"/>
                <w:szCs w:val="20"/>
              </w:rPr>
            </w:pPr>
            <w:r w:rsidRPr="007A35DA">
              <w:rPr>
                <w:color w:val="000000"/>
                <w:sz w:val="20"/>
                <w:szCs w:val="20"/>
              </w:rPr>
              <w:t>0.1249</w:t>
            </w:r>
          </w:p>
        </w:tc>
        <w:tc>
          <w:tcPr>
            <w:tcW w:w="1792" w:type="dxa"/>
            <w:vAlign w:val="bottom"/>
          </w:tcPr>
          <w:p w14:paraId="59E2A7E6" w14:textId="3214741E" w:rsidR="00131E4E" w:rsidRPr="007A35DA" w:rsidRDefault="00071967" w:rsidP="00131E4E">
            <w:pPr>
              <w:spacing w:after="0" w:line="240" w:lineRule="auto"/>
              <w:jc w:val="right"/>
              <w:rPr>
                <w:rFonts w:ascii="Calibri" w:hAnsi="Calibri" w:cs="Calibri"/>
                <w:color w:val="000000"/>
                <w:sz w:val="20"/>
                <w:szCs w:val="20"/>
              </w:rPr>
            </w:pPr>
            <w:r w:rsidRPr="007A35DA">
              <w:rPr>
                <w:rFonts w:ascii="Calibri" w:hAnsi="Calibri" w:cs="Calibri"/>
                <w:color w:val="000000"/>
                <w:sz w:val="20"/>
                <w:szCs w:val="20"/>
              </w:rPr>
              <w:t>0.2058, 0.6162</w:t>
            </w:r>
          </w:p>
        </w:tc>
      </w:tr>
      <w:tr w:rsidR="00131E4E" w:rsidRPr="007A35DA" w14:paraId="378C9FC1" w14:textId="3CD1EAD4" w:rsidTr="007243D8">
        <w:trPr>
          <w:gridAfter w:val="2"/>
          <w:wAfter w:w="14" w:type="dxa"/>
          <w:trHeight w:val="300"/>
        </w:trPr>
        <w:tc>
          <w:tcPr>
            <w:tcW w:w="2379" w:type="dxa"/>
            <w:shd w:val="clear" w:color="auto" w:fill="auto"/>
            <w:vAlign w:val="center"/>
            <w:hideMark/>
          </w:tcPr>
          <w:p w14:paraId="53D99C42" w14:textId="6344D759" w:rsidR="00131E4E" w:rsidRPr="007A35DA" w:rsidRDefault="00131E4E" w:rsidP="00131E4E">
            <w:pPr>
              <w:spacing w:after="0" w:line="240" w:lineRule="auto"/>
              <w:rPr>
                <w:rFonts w:ascii="Calibri" w:eastAsia="Times New Roman" w:hAnsi="Calibri" w:cs="Calibri"/>
                <w:color w:val="000000"/>
                <w:sz w:val="20"/>
                <w:szCs w:val="20"/>
                <w:lang w:eastAsia="en-GB"/>
              </w:rPr>
            </w:pPr>
            <w:proofErr w:type="spellStart"/>
            <w:r w:rsidRPr="007A35DA">
              <w:rPr>
                <w:rFonts w:ascii="Calibri" w:eastAsia="Times New Roman" w:hAnsi="Calibri" w:cs="Calibri"/>
                <w:color w:val="000000"/>
                <w:sz w:val="20"/>
                <w:szCs w:val="20"/>
                <w:lang w:eastAsia="en-GB"/>
              </w:rPr>
              <w:t>mrs</w:t>
            </w:r>
            <w:proofErr w:type="spellEnd"/>
            <w:r w:rsidRPr="007A35DA">
              <w:rPr>
                <w:rFonts w:ascii="Calibri" w:eastAsia="Times New Roman" w:hAnsi="Calibri" w:cs="Calibri"/>
                <w:color w:val="000000"/>
                <w:sz w:val="20"/>
                <w:szCs w:val="20"/>
                <w:lang w:eastAsia="en-GB"/>
              </w:rPr>
              <w:t xml:space="preserve"> 3</w:t>
            </w:r>
          </w:p>
        </w:tc>
        <w:tc>
          <w:tcPr>
            <w:tcW w:w="1006" w:type="dxa"/>
            <w:shd w:val="clear" w:color="auto" w:fill="auto"/>
            <w:vAlign w:val="center"/>
          </w:tcPr>
          <w:p w14:paraId="5E4C6312" w14:textId="543A15CC" w:rsidR="00131E4E" w:rsidRPr="007A35DA" w:rsidRDefault="00131E4E" w:rsidP="00131E4E">
            <w:pPr>
              <w:spacing w:after="0" w:line="240" w:lineRule="auto"/>
              <w:jc w:val="right"/>
              <w:rPr>
                <w:rFonts w:ascii="Calibri" w:eastAsia="Times New Roman" w:hAnsi="Calibri" w:cs="Calibri"/>
                <w:color w:val="000000"/>
                <w:sz w:val="20"/>
                <w:szCs w:val="20"/>
                <w:lang w:eastAsia="en-GB"/>
              </w:rPr>
            </w:pPr>
            <w:r w:rsidRPr="007A35DA">
              <w:rPr>
                <w:color w:val="000000"/>
                <w:sz w:val="20"/>
                <w:szCs w:val="20"/>
              </w:rPr>
              <w:t>2.4773</w:t>
            </w:r>
          </w:p>
        </w:tc>
        <w:tc>
          <w:tcPr>
            <w:tcW w:w="939" w:type="dxa"/>
            <w:shd w:val="clear" w:color="auto" w:fill="auto"/>
            <w:vAlign w:val="center"/>
          </w:tcPr>
          <w:p w14:paraId="3381943D" w14:textId="12387015" w:rsidR="00131E4E" w:rsidRPr="007A35DA" w:rsidRDefault="00131E4E" w:rsidP="00131E4E">
            <w:pPr>
              <w:spacing w:after="0" w:line="240" w:lineRule="auto"/>
              <w:jc w:val="right"/>
              <w:rPr>
                <w:rFonts w:ascii="Calibri" w:eastAsia="Times New Roman" w:hAnsi="Calibri" w:cs="Calibri"/>
                <w:color w:val="000000"/>
                <w:sz w:val="20"/>
                <w:szCs w:val="20"/>
                <w:lang w:eastAsia="en-GB"/>
              </w:rPr>
            </w:pPr>
            <w:r w:rsidRPr="007A35DA">
              <w:rPr>
                <w:color w:val="000000"/>
                <w:sz w:val="20"/>
                <w:szCs w:val="20"/>
              </w:rPr>
              <w:t>0.6058</w:t>
            </w:r>
          </w:p>
        </w:tc>
        <w:tc>
          <w:tcPr>
            <w:tcW w:w="1792" w:type="dxa"/>
            <w:shd w:val="clear" w:color="auto" w:fill="auto"/>
            <w:vAlign w:val="bottom"/>
          </w:tcPr>
          <w:p w14:paraId="50E9E1EA" w14:textId="5F152A0B" w:rsidR="00131E4E" w:rsidRPr="007A35DA" w:rsidRDefault="00131E4E" w:rsidP="00131E4E">
            <w:pPr>
              <w:spacing w:after="0" w:line="240" w:lineRule="auto"/>
              <w:jc w:val="right"/>
              <w:rPr>
                <w:rFonts w:ascii="Calibri" w:eastAsia="Times New Roman" w:hAnsi="Calibri" w:cs="Calibri"/>
                <w:color w:val="000000"/>
                <w:sz w:val="20"/>
                <w:szCs w:val="20"/>
                <w:lang w:eastAsia="en-GB"/>
              </w:rPr>
            </w:pPr>
            <w:r w:rsidRPr="007A35DA">
              <w:rPr>
                <w:rFonts w:ascii="Calibri" w:hAnsi="Calibri" w:cs="Calibri"/>
                <w:color w:val="000000"/>
                <w:sz w:val="20"/>
                <w:szCs w:val="20"/>
              </w:rPr>
              <w:t>1.2900,</w:t>
            </w:r>
            <w:r w:rsidRPr="007A35DA">
              <w:rPr>
                <w:rFonts w:ascii="Calibri" w:hAnsi="Calibri" w:cs="Calibri"/>
                <w:color w:val="000000"/>
                <w:sz w:val="20"/>
                <w:szCs w:val="20"/>
              </w:rPr>
              <w:tab/>
              <w:t>3.6646</w:t>
            </w:r>
          </w:p>
        </w:tc>
        <w:tc>
          <w:tcPr>
            <w:tcW w:w="1070" w:type="dxa"/>
            <w:gridSpan w:val="2"/>
            <w:vAlign w:val="center"/>
          </w:tcPr>
          <w:p w14:paraId="6B5B5678" w14:textId="63A0B6CB" w:rsidR="00131E4E" w:rsidRPr="007A35DA" w:rsidRDefault="00131E4E" w:rsidP="00131E4E">
            <w:pPr>
              <w:spacing w:after="0" w:line="240" w:lineRule="auto"/>
              <w:jc w:val="right"/>
              <w:rPr>
                <w:rFonts w:ascii="Calibri" w:hAnsi="Calibri" w:cs="Calibri"/>
                <w:color w:val="000000"/>
                <w:sz w:val="20"/>
                <w:szCs w:val="20"/>
              </w:rPr>
            </w:pPr>
            <w:r w:rsidRPr="007A35DA">
              <w:rPr>
                <w:color w:val="000000"/>
                <w:sz w:val="20"/>
                <w:szCs w:val="20"/>
              </w:rPr>
              <w:t>0.684</w:t>
            </w:r>
            <w:r w:rsidR="00AC5AC0">
              <w:rPr>
                <w:color w:val="000000"/>
                <w:sz w:val="20"/>
                <w:szCs w:val="20"/>
              </w:rPr>
              <w:t>7</w:t>
            </w:r>
          </w:p>
        </w:tc>
        <w:tc>
          <w:tcPr>
            <w:tcW w:w="1051" w:type="dxa"/>
            <w:vAlign w:val="center"/>
          </w:tcPr>
          <w:p w14:paraId="6620DC56" w14:textId="1BE4F50D" w:rsidR="00131E4E" w:rsidRPr="007A35DA" w:rsidRDefault="00131E4E" w:rsidP="00131E4E">
            <w:pPr>
              <w:spacing w:after="0" w:line="240" w:lineRule="auto"/>
              <w:jc w:val="right"/>
              <w:rPr>
                <w:rFonts w:ascii="Calibri" w:hAnsi="Calibri" w:cs="Calibri"/>
                <w:color w:val="000000"/>
                <w:sz w:val="20"/>
                <w:szCs w:val="20"/>
              </w:rPr>
            </w:pPr>
            <w:r w:rsidRPr="007A35DA">
              <w:rPr>
                <w:color w:val="000000"/>
                <w:sz w:val="20"/>
                <w:szCs w:val="20"/>
              </w:rPr>
              <w:t>0.1774</w:t>
            </w:r>
          </w:p>
        </w:tc>
        <w:tc>
          <w:tcPr>
            <w:tcW w:w="1792" w:type="dxa"/>
            <w:vAlign w:val="bottom"/>
          </w:tcPr>
          <w:p w14:paraId="5C2AAC64" w14:textId="66DC5F09" w:rsidR="00131E4E" w:rsidRPr="007A35DA" w:rsidRDefault="003B479D" w:rsidP="00131E4E">
            <w:pPr>
              <w:spacing w:after="0" w:line="240" w:lineRule="auto"/>
              <w:jc w:val="right"/>
              <w:rPr>
                <w:rFonts w:ascii="Calibri" w:hAnsi="Calibri" w:cs="Calibri"/>
                <w:color w:val="000000"/>
                <w:sz w:val="20"/>
                <w:szCs w:val="20"/>
              </w:rPr>
            </w:pPr>
            <w:r w:rsidRPr="007A35DA">
              <w:rPr>
                <w:rFonts w:ascii="Calibri" w:hAnsi="Calibri" w:cs="Calibri"/>
                <w:color w:val="000000"/>
                <w:sz w:val="20"/>
                <w:szCs w:val="20"/>
              </w:rPr>
              <w:t>0.3848, 0.9774</w:t>
            </w:r>
          </w:p>
        </w:tc>
      </w:tr>
      <w:tr w:rsidR="00131E4E" w:rsidRPr="007A35DA" w14:paraId="68ABC9EF" w14:textId="4516B72E" w:rsidTr="007243D8">
        <w:trPr>
          <w:gridAfter w:val="2"/>
          <w:wAfter w:w="14" w:type="dxa"/>
          <w:trHeight w:val="300"/>
        </w:trPr>
        <w:tc>
          <w:tcPr>
            <w:tcW w:w="2379" w:type="dxa"/>
            <w:shd w:val="clear" w:color="auto" w:fill="auto"/>
            <w:vAlign w:val="center"/>
            <w:hideMark/>
          </w:tcPr>
          <w:p w14:paraId="28D98F79" w14:textId="53D6871C" w:rsidR="00131E4E" w:rsidRPr="007A35DA" w:rsidRDefault="00131E4E" w:rsidP="00131E4E">
            <w:pPr>
              <w:spacing w:after="0" w:line="240" w:lineRule="auto"/>
              <w:rPr>
                <w:rFonts w:ascii="Calibri" w:eastAsia="Times New Roman" w:hAnsi="Calibri" w:cs="Calibri"/>
                <w:color w:val="000000"/>
                <w:sz w:val="20"/>
                <w:szCs w:val="20"/>
                <w:lang w:eastAsia="en-GB"/>
              </w:rPr>
            </w:pPr>
            <w:proofErr w:type="spellStart"/>
            <w:r w:rsidRPr="007A35DA">
              <w:rPr>
                <w:rFonts w:ascii="Calibri" w:eastAsia="Times New Roman" w:hAnsi="Calibri" w:cs="Calibri"/>
                <w:color w:val="000000"/>
                <w:sz w:val="20"/>
                <w:szCs w:val="20"/>
                <w:lang w:eastAsia="en-GB"/>
              </w:rPr>
              <w:lastRenderedPageBreak/>
              <w:t>mrs</w:t>
            </w:r>
            <w:proofErr w:type="spellEnd"/>
            <w:r w:rsidRPr="007A35DA">
              <w:rPr>
                <w:rFonts w:ascii="Calibri" w:eastAsia="Times New Roman" w:hAnsi="Calibri" w:cs="Calibri"/>
                <w:color w:val="000000"/>
                <w:sz w:val="20"/>
                <w:szCs w:val="20"/>
                <w:lang w:eastAsia="en-GB"/>
              </w:rPr>
              <w:t xml:space="preserve"> 4</w:t>
            </w:r>
          </w:p>
        </w:tc>
        <w:tc>
          <w:tcPr>
            <w:tcW w:w="1006" w:type="dxa"/>
            <w:shd w:val="clear" w:color="auto" w:fill="auto"/>
            <w:vAlign w:val="center"/>
          </w:tcPr>
          <w:p w14:paraId="3D61DF10" w14:textId="2A0DCA11" w:rsidR="00131E4E" w:rsidRPr="007A35DA" w:rsidRDefault="00131E4E" w:rsidP="00131E4E">
            <w:pPr>
              <w:spacing w:after="0" w:line="240" w:lineRule="auto"/>
              <w:jc w:val="right"/>
              <w:rPr>
                <w:rFonts w:ascii="Calibri" w:eastAsia="Times New Roman" w:hAnsi="Calibri" w:cs="Calibri"/>
                <w:color w:val="000000"/>
                <w:sz w:val="20"/>
                <w:szCs w:val="20"/>
                <w:lang w:eastAsia="en-GB"/>
              </w:rPr>
            </w:pPr>
            <w:r w:rsidRPr="007A35DA">
              <w:rPr>
                <w:color w:val="000000"/>
                <w:sz w:val="20"/>
                <w:szCs w:val="20"/>
              </w:rPr>
              <w:t>3.7310</w:t>
            </w:r>
          </w:p>
        </w:tc>
        <w:tc>
          <w:tcPr>
            <w:tcW w:w="939" w:type="dxa"/>
            <w:shd w:val="clear" w:color="auto" w:fill="auto"/>
            <w:vAlign w:val="center"/>
          </w:tcPr>
          <w:p w14:paraId="6EB734F0" w14:textId="7FAA57C8" w:rsidR="00131E4E" w:rsidRPr="007A35DA" w:rsidRDefault="00131E4E" w:rsidP="00131E4E">
            <w:pPr>
              <w:spacing w:after="0" w:line="240" w:lineRule="auto"/>
              <w:jc w:val="right"/>
              <w:rPr>
                <w:rFonts w:ascii="Calibri" w:eastAsia="Times New Roman" w:hAnsi="Calibri" w:cs="Calibri"/>
                <w:color w:val="000000"/>
                <w:sz w:val="20"/>
                <w:szCs w:val="20"/>
                <w:lang w:eastAsia="en-GB"/>
              </w:rPr>
            </w:pPr>
            <w:r w:rsidRPr="007A35DA">
              <w:rPr>
                <w:color w:val="000000"/>
                <w:sz w:val="20"/>
                <w:szCs w:val="20"/>
              </w:rPr>
              <w:t>0.6079</w:t>
            </w:r>
          </w:p>
        </w:tc>
        <w:tc>
          <w:tcPr>
            <w:tcW w:w="1792" w:type="dxa"/>
            <w:shd w:val="clear" w:color="auto" w:fill="auto"/>
            <w:vAlign w:val="bottom"/>
          </w:tcPr>
          <w:p w14:paraId="416F5F67" w14:textId="27DE877C" w:rsidR="00131E4E" w:rsidRPr="007A35DA" w:rsidRDefault="00131E4E" w:rsidP="00131E4E">
            <w:pPr>
              <w:spacing w:after="0" w:line="240" w:lineRule="auto"/>
              <w:jc w:val="right"/>
              <w:rPr>
                <w:rFonts w:ascii="Calibri" w:eastAsia="Times New Roman" w:hAnsi="Calibri" w:cs="Calibri"/>
                <w:color w:val="000000"/>
                <w:sz w:val="20"/>
                <w:szCs w:val="20"/>
                <w:lang w:eastAsia="en-GB"/>
              </w:rPr>
            </w:pPr>
            <w:r w:rsidRPr="007A35DA">
              <w:rPr>
                <w:rFonts w:ascii="Calibri" w:hAnsi="Calibri" w:cs="Calibri"/>
                <w:color w:val="000000"/>
                <w:sz w:val="20"/>
                <w:szCs w:val="20"/>
              </w:rPr>
              <w:t>1.2901</w:t>
            </w:r>
            <w:r w:rsidRPr="007A35DA">
              <w:rPr>
                <w:rFonts w:ascii="Calibri" w:hAnsi="Calibri" w:cs="Calibri"/>
                <w:color w:val="000000"/>
                <w:sz w:val="20"/>
                <w:szCs w:val="20"/>
              </w:rPr>
              <w:tab/>
              <w:t>3.6646</w:t>
            </w:r>
          </w:p>
        </w:tc>
        <w:tc>
          <w:tcPr>
            <w:tcW w:w="1070" w:type="dxa"/>
            <w:gridSpan w:val="2"/>
            <w:vAlign w:val="center"/>
          </w:tcPr>
          <w:p w14:paraId="5AE7BB72" w14:textId="233BFDE9" w:rsidR="00131E4E" w:rsidRPr="007A35DA" w:rsidRDefault="00131E4E" w:rsidP="00131E4E">
            <w:pPr>
              <w:spacing w:after="0" w:line="240" w:lineRule="auto"/>
              <w:jc w:val="right"/>
              <w:rPr>
                <w:rFonts w:ascii="Calibri" w:hAnsi="Calibri" w:cs="Calibri"/>
                <w:color w:val="000000"/>
                <w:sz w:val="20"/>
                <w:szCs w:val="20"/>
              </w:rPr>
            </w:pPr>
            <w:r w:rsidRPr="007A35DA">
              <w:rPr>
                <w:color w:val="000000"/>
                <w:sz w:val="20"/>
                <w:szCs w:val="20"/>
              </w:rPr>
              <w:t>0.853</w:t>
            </w:r>
            <w:r w:rsidR="00AC5AC0">
              <w:rPr>
                <w:color w:val="000000"/>
                <w:sz w:val="20"/>
                <w:szCs w:val="20"/>
              </w:rPr>
              <w:t>5</w:t>
            </w:r>
          </w:p>
        </w:tc>
        <w:tc>
          <w:tcPr>
            <w:tcW w:w="1051" w:type="dxa"/>
            <w:vAlign w:val="center"/>
          </w:tcPr>
          <w:p w14:paraId="39F5C553" w14:textId="640E9AD2" w:rsidR="00131E4E" w:rsidRPr="007A35DA" w:rsidRDefault="00131E4E" w:rsidP="00131E4E">
            <w:pPr>
              <w:spacing w:after="0" w:line="240" w:lineRule="auto"/>
              <w:jc w:val="right"/>
              <w:rPr>
                <w:rFonts w:ascii="Calibri" w:hAnsi="Calibri" w:cs="Calibri"/>
                <w:color w:val="000000"/>
                <w:sz w:val="20"/>
                <w:szCs w:val="20"/>
              </w:rPr>
            </w:pPr>
            <w:r w:rsidRPr="007A35DA">
              <w:rPr>
                <w:color w:val="000000"/>
                <w:sz w:val="20"/>
                <w:szCs w:val="20"/>
              </w:rPr>
              <w:t>0.2136</w:t>
            </w:r>
          </w:p>
        </w:tc>
        <w:tc>
          <w:tcPr>
            <w:tcW w:w="1792" w:type="dxa"/>
            <w:vAlign w:val="bottom"/>
          </w:tcPr>
          <w:p w14:paraId="137E2D31" w14:textId="6E9B5F13" w:rsidR="00131E4E" w:rsidRPr="007A35DA" w:rsidRDefault="003B479D" w:rsidP="00131E4E">
            <w:pPr>
              <w:spacing w:after="0" w:line="240" w:lineRule="auto"/>
              <w:jc w:val="right"/>
              <w:rPr>
                <w:rFonts w:ascii="Calibri" w:hAnsi="Calibri" w:cs="Calibri"/>
                <w:color w:val="000000"/>
                <w:sz w:val="20"/>
                <w:szCs w:val="20"/>
              </w:rPr>
            </w:pPr>
            <w:r w:rsidRPr="007A35DA">
              <w:rPr>
                <w:rFonts w:ascii="Calibri" w:hAnsi="Calibri" w:cs="Calibri"/>
                <w:color w:val="000000"/>
                <w:sz w:val="20"/>
                <w:szCs w:val="20"/>
              </w:rPr>
              <w:t>0.5</w:t>
            </w:r>
            <w:r w:rsidR="00C44CB8" w:rsidRPr="007A35DA">
              <w:rPr>
                <w:rFonts w:ascii="Calibri" w:hAnsi="Calibri" w:cs="Calibri"/>
                <w:color w:val="000000"/>
                <w:sz w:val="20"/>
                <w:szCs w:val="20"/>
              </w:rPr>
              <w:t>020, 1,2061</w:t>
            </w:r>
          </w:p>
        </w:tc>
      </w:tr>
      <w:tr w:rsidR="00131E4E" w:rsidRPr="007A35DA" w14:paraId="44201633" w14:textId="3FA1D1E6" w:rsidTr="007243D8">
        <w:trPr>
          <w:gridAfter w:val="2"/>
          <w:wAfter w:w="14" w:type="dxa"/>
          <w:trHeight w:val="300"/>
        </w:trPr>
        <w:tc>
          <w:tcPr>
            <w:tcW w:w="2379" w:type="dxa"/>
            <w:shd w:val="clear" w:color="auto" w:fill="auto"/>
            <w:vAlign w:val="center"/>
            <w:hideMark/>
          </w:tcPr>
          <w:p w14:paraId="216EB5A9" w14:textId="09080B0B" w:rsidR="00131E4E" w:rsidRPr="007A35DA" w:rsidRDefault="00131E4E" w:rsidP="00131E4E">
            <w:pPr>
              <w:spacing w:after="0" w:line="240" w:lineRule="auto"/>
              <w:rPr>
                <w:rFonts w:ascii="Calibri" w:eastAsia="Times New Roman" w:hAnsi="Calibri" w:cs="Calibri"/>
                <w:color w:val="000000"/>
                <w:sz w:val="20"/>
                <w:szCs w:val="20"/>
                <w:lang w:eastAsia="en-GB"/>
              </w:rPr>
            </w:pPr>
            <w:proofErr w:type="spellStart"/>
            <w:r w:rsidRPr="007A35DA">
              <w:rPr>
                <w:rFonts w:ascii="Calibri" w:eastAsia="Times New Roman" w:hAnsi="Calibri" w:cs="Calibri"/>
                <w:color w:val="000000"/>
                <w:sz w:val="20"/>
                <w:szCs w:val="20"/>
                <w:lang w:eastAsia="en-GB"/>
              </w:rPr>
              <w:t>mrs</w:t>
            </w:r>
            <w:proofErr w:type="spellEnd"/>
            <w:r w:rsidRPr="007A35DA">
              <w:rPr>
                <w:rFonts w:ascii="Calibri" w:eastAsia="Times New Roman" w:hAnsi="Calibri" w:cs="Calibri"/>
                <w:color w:val="000000"/>
                <w:sz w:val="20"/>
                <w:szCs w:val="20"/>
                <w:lang w:eastAsia="en-GB"/>
              </w:rPr>
              <w:t xml:space="preserve"> 5</w:t>
            </w:r>
          </w:p>
        </w:tc>
        <w:tc>
          <w:tcPr>
            <w:tcW w:w="1006" w:type="dxa"/>
            <w:shd w:val="clear" w:color="auto" w:fill="auto"/>
            <w:vAlign w:val="center"/>
          </w:tcPr>
          <w:p w14:paraId="2F3BD416" w14:textId="402EEC4A" w:rsidR="00131E4E" w:rsidRPr="007A35DA" w:rsidRDefault="00131E4E" w:rsidP="00131E4E">
            <w:pPr>
              <w:spacing w:after="0" w:line="240" w:lineRule="auto"/>
              <w:jc w:val="right"/>
              <w:rPr>
                <w:rFonts w:ascii="Calibri" w:eastAsia="Times New Roman" w:hAnsi="Calibri" w:cs="Calibri"/>
                <w:color w:val="000000"/>
                <w:sz w:val="20"/>
                <w:szCs w:val="20"/>
                <w:lang w:eastAsia="en-GB"/>
              </w:rPr>
            </w:pPr>
            <w:r w:rsidRPr="007A35DA">
              <w:rPr>
                <w:color w:val="000000"/>
                <w:sz w:val="20"/>
                <w:szCs w:val="20"/>
              </w:rPr>
              <w:t>4.9444</w:t>
            </w:r>
          </w:p>
        </w:tc>
        <w:tc>
          <w:tcPr>
            <w:tcW w:w="939" w:type="dxa"/>
            <w:shd w:val="clear" w:color="auto" w:fill="auto"/>
            <w:vAlign w:val="center"/>
          </w:tcPr>
          <w:p w14:paraId="2544129B" w14:textId="632BB5A3" w:rsidR="00131E4E" w:rsidRPr="007A35DA" w:rsidRDefault="00131E4E" w:rsidP="00131E4E">
            <w:pPr>
              <w:spacing w:after="0" w:line="240" w:lineRule="auto"/>
              <w:jc w:val="right"/>
              <w:rPr>
                <w:rFonts w:ascii="Calibri" w:eastAsia="Times New Roman" w:hAnsi="Calibri" w:cs="Calibri"/>
                <w:color w:val="000000"/>
                <w:sz w:val="20"/>
                <w:szCs w:val="20"/>
                <w:lang w:eastAsia="en-GB"/>
              </w:rPr>
            </w:pPr>
            <w:r w:rsidRPr="007A35DA">
              <w:rPr>
                <w:color w:val="000000"/>
                <w:sz w:val="20"/>
                <w:szCs w:val="20"/>
              </w:rPr>
              <w:t>0.6795</w:t>
            </w:r>
          </w:p>
        </w:tc>
        <w:tc>
          <w:tcPr>
            <w:tcW w:w="1792" w:type="dxa"/>
            <w:shd w:val="clear" w:color="auto" w:fill="auto"/>
            <w:vAlign w:val="bottom"/>
          </w:tcPr>
          <w:p w14:paraId="102A5C35" w14:textId="31D0638B" w:rsidR="00131E4E" w:rsidRPr="007A35DA" w:rsidRDefault="00131E4E" w:rsidP="00131E4E">
            <w:pPr>
              <w:spacing w:after="0" w:line="240" w:lineRule="auto"/>
              <w:jc w:val="right"/>
              <w:rPr>
                <w:rFonts w:ascii="Calibri" w:eastAsia="Times New Roman" w:hAnsi="Calibri" w:cs="Calibri"/>
                <w:color w:val="000000"/>
                <w:sz w:val="20"/>
                <w:szCs w:val="20"/>
                <w:lang w:eastAsia="en-GB"/>
              </w:rPr>
            </w:pPr>
            <w:r w:rsidRPr="007A35DA">
              <w:rPr>
                <w:rFonts w:ascii="Calibri" w:eastAsia="Times New Roman" w:hAnsi="Calibri" w:cs="Calibri"/>
                <w:color w:val="000000"/>
                <w:sz w:val="20"/>
                <w:szCs w:val="20"/>
                <w:lang w:eastAsia="en-GB"/>
              </w:rPr>
              <w:t>3.6126,</w:t>
            </w:r>
            <w:r w:rsidRPr="007A35DA">
              <w:rPr>
                <w:rFonts w:ascii="Calibri" w:eastAsia="Times New Roman" w:hAnsi="Calibri" w:cs="Calibri"/>
                <w:color w:val="000000"/>
                <w:sz w:val="20"/>
                <w:szCs w:val="20"/>
                <w:lang w:eastAsia="en-GB"/>
              </w:rPr>
              <w:tab/>
              <w:t>6.2763</w:t>
            </w:r>
          </w:p>
        </w:tc>
        <w:tc>
          <w:tcPr>
            <w:tcW w:w="1070" w:type="dxa"/>
            <w:gridSpan w:val="2"/>
            <w:vAlign w:val="center"/>
          </w:tcPr>
          <w:p w14:paraId="625F7B4F" w14:textId="4F8894AF" w:rsidR="00131E4E" w:rsidRPr="007A35DA" w:rsidRDefault="00131E4E" w:rsidP="00131E4E">
            <w:pPr>
              <w:spacing w:after="0" w:line="240" w:lineRule="auto"/>
              <w:jc w:val="right"/>
              <w:rPr>
                <w:rFonts w:ascii="Calibri" w:hAnsi="Calibri" w:cs="Calibri"/>
                <w:color w:val="000000"/>
                <w:sz w:val="20"/>
                <w:szCs w:val="20"/>
              </w:rPr>
            </w:pPr>
            <w:r w:rsidRPr="007A35DA">
              <w:rPr>
                <w:color w:val="000000"/>
                <w:sz w:val="20"/>
                <w:szCs w:val="20"/>
              </w:rPr>
              <w:t>1.7763</w:t>
            </w:r>
          </w:p>
        </w:tc>
        <w:tc>
          <w:tcPr>
            <w:tcW w:w="1051" w:type="dxa"/>
            <w:vAlign w:val="center"/>
          </w:tcPr>
          <w:p w14:paraId="01FCCD4B" w14:textId="49C8136F" w:rsidR="00131E4E" w:rsidRPr="007A35DA" w:rsidRDefault="00131E4E" w:rsidP="00131E4E">
            <w:pPr>
              <w:spacing w:after="0" w:line="240" w:lineRule="auto"/>
              <w:jc w:val="right"/>
              <w:rPr>
                <w:rFonts w:ascii="Calibri" w:hAnsi="Calibri" w:cs="Calibri"/>
                <w:color w:val="000000"/>
                <w:sz w:val="20"/>
                <w:szCs w:val="20"/>
              </w:rPr>
            </w:pPr>
            <w:r w:rsidRPr="007A35DA">
              <w:rPr>
                <w:color w:val="000000"/>
                <w:sz w:val="20"/>
                <w:szCs w:val="20"/>
              </w:rPr>
              <w:t>0.2364</w:t>
            </w:r>
          </w:p>
        </w:tc>
        <w:tc>
          <w:tcPr>
            <w:tcW w:w="1792" w:type="dxa"/>
            <w:vAlign w:val="bottom"/>
          </w:tcPr>
          <w:p w14:paraId="3DFE3601" w14:textId="2AFC5EC7" w:rsidR="00131E4E" w:rsidRPr="007A35DA" w:rsidRDefault="00C44CB8" w:rsidP="00131E4E">
            <w:pPr>
              <w:spacing w:after="0" w:line="240" w:lineRule="auto"/>
              <w:jc w:val="right"/>
              <w:rPr>
                <w:rFonts w:ascii="Calibri" w:hAnsi="Calibri" w:cs="Calibri"/>
                <w:color w:val="000000"/>
                <w:sz w:val="20"/>
                <w:szCs w:val="20"/>
              </w:rPr>
            </w:pPr>
            <w:r w:rsidRPr="007A35DA">
              <w:rPr>
                <w:rFonts w:ascii="Calibri" w:hAnsi="Calibri" w:cs="Calibri"/>
                <w:color w:val="000000"/>
                <w:sz w:val="20"/>
                <w:szCs w:val="20"/>
              </w:rPr>
              <w:t>1.3851, 2.1</w:t>
            </w:r>
            <w:r w:rsidR="00C1072F" w:rsidRPr="007A35DA">
              <w:rPr>
                <w:rFonts w:ascii="Calibri" w:hAnsi="Calibri" w:cs="Calibri"/>
                <w:color w:val="000000"/>
                <w:sz w:val="20"/>
                <w:szCs w:val="20"/>
              </w:rPr>
              <w:t>603</w:t>
            </w:r>
          </w:p>
        </w:tc>
      </w:tr>
      <w:tr w:rsidR="005751E4" w:rsidRPr="007A35DA" w14:paraId="033EBF7F" w14:textId="77777777" w:rsidTr="002629BB">
        <w:trPr>
          <w:gridAfter w:val="1"/>
          <w:wAfter w:w="7" w:type="dxa"/>
          <w:trHeight w:val="301"/>
        </w:trPr>
        <w:tc>
          <w:tcPr>
            <w:tcW w:w="10036" w:type="dxa"/>
            <w:gridSpan w:val="9"/>
            <w:shd w:val="clear" w:color="auto" w:fill="auto"/>
          </w:tcPr>
          <w:p w14:paraId="5B4FD46F" w14:textId="24A5BD70" w:rsidR="005751E4" w:rsidRPr="007A35DA" w:rsidRDefault="002833A0" w:rsidP="002833A0">
            <w:pPr>
              <w:keepNext/>
              <w:spacing w:after="0" w:line="240" w:lineRule="auto"/>
              <w:rPr>
                <w:rFonts w:ascii="Calibri" w:hAnsi="Calibri" w:cs="Calibri"/>
                <w:color w:val="000000"/>
                <w:sz w:val="20"/>
                <w:szCs w:val="20"/>
              </w:rPr>
            </w:pPr>
            <w:r w:rsidRPr="007A35DA">
              <w:rPr>
                <w:rFonts w:ascii="Calibri" w:hAnsi="Calibri" w:cs="Calibri"/>
                <w:color w:val="000000"/>
                <w:sz w:val="20"/>
                <w:szCs w:val="20"/>
              </w:rPr>
              <w:t>¹</w:t>
            </w:r>
            <w:r w:rsidR="005751E4" w:rsidRPr="007A35DA">
              <w:rPr>
                <w:rFonts w:ascii="Calibri" w:hAnsi="Calibri" w:cs="Calibri"/>
                <w:color w:val="000000"/>
                <w:sz w:val="20"/>
                <w:szCs w:val="20"/>
              </w:rPr>
              <w:t xml:space="preserve"> Age variables are mean centred. The </w:t>
            </w:r>
            <w:proofErr w:type="spellStart"/>
            <w:r w:rsidR="005751E4" w:rsidRPr="007A35DA">
              <w:rPr>
                <w:rFonts w:ascii="Calibri" w:hAnsi="Calibri" w:cs="Calibri"/>
                <w:color w:val="000000"/>
                <w:sz w:val="20"/>
                <w:szCs w:val="20"/>
              </w:rPr>
              <w:t>Gompertz</w:t>
            </w:r>
            <w:proofErr w:type="spellEnd"/>
            <w:r w:rsidR="005751E4" w:rsidRPr="007A35DA">
              <w:rPr>
                <w:rFonts w:ascii="Calibri" w:hAnsi="Calibri" w:cs="Calibri"/>
                <w:color w:val="000000"/>
                <w:sz w:val="20"/>
                <w:szCs w:val="20"/>
              </w:rPr>
              <w:t xml:space="preserve"> model mean is 73.7324 years.  The logistic model uses</w:t>
            </w:r>
            <w:r w:rsidRPr="007A35DA">
              <w:rPr>
                <w:rFonts w:ascii="Calibri" w:hAnsi="Calibri" w:cs="Calibri"/>
                <w:color w:val="000000"/>
                <w:sz w:val="20"/>
                <w:szCs w:val="20"/>
              </w:rPr>
              <w:t xml:space="preserve"> </w:t>
            </w:r>
            <w:r w:rsidR="000C3BBC" w:rsidRPr="007A35DA">
              <w:rPr>
                <w:rFonts w:ascii="Calibri" w:hAnsi="Calibri" w:cs="Calibri"/>
                <w:color w:val="000000"/>
                <w:sz w:val="20"/>
                <w:szCs w:val="20"/>
              </w:rPr>
              <w:t>centred</w:t>
            </w:r>
            <w:r w:rsidR="005751E4" w:rsidRPr="007A35DA">
              <w:rPr>
                <w:rFonts w:ascii="Calibri" w:hAnsi="Calibri" w:cs="Calibri"/>
                <w:color w:val="000000"/>
                <w:sz w:val="20"/>
                <w:szCs w:val="20"/>
              </w:rPr>
              <w:t xml:space="preserve"> group means on </w:t>
            </w:r>
            <w:proofErr w:type="spellStart"/>
            <w:r w:rsidR="005751E4" w:rsidRPr="007A35DA">
              <w:rPr>
                <w:rFonts w:ascii="Calibri" w:hAnsi="Calibri" w:cs="Calibri"/>
                <w:color w:val="000000"/>
                <w:sz w:val="20"/>
                <w:szCs w:val="20"/>
              </w:rPr>
              <w:t>mRS</w:t>
            </w:r>
            <w:proofErr w:type="spellEnd"/>
            <w:r w:rsidR="005751E4" w:rsidRPr="007A35DA">
              <w:rPr>
                <w:rFonts w:ascii="Calibri" w:hAnsi="Calibri" w:cs="Calibri"/>
                <w:color w:val="000000"/>
                <w:sz w:val="20"/>
                <w:szCs w:val="20"/>
              </w:rPr>
              <w:t>.  These are 67.09161,</w:t>
            </w:r>
            <w:r w:rsidR="005157C2" w:rsidRPr="007A35DA">
              <w:rPr>
                <w:rFonts w:ascii="Calibri" w:hAnsi="Calibri" w:cs="Calibri"/>
                <w:color w:val="000000"/>
                <w:sz w:val="20"/>
                <w:szCs w:val="20"/>
              </w:rPr>
              <w:t xml:space="preserve"> </w:t>
            </w:r>
            <w:r w:rsidR="005751E4" w:rsidRPr="007A35DA">
              <w:rPr>
                <w:rFonts w:ascii="Calibri" w:hAnsi="Calibri" w:cs="Calibri"/>
                <w:color w:val="000000"/>
                <w:sz w:val="20"/>
                <w:szCs w:val="20"/>
              </w:rPr>
              <w:t>67.98058, 72.85753, 76.48837,</w:t>
            </w:r>
            <w:r w:rsidR="005157C2" w:rsidRPr="007A35DA">
              <w:rPr>
                <w:rFonts w:ascii="Calibri" w:hAnsi="Calibri" w:cs="Calibri"/>
                <w:color w:val="000000"/>
                <w:sz w:val="20"/>
                <w:szCs w:val="20"/>
              </w:rPr>
              <w:t xml:space="preserve"> </w:t>
            </w:r>
            <w:r w:rsidR="005751E4" w:rsidRPr="007A35DA">
              <w:rPr>
                <w:rFonts w:ascii="Calibri" w:hAnsi="Calibri" w:cs="Calibri"/>
                <w:color w:val="000000"/>
                <w:sz w:val="20"/>
                <w:szCs w:val="20"/>
              </w:rPr>
              <w:t>78.56029, 80.91837 f</w:t>
            </w:r>
            <w:r w:rsidR="005157C2" w:rsidRPr="007A35DA">
              <w:rPr>
                <w:rFonts w:ascii="Calibri" w:hAnsi="Calibri" w:cs="Calibri"/>
                <w:color w:val="000000"/>
                <w:sz w:val="20"/>
                <w:szCs w:val="20"/>
              </w:rPr>
              <w:t>or</w:t>
            </w:r>
            <w:r w:rsidR="005751E4" w:rsidRPr="007A35DA">
              <w:rPr>
                <w:rFonts w:ascii="Calibri" w:hAnsi="Calibri" w:cs="Calibri"/>
                <w:color w:val="000000"/>
                <w:sz w:val="20"/>
                <w:szCs w:val="20"/>
              </w:rPr>
              <w:t xml:space="preserve"> </w:t>
            </w:r>
            <w:proofErr w:type="spellStart"/>
            <w:r w:rsidR="005751E4" w:rsidRPr="007A35DA">
              <w:rPr>
                <w:rFonts w:ascii="Calibri" w:hAnsi="Calibri" w:cs="Calibri"/>
                <w:color w:val="000000"/>
                <w:sz w:val="20"/>
                <w:szCs w:val="20"/>
              </w:rPr>
              <w:t>mRS</w:t>
            </w:r>
            <w:proofErr w:type="spellEnd"/>
            <w:r w:rsidR="005751E4" w:rsidRPr="007A35DA">
              <w:rPr>
                <w:rFonts w:ascii="Calibri" w:hAnsi="Calibri" w:cs="Calibri"/>
                <w:color w:val="000000"/>
                <w:sz w:val="20"/>
                <w:szCs w:val="20"/>
              </w:rPr>
              <w:t xml:space="preserve"> 0-5 respectively</w:t>
            </w:r>
          </w:p>
          <w:p w14:paraId="435A88CC" w14:textId="5C8DF351" w:rsidR="005751E4" w:rsidRPr="007A35DA" w:rsidRDefault="005751E4" w:rsidP="005751E4">
            <w:pPr>
              <w:pStyle w:val="ListParagraph"/>
              <w:keepNext/>
              <w:spacing w:after="0" w:line="240" w:lineRule="auto"/>
              <w:jc w:val="center"/>
              <w:rPr>
                <w:rFonts w:ascii="Calibri" w:hAnsi="Calibri" w:cs="Calibri"/>
                <w:color w:val="000000"/>
                <w:sz w:val="20"/>
                <w:szCs w:val="20"/>
              </w:rPr>
            </w:pPr>
          </w:p>
        </w:tc>
      </w:tr>
    </w:tbl>
    <w:p w14:paraId="18971C21" w14:textId="77777777" w:rsidR="00C71C83" w:rsidRDefault="00C71C83"/>
    <w:p w14:paraId="4C342CF0" w14:textId="65B3AD5F" w:rsidR="00F26C46" w:rsidRDefault="00F26C46">
      <w:r>
        <w:t xml:space="preserve">After 12 months, men had a greater risk of death, risk of death increased with age at stroke and at an increasing rate.  Higher </w:t>
      </w:r>
      <w:proofErr w:type="spellStart"/>
      <w:r>
        <w:t>mRS</w:t>
      </w:r>
      <w:proofErr w:type="spellEnd"/>
      <w:r>
        <w:t xml:space="preserve"> at discharge was associated with a higher risk of death, but in all </w:t>
      </w:r>
      <w:r w:rsidR="000C3BBC">
        <w:t>cases,</w:t>
      </w:r>
      <w:r>
        <w:t xml:space="preserve"> this increased risk was reduced as age at discharge increased.</w:t>
      </w:r>
    </w:p>
    <w:p w14:paraId="3F71F320" w14:textId="19076F5F" w:rsidR="00D95A82" w:rsidRDefault="00D95A82" w:rsidP="00D95A82">
      <w:r>
        <w:t xml:space="preserve">The models for secondary care use over the period of analysis show that A&amp;E visits are higher for men than women and decrease with age.  Compared to an individual with a </w:t>
      </w:r>
      <w:proofErr w:type="spellStart"/>
      <w:r>
        <w:t>mRS</w:t>
      </w:r>
      <w:proofErr w:type="spellEnd"/>
      <w:r>
        <w:t xml:space="preserve"> of 0, the same individual would have a higher count of A&amp;E visits if their </w:t>
      </w:r>
      <w:proofErr w:type="spellStart"/>
      <w:r>
        <w:t>mRS</w:t>
      </w:r>
      <w:proofErr w:type="spellEnd"/>
      <w:r>
        <w:t xml:space="preserve"> was 1 but a lower count if their </w:t>
      </w:r>
      <w:proofErr w:type="spellStart"/>
      <w:r>
        <w:t>mRS</w:t>
      </w:r>
      <w:proofErr w:type="spellEnd"/>
      <w:r>
        <w:t xml:space="preserve"> was 2 or higher.  For the non-elective bed days, total bed day count decreased as age increased, with females having a higher number of bed days compared to men (all other variables being the same).  The total number of non-elective bed days increased as the </w:t>
      </w:r>
      <w:proofErr w:type="spellStart"/>
      <w:r>
        <w:t>mRS</w:t>
      </w:r>
      <w:proofErr w:type="spellEnd"/>
      <w:r>
        <w:t xml:space="preserve"> increased, except for </w:t>
      </w:r>
      <w:proofErr w:type="spellStart"/>
      <w:r>
        <w:t>mRS</w:t>
      </w:r>
      <w:proofErr w:type="spellEnd"/>
      <w:r>
        <w:t xml:space="preserve"> of 5.  An individual with a </w:t>
      </w:r>
      <w:proofErr w:type="spellStart"/>
      <w:r>
        <w:t>mRS</w:t>
      </w:r>
      <w:proofErr w:type="spellEnd"/>
      <w:r>
        <w:t xml:space="preserve"> of 5 could expect a higher total number of non-elective bed days than the same individual with an </w:t>
      </w:r>
      <w:proofErr w:type="spellStart"/>
      <w:r>
        <w:t>mRS</w:t>
      </w:r>
      <w:proofErr w:type="spellEnd"/>
      <w:r>
        <w:t xml:space="preserve"> of 1 but a lower total bed days than if they had a </w:t>
      </w:r>
      <w:proofErr w:type="spellStart"/>
      <w:r>
        <w:t>mRS</w:t>
      </w:r>
      <w:proofErr w:type="spellEnd"/>
      <w:r>
        <w:t xml:space="preserve"> of 2.   For the elective bed days, the total count increased with age and if the individual was a man.  Compared to an individual with a </w:t>
      </w:r>
      <w:proofErr w:type="spellStart"/>
      <w:r>
        <w:t>mRS</w:t>
      </w:r>
      <w:proofErr w:type="spellEnd"/>
      <w:r>
        <w:t xml:space="preserve"> of 0, the same individual would have a higher elective </w:t>
      </w:r>
      <w:r w:rsidR="00B752B9">
        <w:t>b</w:t>
      </w:r>
      <w:r>
        <w:t xml:space="preserve">ed day count if their </w:t>
      </w:r>
      <w:proofErr w:type="spellStart"/>
      <w:r>
        <w:t>mRS</w:t>
      </w:r>
      <w:proofErr w:type="spellEnd"/>
      <w:r>
        <w:t xml:space="preserve"> was 1,2 or 5 but a lower total count if their </w:t>
      </w:r>
      <w:proofErr w:type="spellStart"/>
      <w:r>
        <w:t>mRS</w:t>
      </w:r>
      <w:proofErr w:type="spellEnd"/>
      <w:r>
        <w:t xml:space="preserve"> was 3 or 4.</w:t>
      </w:r>
    </w:p>
    <w:p w14:paraId="13021AC1" w14:textId="2CC2C627" w:rsidR="000C3BBC" w:rsidRDefault="009C3C7A">
      <w:r>
        <w:t>Table 3 Resource use survival models</w:t>
      </w:r>
    </w:p>
    <w:tbl>
      <w:tblPr>
        <w:tblW w:w="9413" w:type="dxa"/>
        <w:tblLayout w:type="fixed"/>
        <w:tblLook w:val="04A0" w:firstRow="1" w:lastRow="0" w:firstColumn="1" w:lastColumn="0" w:noHBand="0" w:noVBand="1"/>
      </w:tblPr>
      <w:tblGrid>
        <w:gridCol w:w="1105"/>
        <w:gridCol w:w="921"/>
        <w:gridCol w:w="873"/>
        <w:gridCol w:w="916"/>
        <w:gridCol w:w="850"/>
        <w:gridCol w:w="851"/>
        <w:gridCol w:w="991"/>
        <w:gridCol w:w="935"/>
        <w:gridCol w:w="868"/>
        <w:gridCol w:w="1064"/>
        <w:gridCol w:w="39"/>
      </w:tblGrid>
      <w:tr w:rsidR="00FD78B9" w:rsidRPr="00FD78B9" w14:paraId="17C999EB" w14:textId="2E48E201" w:rsidTr="00C71C83">
        <w:trPr>
          <w:gridAfter w:val="1"/>
          <w:wAfter w:w="34" w:type="dxa"/>
          <w:trHeight w:val="315"/>
        </w:trPr>
        <w:tc>
          <w:tcPr>
            <w:tcW w:w="1107"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3B1A9FF5" w14:textId="77777777" w:rsidR="000C3BBC" w:rsidRPr="00FD78B9" w:rsidRDefault="000C3BBC" w:rsidP="000E14EB">
            <w:pPr>
              <w:spacing w:after="0" w:line="240" w:lineRule="auto"/>
              <w:rPr>
                <w:rFonts w:eastAsia="Times New Roman" w:cstheme="minorHAnsi"/>
                <w:b/>
                <w:bCs/>
                <w:color w:val="000000"/>
                <w:sz w:val="20"/>
                <w:szCs w:val="20"/>
                <w:lang w:eastAsia="en-GB"/>
              </w:rPr>
            </w:pPr>
            <w:r w:rsidRPr="00FD78B9">
              <w:rPr>
                <w:rFonts w:eastAsia="Times New Roman" w:cstheme="minorHAnsi"/>
                <w:b/>
                <w:bCs/>
                <w:color w:val="000000"/>
                <w:sz w:val="20"/>
                <w:szCs w:val="20"/>
                <w:lang w:eastAsia="en-GB"/>
              </w:rPr>
              <w:t>Variables</w:t>
            </w:r>
          </w:p>
        </w:tc>
        <w:tc>
          <w:tcPr>
            <w:tcW w:w="2711" w:type="dxa"/>
            <w:gridSpan w:val="3"/>
            <w:tcBorders>
              <w:top w:val="single" w:sz="8" w:space="0" w:color="auto"/>
              <w:left w:val="single" w:sz="4" w:space="0" w:color="auto"/>
              <w:bottom w:val="single" w:sz="8" w:space="0" w:color="auto"/>
              <w:right w:val="single" w:sz="4" w:space="0" w:color="auto"/>
            </w:tcBorders>
            <w:shd w:val="clear" w:color="auto" w:fill="auto"/>
            <w:noWrap/>
            <w:vAlign w:val="bottom"/>
            <w:hideMark/>
          </w:tcPr>
          <w:p w14:paraId="35F90361" w14:textId="1F4531F5" w:rsidR="000C3BBC" w:rsidRPr="00FD78B9" w:rsidRDefault="000C3BBC" w:rsidP="000E14EB">
            <w:pPr>
              <w:spacing w:after="0" w:line="240" w:lineRule="auto"/>
              <w:rPr>
                <w:rFonts w:eastAsia="Times New Roman" w:cstheme="minorHAnsi"/>
                <w:b/>
                <w:bCs/>
                <w:color w:val="000000"/>
                <w:sz w:val="20"/>
                <w:szCs w:val="20"/>
                <w:lang w:eastAsia="en-GB"/>
              </w:rPr>
            </w:pPr>
            <w:r w:rsidRPr="00FD78B9">
              <w:rPr>
                <w:rFonts w:eastAsia="Times New Roman" w:cstheme="minorHAnsi"/>
                <w:b/>
                <w:bCs/>
                <w:color w:val="000000"/>
                <w:sz w:val="20"/>
                <w:szCs w:val="20"/>
                <w:lang w:eastAsia="en-GB"/>
              </w:rPr>
              <w:t>A&amp;E (Weibull)</w:t>
            </w:r>
          </w:p>
        </w:tc>
        <w:tc>
          <w:tcPr>
            <w:tcW w:w="2693" w:type="dxa"/>
            <w:gridSpan w:val="3"/>
            <w:tcBorders>
              <w:top w:val="single" w:sz="8" w:space="0" w:color="auto"/>
              <w:left w:val="single" w:sz="4" w:space="0" w:color="auto"/>
              <w:bottom w:val="single" w:sz="8" w:space="0" w:color="auto"/>
              <w:right w:val="single" w:sz="4" w:space="0" w:color="auto"/>
            </w:tcBorders>
            <w:shd w:val="clear" w:color="auto" w:fill="auto"/>
            <w:noWrap/>
            <w:vAlign w:val="bottom"/>
            <w:hideMark/>
          </w:tcPr>
          <w:p w14:paraId="4ABDC7D4" w14:textId="2C4A91C0" w:rsidR="000C3BBC" w:rsidRPr="00FD78B9" w:rsidRDefault="000C3BBC" w:rsidP="000E14EB">
            <w:pPr>
              <w:spacing w:after="0" w:line="240" w:lineRule="auto"/>
              <w:rPr>
                <w:rFonts w:eastAsia="Times New Roman" w:cstheme="minorHAnsi"/>
                <w:b/>
                <w:bCs/>
                <w:color w:val="000000"/>
                <w:sz w:val="20"/>
                <w:szCs w:val="20"/>
                <w:lang w:eastAsia="en-GB"/>
              </w:rPr>
            </w:pPr>
            <w:r w:rsidRPr="00FD78B9">
              <w:rPr>
                <w:rFonts w:eastAsia="Times New Roman" w:cstheme="minorHAnsi"/>
                <w:b/>
                <w:bCs/>
                <w:color w:val="000000"/>
                <w:sz w:val="20"/>
                <w:szCs w:val="20"/>
                <w:lang w:eastAsia="en-GB"/>
              </w:rPr>
              <w:t>NEL Days (log-logistic)</w:t>
            </w:r>
          </w:p>
        </w:tc>
        <w:tc>
          <w:tcPr>
            <w:tcW w:w="2868" w:type="dxa"/>
            <w:gridSpan w:val="3"/>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3D13073F" w14:textId="45980429" w:rsidR="000C3BBC" w:rsidRPr="00FD78B9" w:rsidRDefault="000C3BBC" w:rsidP="000E14EB">
            <w:pPr>
              <w:spacing w:after="0" w:line="240" w:lineRule="auto"/>
              <w:rPr>
                <w:rFonts w:eastAsia="Times New Roman" w:cstheme="minorHAnsi"/>
                <w:b/>
                <w:bCs/>
                <w:color w:val="000000"/>
                <w:sz w:val="20"/>
                <w:szCs w:val="20"/>
                <w:lang w:eastAsia="en-GB"/>
              </w:rPr>
            </w:pPr>
            <w:r w:rsidRPr="00FD78B9">
              <w:rPr>
                <w:rFonts w:eastAsia="Times New Roman" w:cstheme="minorHAnsi"/>
                <w:b/>
                <w:bCs/>
                <w:color w:val="000000"/>
                <w:sz w:val="20"/>
                <w:szCs w:val="20"/>
                <w:lang w:eastAsia="en-GB"/>
              </w:rPr>
              <w:t>EL Days (log-logistic)</w:t>
            </w:r>
          </w:p>
        </w:tc>
      </w:tr>
      <w:tr w:rsidR="00FD78B9" w:rsidRPr="00FD78B9" w14:paraId="7B547E30" w14:textId="1E09CF49" w:rsidTr="00C71C83">
        <w:trPr>
          <w:gridAfter w:val="1"/>
          <w:wAfter w:w="39" w:type="dxa"/>
          <w:trHeight w:val="315"/>
        </w:trPr>
        <w:tc>
          <w:tcPr>
            <w:tcW w:w="1107" w:type="dxa"/>
            <w:tcBorders>
              <w:top w:val="single" w:sz="8" w:space="0" w:color="auto"/>
              <w:left w:val="single" w:sz="8" w:space="0" w:color="auto"/>
              <w:bottom w:val="single" w:sz="8" w:space="0" w:color="auto"/>
              <w:right w:val="single" w:sz="4" w:space="0" w:color="auto"/>
            </w:tcBorders>
            <w:shd w:val="clear" w:color="auto" w:fill="auto"/>
            <w:noWrap/>
            <w:vAlign w:val="bottom"/>
          </w:tcPr>
          <w:p w14:paraId="7369DC25" w14:textId="77777777" w:rsidR="000C3BBC" w:rsidRPr="00FD78B9" w:rsidRDefault="000C3BBC" w:rsidP="00C71C83">
            <w:pPr>
              <w:spacing w:after="0" w:line="240" w:lineRule="auto"/>
              <w:jc w:val="right"/>
              <w:rPr>
                <w:rFonts w:eastAsia="Times New Roman" w:cstheme="minorHAnsi"/>
                <w:b/>
                <w:bCs/>
                <w:color w:val="000000"/>
                <w:sz w:val="20"/>
                <w:szCs w:val="20"/>
                <w:lang w:eastAsia="en-GB"/>
              </w:rPr>
            </w:pPr>
          </w:p>
        </w:tc>
        <w:tc>
          <w:tcPr>
            <w:tcW w:w="922" w:type="dxa"/>
            <w:tcBorders>
              <w:top w:val="single" w:sz="8" w:space="0" w:color="auto"/>
              <w:left w:val="single" w:sz="4" w:space="0" w:color="auto"/>
              <w:bottom w:val="single" w:sz="8" w:space="0" w:color="auto"/>
              <w:right w:val="single" w:sz="4" w:space="0" w:color="auto"/>
            </w:tcBorders>
            <w:shd w:val="clear" w:color="auto" w:fill="auto"/>
            <w:noWrap/>
            <w:vAlign w:val="bottom"/>
          </w:tcPr>
          <w:p w14:paraId="3F2F7060" w14:textId="51CC6202" w:rsidR="000C3BBC" w:rsidRPr="00FD78B9" w:rsidRDefault="000C3BBC" w:rsidP="00C71C83">
            <w:pPr>
              <w:spacing w:after="0" w:line="240" w:lineRule="auto"/>
              <w:jc w:val="right"/>
              <w:rPr>
                <w:rFonts w:eastAsia="Times New Roman" w:cstheme="minorHAnsi"/>
                <w:color w:val="000000"/>
                <w:sz w:val="20"/>
                <w:szCs w:val="20"/>
                <w:lang w:eastAsia="en-GB"/>
              </w:rPr>
            </w:pPr>
            <w:r w:rsidRPr="00FD78B9">
              <w:rPr>
                <w:rFonts w:eastAsia="Times New Roman" w:cstheme="minorHAnsi"/>
                <w:color w:val="000000"/>
                <w:sz w:val="20"/>
                <w:szCs w:val="20"/>
                <w:lang w:eastAsia="en-GB"/>
              </w:rPr>
              <w:t>Coeff</w:t>
            </w:r>
          </w:p>
        </w:tc>
        <w:tc>
          <w:tcPr>
            <w:tcW w:w="873" w:type="dxa"/>
            <w:tcBorders>
              <w:top w:val="single" w:sz="8" w:space="0" w:color="auto"/>
              <w:left w:val="single" w:sz="4" w:space="0" w:color="auto"/>
              <w:bottom w:val="single" w:sz="8" w:space="0" w:color="auto"/>
              <w:right w:val="single" w:sz="4" w:space="0" w:color="auto"/>
            </w:tcBorders>
          </w:tcPr>
          <w:p w14:paraId="19F6F34F" w14:textId="1F7FBF6B" w:rsidR="000C3BBC" w:rsidRPr="00FD78B9" w:rsidRDefault="000C3BBC" w:rsidP="00C71C83">
            <w:pPr>
              <w:spacing w:after="0" w:line="240" w:lineRule="auto"/>
              <w:jc w:val="right"/>
              <w:rPr>
                <w:rFonts w:eastAsia="Times New Roman" w:cstheme="minorHAnsi"/>
                <w:color w:val="000000"/>
                <w:sz w:val="20"/>
                <w:szCs w:val="20"/>
                <w:lang w:eastAsia="en-GB"/>
              </w:rPr>
            </w:pPr>
            <w:r w:rsidRPr="00FD78B9">
              <w:rPr>
                <w:rFonts w:eastAsia="Times New Roman" w:cstheme="minorHAnsi"/>
                <w:color w:val="000000"/>
                <w:sz w:val="20"/>
                <w:szCs w:val="20"/>
                <w:lang w:eastAsia="en-GB"/>
              </w:rPr>
              <w:t>SE</w:t>
            </w:r>
          </w:p>
        </w:tc>
        <w:tc>
          <w:tcPr>
            <w:tcW w:w="916" w:type="dxa"/>
            <w:tcBorders>
              <w:top w:val="single" w:sz="8" w:space="0" w:color="auto"/>
              <w:left w:val="single" w:sz="4" w:space="0" w:color="auto"/>
              <w:bottom w:val="single" w:sz="8" w:space="0" w:color="auto"/>
              <w:right w:val="single" w:sz="4" w:space="0" w:color="auto"/>
            </w:tcBorders>
          </w:tcPr>
          <w:p w14:paraId="77193DD6" w14:textId="41A0A6B6" w:rsidR="000C3BBC" w:rsidRPr="00FD78B9" w:rsidRDefault="00C71C83" w:rsidP="00C71C83">
            <w:pPr>
              <w:spacing w:after="0" w:line="240" w:lineRule="auto"/>
              <w:jc w:val="right"/>
              <w:rPr>
                <w:rFonts w:eastAsia="Times New Roman" w:cstheme="minorHAnsi"/>
                <w:color w:val="000000"/>
                <w:sz w:val="20"/>
                <w:szCs w:val="20"/>
                <w:lang w:eastAsia="en-GB"/>
              </w:rPr>
            </w:pPr>
            <w:r>
              <w:rPr>
                <w:rFonts w:eastAsia="Times New Roman" w:cstheme="minorHAnsi"/>
                <w:color w:val="000000"/>
                <w:sz w:val="20"/>
                <w:szCs w:val="20"/>
                <w:lang w:eastAsia="en-GB"/>
              </w:rPr>
              <w:t>95%CI</w:t>
            </w:r>
          </w:p>
        </w:tc>
        <w:tc>
          <w:tcPr>
            <w:tcW w:w="850" w:type="dxa"/>
            <w:tcBorders>
              <w:top w:val="single" w:sz="8" w:space="0" w:color="auto"/>
              <w:left w:val="single" w:sz="4" w:space="0" w:color="auto"/>
              <w:bottom w:val="single" w:sz="8" w:space="0" w:color="auto"/>
              <w:right w:val="single" w:sz="4" w:space="0" w:color="auto"/>
            </w:tcBorders>
            <w:shd w:val="clear" w:color="auto" w:fill="auto"/>
            <w:noWrap/>
            <w:vAlign w:val="bottom"/>
          </w:tcPr>
          <w:p w14:paraId="31E0EEC6" w14:textId="74562E25" w:rsidR="000C3BBC" w:rsidRPr="00FD78B9" w:rsidRDefault="000C3BBC" w:rsidP="00C71C83">
            <w:pPr>
              <w:spacing w:after="0" w:line="240" w:lineRule="auto"/>
              <w:jc w:val="right"/>
              <w:rPr>
                <w:rFonts w:eastAsia="Times New Roman" w:cstheme="minorHAnsi"/>
                <w:color w:val="000000"/>
                <w:sz w:val="20"/>
                <w:szCs w:val="20"/>
                <w:lang w:eastAsia="en-GB"/>
              </w:rPr>
            </w:pPr>
            <w:r w:rsidRPr="00FD78B9">
              <w:rPr>
                <w:rFonts w:eastAsia="Times New Roman" w:cstheme="minorHAnsi"/>
                <w:color w:val="000000"/>
                <w:sz w:val="20"/>
                <w:szCs w:val="20"/>
                <w:lang w:eastAsia="en-GB"/>
              </w:rPr>
              <w:t>Coeff</w:t>
            </w:r>
          </w:p>
        </w:tc>
        <w:tc>
          <w:tcPr>
            <w:tcW w:w="851" w:type="dxa"/>
            <w:tcBorders>
              <w:top w:val="single" w:sz="8" w:space="0" w:color="auto"/>
              <w:left w:val="single" w:sz="4" w:space="0" w:color="auto"/>
              <w:bottom w:val="single" w:sz="8" w:space="0" w:color="auto"/>
              <w:right w:val="single" w:sz="4" w:space="0" w:color="auto"/>
            </w:tcBorders>
          </w:tcPr>
          <w:p w14:paraId="1D34E9F0" w14:textId="5824CA2C" w:rsidR="000C3BBC" w:rsidRPr="00FD78B9" w:rsidRDefault="000C3BBC" w:rsidP="00C71C83">
            <w:pPr>
              <w:spacing w:after="0" w:line="240" w:lineRule="auto"/>
              <w:jc w:val="right"/>
              <w:rPr>
                <w:rFonts w:eastAsia="Times New Roman" w:cstheme="minorHAnsi"/>
                <w:color w:val="000000"/>
                <w:sz w:val="20"/>
                <w:szCs w:val="20"/>
                <w:lang w:eastAsia="en-GB"/>
              </w:rPr>
            </w:pPr>
            <w:r w:rsidRPr="00FD78B9">
              <w:rPr>
                <w:rFonts w:eastAsia="Times New Roman" w:cstheme="minorHAnsi"/>
                <w:color w:val="000000"/>
                <w:sz w:val="20"/>
                <w:szCs w:val="20"/>
                <w:lang w:eastAsia="en-GB"/>
              </w:rPr>
              <w:t>S</w:t>
            </w:r>
            <w:r w:rsidR="009C3C7A" w:rsidRPr="00FD78B9">
              <w:rPr>
                <w:rFonts w:eastAsia="Times New Roman" w:cstheme="minorHAnsi"/>
                <w:color w:val="000000"/>
                <w:sz w:val="20"/>
                <w:szCs w:val="20"/>
                <w:lang w:eastAsia="en-GB"/>
              </w:rPr>
              <w:t>E</w:t>
            </w:r>
          </w:p>
        </w:tc>
        <w:tc>
          <w:tcPr>
            <w:tcW w:w="992" w:type="dxa"/>
            <w:tcBorders>
              <w:top w:val="single" w:sz="8" w:space="0" w:color="auto"/>
              <w:left w:val="single" w:sz="4" w:space="0" w:color="auto"/>
              <w:bottom w:val="single" w:sz="8" w:space="0" w:color="auto"/>
              <w:right w:val="single" w:sz="4" w:space="0" w:color="auto"/>
            </w:tcBorders>
          </w:tcPr>
          <w:p w14:paraId="5FF3CF03" w14:textId="67D2EFE6" w:rsidR="000C3BBC" w:rsidRPr="00FD78B9" w:rsidRDefault="00C71C83" w:rsidP="00C71C83">
            <w:pPr>
              <w:spacing w:after="0" w:line="240" w:lineRule="auto"/>
              <w:jc w:val="right"/>
              <w:rPr>
                <w:rFonts w:eastAsia="Times New Roman" w:cstheme="minorHAnsi"/>
                <w:color w:val="000000"/>
                <w:sz w:val="20"/>
                <w:szCs w:val="20"/>
                <w:lang w:eastAsia="en-GB"/>
              </w:rPr>
            </w:pPr>
            <w:r>
              <w:rPr>
                <w:rFonts w:eastAsia="Times New Roman" w:cstheme="minorHAnsi"/>
                <w:color w:val="000000"/>
                <w:sz w:val="20"/>
                <w:szCs w:val="20"/>
                <w:lang w:eastAsia="en-GB"/>
              </w:rPr>
              <w:t>95%CI</w:t>
            </w:r>
          </w:p>
        </w:tc>
        <w:tc>
          <w:tcPr>
            <w:tcW w:w="935" w:type="dxa"/>
            <w:tcBorders>
              <w:top w:val="single" w:sz="8" w:space="0" w:color="auto"/>
              <w:left w:val="single" w:sz="4" w:space="0" w:color="auto"/>
              <w:bottom w:val="single" w:sz="8" w:space="0" w:color="auto"/>
              <w:right w:val="single" w:sz="8" w:space="0" w:color="auto"/>
            </w:tcBorders>
            <w:shd w:val="clear" w:color="auto" w:fill="auto"/>
            <w:noWrap/>
            <w:vAlign w:val="bottom"/>
          </w:tcPr>
          <w:p w14:paraId="11FF6505" w14:textId="046E6384" w:rsidR="000C3BBC" w:rsidRPr="00FD78B9" w:rsidRDefault="000C3BBC" w:rsidP="00C71C83">
            <w:pPr>
              <w:spacing w:after="0" w:line="240" w:lineRule="auto"/>
              <w:jc w:val="right"/>
              <w:rPr>
                <w:rFonts w:eastAsia="Times New Roman" w:cstheme="minorHAnsi"/>
                <w:color w:val="000000"/>
                <w:sz w:val="20"/>
                <w:szCs w:val="20"/>
                <w:lang w:eastAsia="en-GB"/>
              </w:rPr>
            </w:pPr>
            <w:r w:rsidRPr="00FD78B9">
              <w:rPr>
                <w:rFonts w:eastAsia="Times New Roman" w:cstheme="minorHAnsi"/>
                <w:color w:val="000000"/>
                <w:sz w:val="20"/>
                <w:szCs w:val="20"/>
                <w:lang w:eastAsia="en-GB"/>
              </w:rPr>
              <w:t>Coeff</w:t>
            </w:r>
          </w:p>
        </w:tc>
        <w:tc>
          <w:tcPr>
            <w:tcW w:w="868" w:type="dxa"/>
            <w:tcBorders>
              <w:top w:val="single" w:sz="8" w:space="0" w:color="auto"/>
              <w:left w:val="single" w:sz="4" w:space="0" w:color="auto"/>
              <w:bottom w:val="single" w:sz="8" w:space="0" w:color="auto"/>
              <w:right w:val="single" w:sz="8" w:space="0" w:color="auto"/>
            </w:tcBorders>
          </w:tcPr>
          <w:p w14:paraId="0DD33993" w14:textId="1C84B371" w:rsidR="000C3BBC" w:rsidRPr="00FD78B9" w:rsidRDefault="000C3BBC" w:rsidP="00C71C83">
            <w:pPr>
              <w:spacing w:after="0" w:line="240" w:lineRule="auto"/>
              <w:jc w:val="right"/>
              <w:rPr>
                <w:rFonts w:eastAsia="Times New Roman" w:cstheme="minorHAnsi"/>
                <w:color w:val="000000"/>
                <w:sz w:val="20"/>
                <w:szCs w:val="20"/>
                <w:lang w:eastAsia="en-GB"/>
              </w:rPr>
            </w:pPr>
            <w:r w:rsidRPr="00FD78B9">
              <w:rPr>
                <w:rFonts w:eastAsia="Times New Roman" w:cstheme="minorHAnsi"/>
                <w:color w:val="000000"/>
                <w:sz w:val="20"/>
                <w:szCs w:val="20"/>
                <w:lang w:eastAsia="en-GB"/>
              </w:rPr>
              <w:t>SE</w:t>
            </w:r>
          </w:p>
        </w:tc>
        <w:tc>
          <w:tcPr>
            <w:tcW w:w="1060" w:type="dxa"/>
            <w:tcBorders>
              <w:top w:val="single" w:sz="8" w:space="0" w:color="auto"/>
              <w:left w:val="single" w:sz="4" w:space="0" w:color="auto"/>
              <w:bottom w:val="single" w:sz="8" w:space="0" w:color="auto"/>
              <w:right w:val="single" w:sz="8" w:space="0" w:color="auto"/>
            </w:tcBorders>
          </w:tcPr>
          <w:p w14:paraId="7961DD5C" w14:textId="224A4344" w:rsidR="000C3BBC" w:rsidRPr="00FD78B9" w:rsidRDefault="00C71C83" w:rsidP="00C71C83">
            <w:pPr>
              <w:spacing w:after="0" w:line="240" w:lineRule="auto"/>
              <w:jc w:val="right"/>
              <w:rPr>
                <w:rFonts w:eastAsia="Times New Roman" w:cstheme="minorHAnsi"/>
                <w:color w:val="000000"/>
                <w:sz w:val="20"/>
                <w:szCs w:val="20"/>
                <w:lang w:eastAsia="en-GB"/>
              </w:rPr>
            </w:pPr>
            <w:r>
              <w:rPr>
                <w:rFonts w:eastAsia="Times New Roman" w:cstheme="minorHAnsi"/>
                <w:color w:val="000000"/>
                <w:sz w:val="20"/>
                <w:szCs w:val="20"/>
                <w:lang w:eastAsia="en-GB"/>
              </w:rPr>
              <w:t>95%CI</w:t>
            </w:r>
          </w:p>
        </w:tc>
      </w:tr>
      <w:tr w:rsidR="00FD78B9" w:rsidRPr="00FD78B9" w14:paraId="4AE16010" w14:textId="3A761B51" w:rsidTr="00C71C83">
        <w:trPr>
          <w:gridAfter w:val="1"/>
          <w:wAfter w:w="39" w:type="dxa"/>
          <w:trHeight w:val="300"/>
        </w:trPr>
        <w:tc>
          <w:tcPr>
            <w:tcW w:w="1107" w:type="dxa"/>
            <w:tcBorders>
              <w:top w:val="nil"/>
              <w:left w:val="single" w:sz="8" w:space="0" w:color="auto"/>
              <w:bottom w:val="single" w:sz="4" w:space="0" w:color="auto"/>
              <w:right w:val="single" w:sz="4" w:space="0" w:color="auto"/>
            </w:tcBorders>
            <w:shd w:val="clear" w:color="auto" w:fill="auto"/>
            <w:noWrap/>
            <w:vAlign w:val="bottom"/>
            <w:hideMark/>
          </w:tcPr>
          <w:p w14:paraId="2C228CE3" w14:textId="77777777" w:rsidR="00FD78B9" w:rsidRPr="00FD78B9" w:rsidRDefault="00FD78B9" w:rsidP="00C71C83">
            <w:pPr>
              <w:spacing w:after="0" w:line="240" w:lineRule="auto"/>
              <w:jc w:val="right"/>
              <w:rPr>
                <w:rFonts w:eastAsia="Times New Roman" w:cstheme="minorHAnsi"/>
                <w:color w:val="000000"/>
                <w:sz w:val="20"/>
                <w:szCs w:val="20"/>
                <w:lang w:eastAsia="en-GB"/>
              </w:rPr>
            </w:pPr>
            <w:r w:rsidRPr="00FD78B9">
              <w:rPr>
                <w:rFonts w:eastAsia="Times New Roman" w:cstheme="minorHAnsi"/>
                <w:color w:val="000000"/>
                <w:sz w:val="20"/>
                <w:szCs w:val="20"/>
                <w:lang w:eastAsia="en-GB"/>
              </w:rPr>
              <w:t>Constant</w:t>
            </w:r>
          </w:p>
        </w:tc>
        <w:tc>
          <w:tcPr>
            <w:tcW w:w="922" w:type="dxa"/>
            <w:tcBorders>
              <w:top w:val="nil"/>
              <w:left w:val="single" w:sz="4" w:space="0" w:color="auto"/>
              <w:bottom w:val="single" w:sz="4" w:space="0" w:color="auto"/>
              <w:right w:val="single" w:sz="4" w:space="0" w:color="auto"/>
            </w:tcBorders>
            <w:shd w:val="clear" w:color="auto" w:fill="auto"/>
            <w:noWrap/>
            <w:vAlign w:val="bottom"/>
            <w:hideMark/>
          </w:tcPr>
          <w:p w14:paraId="4483A300" w14:textId="29B4F152" w:rsidR="00FD78B9" w:rsidRPr="00FD78B9" w:rsidRDefault="00FD78B9" w:rsidP="00C71C83">
            <w:pPr>
              <w:spacing w:after="0" w:line="240" w:lineRule="auto"/>
              <w:jc w:val="right"/>
              <w:rPr>
                <w:rFonts w:eastAsia="Times New Roman" w:cstheme="minorHAnsi"/>
                <w:color w:val="000000"/>
                <w:sz w:val="20"/>
                <w:szCs w:val="20"/>
                <w:lang w:eastAsia="en-GB"/>
              </w:rPr>
            </w:pPr>
            <w:r w:rsidRPr="00FD78B9">
              <w:rPr>
                <w:rFonts w:cstheme="minorHAnsi"/>
                <w:color w:val="000000"/>
                <w:sz w:val="20"/>
                <w:szCs w:val="20"/>
              </w:rPr>
              <w:t>-0.0692</w:t>
            </w:r>
          </w:p>
        </w:tc>
        <w:tc>
          <w:tcPr>
            <w:tcW w:w="873" w:type="dxa"/>
            <w:tcBorders>
              <w:top w:val="nil"/>
              <w:left w:val="single" w:sz="4" w:space="0" w:color="auto"/>
              <w:bottom w:val="single" w:sz="4" w:space="0" w:color="auto"/>
              <w:right w:val="single" w:sz="4" w:space="0" w:color="auto"/>
            </w:tcBorders>
          </w:tcPr>
          <w:p w14:paraId="060C2248" w14:textId="163BA0C1" w:rsidR="00FD78B9" w:rsidRPr="00FD78B9" w:rsidRDefault="00FD78B9" w:rsidP="00C71C83">
            <w:pPr>
              <w:spacing w:after="0" w:line="240" w:lineRule="auto"/>
              <w:jc w:val="right"/>
              <w:rPr>
                <w:rFonts w:cstheme="minorHAnsi"/>
                <w:color w:val="000000"/>
                <w:sz w:val="20"/>
                <w:szCs w:val="20"/>
              </w:rPr>
            </w:pPr>
            <w:r>
              <w:rPr>
                <w:rFonts w:cstheme="minorHAnsi"/>
                <w:color w:val="000000"/>
                <w:sz w:val="20"/>
                <w:szCs w:val="20"/>
              </w:rPr>
              <w:t>0.0601</w:t>
            </w:r>
          </w:p>
        </w:tc>
        <w:tc>
          <w:tcPr>
            <w:tcW w:w="916" w:type="dxa"/>
            <w:tcBorders>
              <w:top w:val="nil"/>
              <w:left w:val="single" w:sz="4" w:space="0" w:color="auto"/>
              <w:bottom w:val="single" w:sz="4" w:space="0" w:color="auto"/>
              <w:right w:val="single" w:sz="4" w:space="0" w:color="auto"/>
            </w:tcBorders>
          </w:tcPr>
          <w:p w14:paraId="4F1913E4" w14:textId="02D7F1E2" w:rsidR="00FD78B9" w:rsidRPr="00FD78B9" w:rsidRDefault="00FD78B9" w:rsidP="00C71C83">
            <w:pPr>
              <w:spacing w:after="0" w:line="240" w:lineRule="auto"/>
              <w:jc w:val="right"/>
              <w:rPr>
                <w:rFonts w:cstheme="minorHAnsi"/>
                <w:color w:val="000000"/>
                <w:sz w:val="20"/>
                <w:szCs w:val="20"/>
              </w:rPr>
            </w:pPr>
            <w:r w:rsidRPr="00FD78B9">
              <w:rPr>
                <w:rFonts w:cstheme="minorHAnsi"/>
                <w:color w:val="000000"/>
                <w:sz w:val="20"/>
                <w:szCs w:val="20"/>
              </w:rPr>
              <w:t>-0.187,</w:t>
            </w:r>
            <w:r>
              <w:rPr>
                <w:rFonts w:cstheme="minorHAnsi"/>
                <w:color w:val="000000"/>
                <w:sz w:val="20"/>
                <w:szCs w:val="20"/>
              </w:rPr>
              <w:t xml:space="preserve"> </w:t>
            </w:r>
            <w:r w:rsidRPr="00FD78B9">
              <w:rPr>
                <w:rFonts w:cstheme="minorHAnsi"/>
                <w:color w:val="000000"/>
                <w:sz w:val="20"/>
                <w:szCs w:val="20"/>
              </w:rPr>
              <w:t>0.0487</w:t>
            </w:r>
          </w:p>
        </w:tc>
        <w:tc>
          <w:tcPr>
            <w:tcW w:w="850" w:type="dxa"/>
            <w:tcBorders>
              <w:top w:val="nil"/>
              <w:left w:val="single" w:sz="4" w:space="0" w:color="auto"/>
              <w:bottom w:val="single" w:sz="4" w:space="0" w:color="auto"/>
              <w:right w:val="single" w:sz="4" w:space="0" w:color="auto"/>
            </w:tcBorders>
            <w:shd w:val="clear" w:color="auto" w:fill="auto"/>
            <w:noWrap/>
            <w:vAlign w:val="bottom"/>
            <w:hideMark/>
          </w:tcPr>
          <w:p w14:paraId="09111C3B" w14:textId="1E662152" w:rsidR="00FD78B9" w:rsidRPr="00FD78B9" w:rsidRDefault="00FD78B9" w:rsidP="00C71C83">
            <w:pPr>
              <w:spacing w:after="0" w:line="240" w:lineRule="auto"/>
              <w:jc w:val="right"/>
              <w:rPr>
                <w:rFonts w:eastAsia="Times New Roman" w:cstheme="minorHAnsi"/>
                <w:color w:val="000000"/>
                <w:sz w:val="20"/>
                <w:szCs w:val="20"/>
                <w:lang w:eastAsia="en-GB"/>
              </w:rPr>
            </w:pPr>
            <w:r w:rsidRPr="00FD78B9">
              <w:rPr>
                <w:rFonts w:cstheme="minorHAnsi"/>
                <w:color w:val="000000"/>
                <w:sz w:val="20"/>
                <w:szCs w:val="20"/>
              </w:rPr>
              <w:t>-1.3340</w:t>
            </w:r>
          </w:p>
        </w:tc>
        <w:tc>
          <w:tcPr>
            <w:tcW w:w="851" w:type="dxa"/>
            <w:tcBorders>
              <w:top w:val="nil"/>
              <w:left w:val="single" w:sz="4" w:space="0" w:color="auto"/>
              <w:bottom w:val="single" w:sz="4" w:space="0" w:color="auto"/>
              <w:right w:val="single" w:sz="4" w:space="0" w:color="auto"/>
            </w:tcBorders>
          </w:tcPr>
          <w:p w14:paraId="0B64A656" w14:textId="1B1B5084" w:rsidR="00FD78B9" w:rsidRPr="00FD78B9" w:rsidRDefault="00FD78B9" w:rsidP="00C71C83">
            <w:pPr>
              <w:spacing w:after="0" w:line="240" w:lineRule="auto"/>
              <w:jc w:val="right"/>
              <w:rPr>
                <w:rFonts w:cstheme="minorHAnsi"/>
                <w:color w:val="000000"/>
                <w:sz w:val="20"/>
                <w:szCs w:val="20"/>
              </w:rPr>
            </w:pPr>
            <w:r w:rsidRPr="00FD78B9">
              <w:rPr>
                <w:rFonts w:cstheme="minorHAnsi"/>
                <w:color w:val="000000"/>
                <w:sz w:val="20"/>
                <w:szCs w:val="20"/>
              </w:rPr>
              <w:t>0.0329</w:t>
            </w:r>
          </w:p>
        </w:tc>
        <w:tc>
          <w:tcPr>
            <w:tcW w:w="992" w:type="dxa"/>
            <w:tcBorders>
              <w:top w:val="nil"/>
              <w:left w:val="single" w:sz="4" w:space="0" w:color="auto"/>
              <w:bottom w:val="single" w:sz="4" w:space="0" w:color="auto"/>
              <w:right w:val="single" w:sz="4" w:space="0" w:color="auto"/>
            </w:tcBorders>
          </w:tcPr>
          <w:p w14:paraId="054D26D9" w14:textId="77777777" w:rsidR="00C71C83" w:rsidRDefault="00FD78B9" w:rsidP="00C71C83">
            <w:pPr>
              <w:spacing w:after="0" w:line="240" w:lineRule="auto"/>
              <w:jc w:val="right"/>
              <w:rPr>
                <w:rFonts w:cstheme="minorHAnsi"/>
                <w:color w:val="000000"/>
                <w:sz w:val="20"/>
                <w:szCs w:val="20"/>
              </w:rPr>
            </w:pPr>
            <w:r w:rsidRPr="00FD78B9">
              <w:rPr>
                <w:rFonts w:cstheme="minorHAnsi"/>
                <w:color w:val="000000"/>
                <w:sz w:val="20"/>
                <w:szCs w:val="20"/>
              </w:rPr>
              <w:t xml:space="preserve">-1.3985, </w:t>
            </w:r>
          </w:p>
          <w:p w14:paraId="2FCCDC4A" w14:textId="44F85121" w:rsidR="00FD78B9" w:rsidRPr="00FD78B9" w:rsidRDefault="00FD78B9" w:rsidP="00C71C83">
            <w:pPr>
              <w:spacing w:after="0" w:line="240" w:lineRule="auto"/>
              <w:jc w:val="right"/>
              <w:rPr>
                <w:rFonts w:cstheme="minorHAnsi"/>
                <w:color w:val="000000"/>
                <w:sz w:val="20"/>
                <w:szCs w:val="20"/>
              </w:rPr>
            </w:pPr>
            <w:r w:rsidRPr="00FD78B9">
              <w:rPr>
                <w:rFonts w:cstheme="minorHAnsi"/>
                <w:color w:val="000000"/>
                <w:sz w:val="20"/>
                <w:szCs w:val="20"/>
              </w:rPr>
              <w:t>-1.2695</w:t>
            </w:r>
          </w:p>
        </w:tc>
        <w:tc>
          <w:tcPr>
            <w:tcW w:w="935" w:type="dxa"/>
            <w:tcBorders>
              <w:top w:val="nil"/>
              <w:left w:val="single" w:sz="4" w:space="0" w:color="auto"/>
              <w:bottom w:val="single" w:sz="4" w:space="0" w:color="auto"/>
              <w:right w:val="single" w:sz="4" w:space="0" w:color="auto"/>
            </w:tcBorders>
            <w:shd w:val="clear" w:color="auto" w:fill="auto"/>
            <w:noWrap/>
            <w:vAlign w:val="bottom"/>
            <w:hideMark/>
          </w:tcPr>
          <w:p w14:paraId="7074C61E" w14:textId="27598194" w:rsidR="00FD78B9" w:rsidRPr="00FD78B9" w:rsidRDefault="00FD78B9" w:rsidP="00C71C83">
            <w:pPr>
              <w:spacing w:after="0" w:line="240" w:lineRule="auto"/>
              <w:jc w:val="right"/>
              <w:rPr>
                <w:rFonts w:eastAsia="Times New Roman" w:cstheme="minorHAnsi"/>
                <w:color w:val="000000"/>
                <w:sz w:val="20"/>
                <w:szCs w:val="20"/>
                <w:lang w:eastAsia="en-GB"/>
              </w:rPr>
            </w:pPr>
            <w:r w:rsidRPr="00FD78B9">
              <w:rPr>
                <w:rFonts w:cstheme="minorHAnsi"/>
                <w:color w:val="000000"/>
                <w:sz w:val="20"/>
                <w:szCs w:val="20"/>
              </w:rPr>
              <w:t>1.2735</w:t>
            </w:r>
          </w:p>
        </w:tc>
        <w:tc>
          <w:tcPr>
            <w:tcW w:w="868" w:type="dxa"/>
            <w:tcBorders>
              <w:top w:val="nil"/>
              <w:left w:val="single" w:sz="4" w:space="0" w:color="auto"/>
              <w:bottom w:val="single" w:sz="4" w:space="0" w:color="auto"/>
              <w:right w:val="single" w:sz="4" w:space="0" w:color="auto"/>
            </w:tcBorders>
          </w:tcPr>
          <w:p w14:paraId="28DD7CCB" w14:textId="0318E295" w:rsidR="00FD78B9" w:rsidRPr="00FD78B9" w:rsidRDefault="00FD78B9" w:rsidP="00C71C83">
            <w:pPr>
              <w:spacing w:after="0" w:line="240" w:lineRule="auto"/>
              <w:jc w:val="right"/>
              <w:rPr>
                <w:rFonts w:cstheme="minorHAnsi"/>
                <w:color w:val="000000"/>
                <w:sz w:val="20"/>
                <w:szCs w:val="20"/>
              </w:rPr>
            </w:pPr>
            <w:r w:rsidRPr="00FD78B9">
              <w:rPr>
                <w:rFonts w:cstheme="minorHAnsi"/>
                <w:color w:val="000000"/>
                <w:sz w:val="20"/>
                <w:szCs w:val="20"/>
              </w:rPr>
              <w:t>0.1167</w:t>
            </w:r>
          </w:p>
        </w:tc>
        <w:tc>
          <w:tcPr>
            <w:tcW w:w="1060" w:type="dxa"/>
            <w:tcBorders>
              <w:top w:val="nil"/>
              <w:left w:val="single" w:sz="4" w:space="0" w:color="auto"/>
              <w:bottom w:val="single" w:sz="4" w:space="0" w:color="auto"/>
              <w:right w:val="single" w:sz="4" w:space="0" w:color="auto"/>
            </w:tcBorders>
            <w:vAlign w:val="bottom"/>
          </w:tcPr>
          <w:p w14:paraId="6002C6DE" w14:textId="15453567" w:rsidR="00FD78B9" w:rsidRPr="00FD78B9" w:rsidRDefault="00FD78B9" w:rsidP="00C71C83">
            <w:pPr>
              <w:spacing w:after="0" w:line="240" w:lineRule="auto"/>
              <w:jc w:val="right"/>
              <w:rPr>
                <w:rFonts w:cstheme="minorHAnsi"/>
                <w:color w:val="000000"/>
                <w:sz w:val="20"/>
                <w:szCs w:val="20"/>
              </w:rPr>
            </w:pPr>
            <w:r w:rsidRPr="00FD78B9">
              <w:rPr>
                <w:rFonts w:ascii="Calibri" w:hAnsi="Calibri" w:cs="Calibri"/>
                <w:color w:val="000000"/>
                <w:sz w:val="20"/>
                <w:szCs w:val="20"/>
              </w:rPr>
              <w:t>1.0448,</w:t>
            </w:r>
            <w:r>
              <w:rPr>
                <w:rFonts w:ascii="Calibri" w:hAnsi="Calibri" w:cs="Calibri"/>
                <w:color w:val="000000"/>
                <w:sz w:val="20"/>
                <w:szCs w:val="20"/>
              </w:rPr>
              <w:t xml:space="preserve"> </w:t>
            </w:r>
            <w:r w:rsidRPr="00FD78B9">
              <w:rPr>
                <w:rFonts w:ascii="Calibri" w:hAnsi="Calibri" w:cs="Calibri"/>
                <w:color w:val="000000"/>
                <w:sz w:val="20"/>
                <w:szCs w:val="20"/>
              </w:rPr>
              <w:t>1.5023</w:t>
            </w:r>
          </w:p>
        </w:tc>
      </w:tr>
      <w:tr w:rsidR="00FD78B9" w:rsidRPr="00FD78B9" w14:paraId="4EF882BA" w14:textId="659427AF" w:rsidTr="00C71C83">
        <w:trPr>
          <w:gridAfter w:val="1"/>
          <w:wAfter w:w="39" w:type="dxa"/>
          <w:trHeight w:val="300"/>
        </w:trPr>
        <w:tc>
          <w:tcPr>
            <w:tcW w:w="1107"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432F26B2" w14:textId="13FF3395" w:rsidR="00FD78B9" w:rsidRPr="00FD78B9" w:rsidRDefault="00FD78B9" w:rsidP="00C71C83">
            <w:pPr>
              <w:spacing w:after="0" w:line="240" w:lineRule="auto"/>
              <w:jc w:val="right"/>
              <w:rPr>
                <w:rFonts w:eastAsia="Times New Roman" w:cstheme="minorHAnsi"/>
                <w:color w:val="000000"/>
                <w:sz w:val="20"/>
                <w:szCs w:val="20"/>
                <w:lang w:eastAsia="en-GB"/>
              </w:rPr>
            </w:pPr>
            <w:r w:rsidRPr="00FD78B9">
              <w:rPr>
                <w:rFonts w:eastAsia="Times New Roman" w:cstheme="minorHAnsi"/>
                <w:color w:val="000000"/>
                <w:sz w:val="20"/>
                <w:szCs w:val="20"/>
                <w:lang w:eastAsia="en-GB"/>
              </w:rPr>
              <w:t xml:space="preserve">Age </w:t>
            </w:r>
            <w:r w:rsidRPr="00FD78B9">
              <w:rPr>
                <w:rFonts w:eastAsia="Times New Roman" w:cstheme="minorHAnsi"/>
                <w:color w:val="000000"/>
                <w:sz w:val="20"/>
                <w:szCs w:val="20"/>
                <w:vertAlign w:val="superscript"/>
                <w:lang w:eastAsia="en-GB"/>
              </w:rPr>
              <w:t>1</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EC4F30" w14:textId="584A6B4E" w:rsidR="00FD78B9" w:rsidRPr="00FD78B9" w:rsidRDefault="00FD78B9" w:rsidP="00C71C83">
            <w:pPr>
              <w:spacing w:after="0" w:line="240" w:lineRule="auto"/>
              <w:jc w:val="right"/>
              <w:rPr>
                <w:rFonts w:eastAsia="Times New Roman" w:cstheme="minorHAnsi"/>
                <w:color w:val="000000"/>
                <w:sz w:val="20"/>
                <w:szCs w:val="20"/>
                <w:lang w:eastAsia="en-GB"/>
              </w:rPr>
            </w:pPr>
            <w:r w:rsidRPr="00FD78B9">
              <w:rPr>
                <w:rFonts w:cstheme="minorHAnsi"/>
                <w:color w:val="000000"/>
                <w:sz w:val="20"/>
                <w:szCs w:val="20"/>
              </w:rPr>
              <w:t>-0.0050</w:t>
            </w:r>
          </w:p>
        </w:tc>
        <w:tc>
          <w:tcPr>
            <w:tcW w:w="873" w:type="dxa"/>
            <w:tcBorders>
              <w:top w:val="single" w:sz="4" w:space="0" w:color="auto"/>
              <w:left w:val="single" w:sz="4" w:space="0" w:color="auto"/>
              <w:bottom w:val="single" w:sz="4" w:space="0" w:color="auto"/>
              <w:right w:val="single" w:sz="4" w:space="0" w:color="auto"/>
            </w:tcBorders>
          </w:tcPr>
          <w:p w14:paraId="7FF9493F" w14:textId="1DD2B130" w:rsidR="00FD78B9" w:rsidRPr="00FD78B9" w:rsidRDefault="00FD78B9" w:rsidP="00C71C83">
            <w:pPr>
              <w:spacing w:after="0" w:line="240" w:lineRule="auto"/>
              <w:jc w:val="right"/>
              <w:rPr>
                <w:rFonts w:cstheme="minorHAnsi"/>
                <w:color w:val="000000"/>
                <w:sz w:val="20"/>
                <w:szCs w:val="20"/>
              </w:rPr>
            </w:pPr>
            <w:r>
              <w:rPr>
                <w:rFonts w:cstheme="minorHAnsi"/>
                <w:color w:val="000000"/>
                <w:sz w:val="20"/>
                <w:szCs w:val="20"/>
              </w:rPr>
              <w:t>0.0014</w:t>
            </w:r>
          </w:p>
        </w:tc>
        <w:tc>
          <w:tcPr>
            <w:tcW w:w="916" w:type="dxa"/>
            <w:tcBorders>
              <w:top w:val="single" w:sz="4" w:space="0" w:color="auto"/>
              <w:left w:val="single" w:sz="4" w:space="0" w:color="auto"/>
              <w:bottom w:val="single" w:sz="4" w:space="0" w:color="auto"/>
              <w:right w:val="single" w:sz="4" w:space="0" w:color="auto"/>
            </w:tcBorders>
          </w:tcPr>
          <w:p w14:paraId="3024B261" w14:textId="77777777" w:rsidR="00C71C83" w:rsidRDefault="00FD78B9" w:rsidP="00C71C83">
            <w:pPr>
              <w:spacing w:after="0" w:line="240" w:lineRule="auto"/>
              <w:jc w:val="right"/>
              <w:rPr>
                <w:rFonts w:cstheme="minorHAnsi"/>
                <w:color w:val="000000"/>
                <w:sz w:val="20"/>
                <w:szCs w:val="20"/>
              </w:rPr>
            </w:pPr>
            <w:r w:rsidRPr="00FD78B9">
              <w:rPr>
                <w:rFonts w:cstheme="minorHAnsi"/>
                <w:color w:val="000000"/>
                <w:sz w:val="20"/>
                <w:szCs w:val="20"/>
              </w:rPr>
              <w:t>-0.0076,</w:t>
            </w:r>
            <w:r w:rsidR="00C71C83">
              <w:rPr>
                <w:rFonts w:cstheme="minorHAnsi"/>
                <w:color w:val="000000"/>
                <w:sz w:val="20"/>
                <w:szCs w:val="20"/>
              </w:rPr>
              <w:t xml:space="preserve"> </w:t>
            </w:r>
          </w:p>
          <w:p w14:paraId="4002B6DF" w14:textId="23C74EBF" w:rsidR="00FD78B9" w:rsidRPr="00FD78B9" w:rsidRDefault="00FD78B9" w:rsidP="00C71C83">
            <w:pPr>
              <w:spacing w:after="0" w:line="240" w:lineRule="auto"/>
              <w:jc w:val="right"/>
              <w:rPr>
                <w:rFonts w:cstheme="minorHAnsi"/>
                <w:color w:val="000000"/>
                <w:sz w:val="20"/>
                <w:szCs w:val="20"/>
              </w:rPr>
            </w:pPr>
            <w:r w:rsidRPr="00FD78B9">
              <w:rPr>
                <w:rFonts w:cstheme="minorHAnsi"/>
                <w:color w:val="000000"/>
                <w:sz w:val="20"/>
                <w:szCs w:val="20"/>
              </w:rPr>
              <w:t>-0.0023</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A693B8" w14:textId="101CE826" w:rsidR="00FD78B9" w:rsidRPr="00FD78B9" w:rsidRDefault="00FD78B9" w:rsidP="00C71C83">
            <w:pPr>
              <w:spacing w:after="0" w:line="240" w:lineRule="auto"/>
              <w:jc w:val="right"/>
              <w:rPr>
                <w:rFonts w:eastAsia="Times New Roman" w:cstheme="minorHAnsi"/>
                <w:color w:val="000000"/>
                <w:sz w:val="20"/>
                <w:szCs w:val="20"/>
                <w:lang w:eastAsia="en-GB"/>
              </w:rPr>
            </w:pPr>
            <w:r w:rsidRPr="00FD78B9">
              <w:rPr>
                <w:rFonts w:cstheme="minorHAnsi"/>
                <w:color w:val="000000"/>
                <w:sz w:val="20"/>
                <w:szCs w:val="20"/>
              </w:rPr>
              <w:t>-0.0248</w:t>
            </w:r>
          </w:p>
        </w:tc>
        <w:tc>
          <w:tcPr>
            <w:tcW w:w="851" w:type="dxa"/>
            <w:tcBorders>
              <w:top w:val="single" w:sz="4" w:space="0" w:color="auto"/>
              <w:left w:val="single" w:sz="4" w:space="0" w:color="auto"/>
              <w:bottom w:val="single" w:sz="4" w:space="0" w:color="auto"/>
              <w:right w:val="single" w:sz="4" w:space="0" w:color="auto"/>
            </w:tcBorders>
          </w:tcPr>
          <w:p w14:paraId="5C741FAF" w14:textId="42F28A42" w:rsidR="00FD78B9" w:rsidRPr="00FD78B9" w:rsidRDefault="00FD78B9" w:rsidP="00C71C83">
            <w:pPr>
              <w:spacing w:after="0" w:line="240" w:lineRule="auto"/>
              <w:jc w:val="right"/>
              <w:rPr>
                <w:rFonts w:cstheme="minorHAnsi"/>
                <w:color w:val="000000"/>
                <w:sz w:val="20"/>
                <w:szCs w:val="20"/>
              </w:rPr>
            </w:pPr>
            <w:r w:rsidRPr="00FD78B9">
              <w:rPr>
                <w:rFonts w:cstheme="minorHAnsi"/>
                <w:color w:val="000000"/>
                <w:sz w:val="20"/>
                <w:szCs w:val="20"/>
              </w:rPr>
              <w:t>0.0008</w:t>
            </w:r>
          </w:p>
        </w:tc>
        <w:tc>
          <w:tcPr>
            <w:tcW w:w="992" w:type="dxa"/>
            <w:tcBorders>
              <w:top w:val="single" w:sz="4" w:space="0" w:color="auto"/>
              <w:left w:val="single" w:sz="4" w:space="0" w:color="auto"/>
              <w:bottom w:val="single" w:sz="4" w:space="0" w:color="auto"/>
              <w:right w:val="single" w:sz="4" w:space="0" w:color="auto"/>
            </w:tcBorders>
          </w:tcPr>
          <w:p w14:paraId="2A936992" w14:textId="77777777" w:rsidR="00C71C83" w:rsidRDefault="00FD78B9" w:rsidP="00C71C83">
            <w:pPr>
              <w:spacing w:after="0" w:line="240" w:lineRule="auto"/>
              <w:jc w:val="right"/>
              <w:rPr>
                <w:rFonts w:cstheme="minorHAnsi"/>
                <w:color w:val="000000"/>
                <w:sz w:val="20"/>
                <w:szCs w:val="20"/>
              </w:rPr>
            </w:pPr>
            <w:r w:rsidRPr="00FD78B9">
              <w:rPr>
                <w:rFonts w:cstheme="minorHAnsi"/>
                <w:color w:val="000000"/>
                <w:sz w:val="20"/>
                <w:szCs w:val="20"/>
              </w:rPr>
              <w:t xml:space="preserve">-0.0264, </w:t>
            </w:r>
          </w:p>
          <w:p w14:paraId="68978FB5" w14:textId="7BD80DB9" w:rsidR="00FD78B9" w:rsidRPr="00FD78B9" w:rsidRDefault="00FD78B9" w:rsidP="00C71C83">
            <w:pPr>
              <w:spacing w:after="0" w:line="240" w:lineRule="auto"/>
              <w:jc w:val="right"/>
              <w:rPr>
                <w:rFonts w:cstheme="minorHAnsi"/>
                <w:color w:val="000000"/>
                <w:sz w:val="20"/>
                <w:szCs w:val="20"/>
              </w:rPr>
            </w:pPr>
            <w:r w:rsidRPr="00FD78B9">
              <w:rPr>
                <w:rFonts w:cstheme="minorHAnsi"/>
                <w:color w:val="000000"/>
                <w:sz w:val="20"/>
                <w:szCs w:val="20"/>
              </w:rPr>
              <w:t>-0.0233</w:t>
            </w:r>
          </w:p>
        </w:tc>
        <w:tc>
          <w:tcPr>
            <w:tcW w:w="9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7DC4ED" w14:textId="612BCE55" w:rsidR="00FD78B9" w:rsidRPr="00FD78B9" w:rsidRDefault="00FD78B9" w:rsidP="00C71C83">
            <w:pPr>
              <w:spacing w:after="0" w:line="240" w:lineRule="auto"/>
              <w:jc w:val="right"/>
              <w:rPr>
                <w:rFonts w:eastAsia="Times New Roman" w:cstheme="minorHAnsi"/>
                <w:color w:val="000000"/>
                <w:sz w:val="20"/>
                <w:szCs w:val="20"/>
                <w:lang w:eastAsia="en-GB"/>
              </w:rPr>
            </w:pPr>
            <w:r w:rsidRPr="00FD78B9">
              <w:rPr>
                <w:rFonts w:cstheme="minorHAnsi"/>
                <w:color w:val="000000"/>
                <w:sz w:val="20"/>
                <w:szCs w:val="20"/>
              </w:rPr>
              <w:t>-0.0081</w:t>
            </w:r>
          </w:p>
        </w:tc>
        <w:tc>
          <w:tcPr>
            <w:tcW w:w="868" w:type="dxa"/>
            <w:tcBorders>
              <w:top w:val="single" w:sz="4" w:space="0" w:color="auto"/>
              <w:left w:val="single" w:sz="4" w:space="0" w:color="auto"/>
              <w:bottom w:val="single" w:sz="4" w:space="0" w:color="auto"/>
              <w:right w:val="single" w:sz="4" w:space="0" w:color="auto"/>
            </w:tcBorders>
          </w:tcPr>
          <w:p w14:paraId="0083C799" w14:textId="0B041E18" w:rsidR="00FD78B9" w:rsidRPr="00FD78B9" w:rsidRDefault="00FD78B9" w:rsidP="00C71C83">
            <w:pPr>
              <w:spacing w:after="0" w:line="240" w:lineRule="auto"/>
              <w:jc w:val="right"/>
              <w:rPr>
                <w:rFonts w:cstheme="minorHAnsi"/>
                <w:color w:val="000000"/>
                <w:sz w:val="20"/>
                <w:szCs w:val="20"/>
              </w:rPr>
            </w:pPr>
            <w:r w:rsidRPr="00FD78B9">
              <w:rPr>
                <w:rFonts w:cstheme="minorHAnsi"/>
                <w:color w:val="000000"/>
                <w:sz w:val="20"/>
                <w:szCs w:val="20"/>
              </w:rPr>
              <w:t>0.</w:t>
            </w:r>
            <w:r>
              <w:rPr>
                <w:rFonts w:cstheme="minorHAnsi"/>
                <w:color w:val="000000"/>
                <w:sz w:val="20"/>
                <w:szCs w:val="20"/>
              </w:rPr>
              <w:t>0032</w:t>
            </w:r>
          </w:p>
        </w:tc>
        <w:tc>
          <w:tcPr>
            <w:tcW w:w="1060" w:type="dxa"/>
            <w:tcBorders>
              <w:top w:val="single" w:sz="4" w:space="0" w:color="auto"/>
              <w:left w:val="single" w:sz="4" w:space="0" w:color="auto"/>
              <w:bottom w:val="single" w:sz="4" w:space="0" w:color="auto"/>
              <w:right w:val="single" w:sz="4" w:space="0" w:color="auto"/>
            </w:tcBorders>
            <w:vAlign w:val="bottom"/>
          </w:tcPr>
          <w:p w14:paraId="09EA4281" w14:textId="77777777" w:rsidR="00C71C83" w:rsidRDefault="00FD78B9" w:rsidP="00C71C83">
            <w:pPr>
              <w:spacing w:after="0" w:line="240" w:lineRule="auto"/>
              <w:jc w:val="right"/>
              <w:rPr>
                <w:rFonts w:ascii="Calibri" w:hAnsi="Calibri" w:cs="Calibri"/>
                <w:color w:val="000000"/>
                <w:sz w:val="20"/>
                <w:szCs w:val="20"/>
              </w:rPr>
            </w:pPr>
            <w:r w:rsidRPr="00FD78B9">
              <w:rPr>
                <w:rFonts w:ascii="Calibri" w:hAnsi="Calibri" w:cs="Calibri"/>
                <w:color w:val="000000"/>
                <w:sz w:val="20"/>
                <w:szCs w:val="20"/>
              </w:rPr>
              <w:t>-0.0144,</w:t>
            </w:r>
            <w:r>
              <w:rPr>
                <w:rFonts w:ascii="Calibri" w:hAnsi="Calibri" w:cs="Calibri"/>
                <w:color w:val="000000"/>
                <w:sz w:val="20"/>
                <w:szCs w:val="20"/>
              </w:rPr>
              <w:t xml:space="preserve"> </w:t>
            </w:r>
          </w:p>
          <w:p w14:paraId="7FC35A22" w14:textId="42B3E1CD" w:rsidR="00FD78B9" w:rsidRPr="00FD78B9" w:rsidRDefault="00FD78B9" w:rsidP="00C71C83">
            <w:pPr>
              <w:spacing w:after="0" w:line="240" w:lineRule="auto"/>
              <w:jc w:val="right"/>
              <w:rPr>
                <w:rFonts w:cstheme="minorHAnsi"/>
                <w:color w:val="000000"/>
                <w:sz w:val="20"/>
                <w:szCs w:val="20"/>
              </w:rPr>
            </w:pPr>
            <w:r w:rsidRPr="00FD78B9">
              <w:rPr>
                <w:rFonts w:ascii="Calibri" w:hAnsi="Calibri" w:cs="Calibri"/>
                <w:color w:val="000000"/>
                <w:sz w:val="20"/>
                <w:szCs w:val="20"/>
              </w:rPr>
              <w:t>-0.0019</w:t>
            </w:r>
          </w:p>
        </w:tc>
      </w:tr>
      <w:tr w:rsidR="00FD78B9" w:rsidRPr="00FD78B9" w14:paraId="3CB32221" w14:textId="0465CA55" w:rsidTr="00C71C83">
        <w:trPr>
          <w:gridAfter w:val="1"/>
          <w:wAfter w:w="39" w:type="dxa"/>
          <w:trHeight w:val="300"/>
        </w:trPr>
        <w:tc>
          <w:tcPr>
            <w:tcW w:w="1107"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2EBBF01D" w14:textId="75BD58AC" w:rsidR="00FD78B9" w:rsidRPr="00FD78B9" w:rsidRDefault="00FD78B9" w:rsidP="00C71C83">
            <w:pPr>
              <w:spacing w:after="0" w:line="240" w:lineRule="auto"/>
              <w:jc w:val="right"/>
              <w:rPr>
                <w:rFonts w:eastAsia="Times New Roman" w:cstheme="minorHAnsi"/>
                <w:color w:val="000000"/>
                <w:sz w:val="20"/>
                <w:szCs w:val="20"/>
                <w:lang w:eastAsia="en-GB"/>
              </w:rPr>
            </w:pPr>
            <w:r w:rsidRPr="00FD78B9">
              <w:rPr>
                <w:rFonts w:eastAsia="Times New Roman" w:cstheme="minorHAnsi"/>
                <w:color w:val="000000"/>
                <w:sz w:val="20"/>
                <w:szCs w:val="20"/>
                <w:lang w:eastAsia="en-GB"/>
              </w:rPr>
              <w:t>Male</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F75A81" w14:textId="63C6A5A7" w:rsidR="00FD78B9" w:rsidRPr="00FD78B9" w:rsidRDefault="00FD78B9" w:rsidP="00C71C83">
            <w:pPr>
              <w:spacing w:after="0" w:line="240" w:lineRule="auto"/>
              <w:jc w:val="right"/>
              <w:rPr>
                <w:rFonts w:eastAsia="Times New Roman" w:cstheme="minorHAnsi"/>
                <w:color w:val="000000"/>
                <w:sz w:val="20"/>
                <w:szCs w:val="20"/>
                <w:lang w:eastAsia="en-GB"/>
              </w:rPr>
            </w:pPr>
            <w:r w:rsidRPr="00FD78B9">
              <w:rPr>
                <w:rFonts w:cstheme="minorHAnsi"/>
                <w:color w:val="000000"/>
                <w:sz w:val="20"/>
                <w:szCs w:val="20"/>
              </w:rPr>
              <w:t>0.0791</w:t>
            </w:r>
          </w:p>
        </w:tc>
        <w:tc>
          <w:tcPr>
            <w:tcW w:w="873" w:type="dxa"/>
            <w:tcBorders>
              <w:top w:val="single" w:sz="4" w:space="0" w:color="auto"/>
              <w:left w:val="single" w:sz="4" w:space="0" w:color="auto"/>
              <w:bottom w:val="single" w:sz="4" w:space="0" w:color="auto"/>
              <w:right w:val="single" w:sz="4" w:space="0" w:color="auto"/>
            </w:tcBorders>
          </w:tcPr>
          <w:p w14:paraId="43D05FC6" w14:textId="15639AFC" w:rsidR="00FD78B9" w:rsidRPr="00FD78B9" w:rsidRDefault="00C71C83" w:rsidP="00C71C83">
            <w:pPr>
              <w:spacing w:after="0" w:line="240" w:lineRule="auto"/>
              <w:jc w:val="right"/>
              <w:rPr>
                <w:rFonts w:cstheme="minorHAnsi"/>
                <w:color w:val="000000"/>
                <w:sz w:val="20"/>
                <w:szCs w:val="20"/>
              </w:rPr>
            </w:pPr>
            <w:r>
              <w:rPr>
                <w:rFonts w:cstheme="minorHAnsi"/>
                <w:color w:val="000000"/>
                <w:sz w:val="20"/>
                <w:szCs w:val="20"/>
              </w:rPr>
              <w:t>0.0331</w:t>
            </w:r>
          </w:p>
        </w:tc>
        <w:tc>
          <w:tcPr>
            <w:tcW w:w="916" w:type="dxa"/>
            <w:tcBorders>
              <w:top w:val="single" w:sz="4" w:space="0" w:color="auto"/>
              <w:left w:val="single" w:sz="4" w:space="0" w:color="auto"/>
              <w:bottom w:val="single" w:sz="4" w:space="0" w:color="auto"/>
              <w:right w:val="single" w:sz="4" w:space="0" w:color="auto"/>
            </w:tcBorders>
          </w:tcPr>
          <w:p w14:paraId="65C9B468" w14:textId="293D7829" w:rsidR="00FD78B9" w:rsidRPr="00FD78B9" w:rsidRDefault="00FD78B9" w:rsidP="00C71C83">
            <w:pPr>
              <w:spacing w:after="0" w:line="240" w:lineRule="auto"/>
              <w:jc w:val="right"/>
              <w:rPr>
                <w:rFonts w:cstheme="minorHAnsi"/>
                <w:color w:val="000000"/>
                <w:sz w:val="20"/>
                <w:szCs w:val="20"/>
              </w:rPr>
            </w:pPr>
            <w:r w:rsidRPr="00FD78B9">
              <w:rPr>
                <w:rFonts w:cstheme="minorHAnsi"/>
                <w:color w:val="000000"/>
                <w:sz w:val="20"/>
                <w:szCs w:val="20"/>
              </w:rPr>
              <w:t>0.0141,</w:t>
            </w:r>
            <w:r w:rsidR="00C71C83">
              <w:rPr>
                <w:rFonts w:cstheme="minorHAnsi"/>
                <w:color w:val="000000"/>
                <w:sz w:val="20"/>
                <w:szCs w:val="20"/>
              </w:rPr>
              <w:t xml:space="preserve"> </w:t>
            </w:r>
            <w:r w:rsidRPr="00FD78B9">
              <w:rPr>
                <w:rFonts w:cstheme="minorHAnsi"/>
                <w:color w:val="000000"/>
                <w:sz w:val="20"/>
                <w:szCs w:val="20"/>
              </w:rPr>
              <w:t>0.1442</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57FC1F" w14:textId="432E6446" w:rsidR="00FD78B9" w:rsidRPr="00FD78B9" w:rsidRDefault="00FD78B9" w:rsidP="00C71C83">
            <w:pPr>
              <w:spacing w:after="0" w:line="240" w:lineRule="auto"/>
              <w:jc w:val="right"/>
              <w:rPr>
                <w:rFonts w:eastAsia="Times New Roman" w:cstheme="minorHAnsi"/>
                <w:color w:val="000000"/>
                <w:sz w:val="20"/>
                <w:szCs w:val="20"/>
                <w:lang w:eastAsia="en-GB"/>
              </w:rPr>
            </w:pPr>
            <w:r w:rsidRPr="00FD78B9">
              <w:rPr>
                <w:rFonts w:cstheme="minorHAnsi"/>
                <w:color w:val="000000"/>
                <w:sz w:val="20"/>
                <w:szCs w:val="20"/>
              </w:rPr>
              <w:t>0.2966</w:t>
            </w:r>
          </w:p>
        </w:tc>
        <w:tc>
          <w:tcPr>
            <w:tcW w:w="851" w:type="dxa"/>
            <w:tcBorders>
              <w:top w:val="single" w:sz="4" w:space="0" w:color="auto"/>
              <w:left w:val="single" w:sz="4" w:space="0" w:color="auto"/>
              <w:bottom w:val="single" w:sz="4" w:space="0" w:color="auto"/>
              <w:right w:val="single" w:sz="4" w:space="0" w:color="auto"/>
            </w:tcBorders>
          </w:tcPr>
          <w:p w14:paraId="3A469A20" w14:textId="54563919" w:rsidR="00FD78B9" w:rsidRPr="00FD78B9" w:rsidRDefault="00FD78B9" w:rsidP="00C71C83">
            <w:pPr>
              <w:spacing w:after="0" w:line="240" w:lineRule="auto"/>
              <w:jc w:val="right"/>
              <w:rPr>
                <w:rFonts w:cstheme="minorHAnsi"/>
                <w:color w:val="000000"/>
                <w:sz w:val="20"/>
                <w:szCs w:val="20"/>
              </w:rPr>
            </w:pPr>
            <w:r w:rsidRPr="00FD78B9">
              <w:rPr>
                <w:rFonts w:cstheme="minorHAnsi"/>
                <w:color w:val="000000"/>
                <w:sz w:val="20"/>
                <w:szCs w:val="20"/>
              </w:rPr>
              <w:t>0.0198</w:t>
            </w:r>
          </w:p>
        </w:tc>
        <w:tc>
          <w:tcPr>
            <w:tcW w:w="992" w:type="dxa"/>
            <w:tcBorders>
              <w:top w:val="single" w:sz="4" w:space="0" w:color="auto"/>
              <w:left w:val="single" w:sz="4" w:space="0" w:color="auto"/>
              <w:bottom w:val="single" w:sz="4" w:space="0" w:color="auto"/>
              <w:right w:val="single" w:sz="4" w:space="0" w:color="auto"/>
            </w:tcBorders>
          </w:tcPr>
          <w:p w14:paraId="690C2E77" w14:textId="77777777" w:rsidR="00C71C83" w:rsidRDefault="00FD78B9" w:rsidP="00C71C83">
            <w:pPr>
              <w:spacing w:after="0" w:line="240" w:lineRule="auto"/>
              <w:jc w:val="right"/>
              <w:rPr>
                <w:rFonts w:cstheme="minorHAnsi"/>
                <w:color w:val="000000"/>
                <w:sz w:val="20"/>
                <w:szCs w:val="20"/>
              </w:rPr>
            </w:pPr>
            <w:r w:rsidRPr="00FD78B9">
              <w:rPr>
                <w:rFonts w:cstheme="minorHAnsi"/>
                <w:color w:val="000000"/>
                <w:sz w:val="20"/>
                <w:szCs w:val="20"/>
              </w:rPr>
              <w:t>0.2577,</w:t>
            </w:r>
            <w:r>
              <w:rPr>
                <w:rFonts w:cstheme="minorHAnsi"/>
                <w:color w:val="000000"/>
                <w:sz w:val="20"/>
                <w:szCs w:val="20"/>
              </w:rPr>
              <w:t xml:space="preserve"> </w:t>
            </w:r>
          </w:p>
          <w:p w14:paraId="1FB7EC49" w14:textId="3C9CDE62" w:rsidR="00FD78B9" w:rsidRPr="00FD78B9" w:rsidRDefault="00FD78B9" w:rsidP="00C71C83">
            <w:pPr>
              <w:spacing w:after="0" w:line="240" w:lineRule="auto"/>
              <w:jc w:val="right"/>
              <w:rPr>
                <w:rFonts w:cstheme="minorHAnsi"/>
                <w:color w:val="000000"/>
                <w:sz w:val="20"/>
                <w:szCs w:val="20"/>
              </w:rPr>
            </w:pPr>
            <w:r w:rsidRPr="00FD78B9">
              <w:rPr>
                <w:rFonts w:cstheme="minorHAnsi"/>
                <w:color w:val="000000"/>
                <w:sz w:val="20"/>
                <w:szCs w:val="20"/>
              </w:rPr>
              <w:t>0.3354</w:t>
            </w:r>
          </w:p>
        </w:tc>
        <w:tc>
          <w:tcPr>
            <w:tcW w:w="9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703BCF" w14:textId="19710420" w:rsidR="00FD78B9" w:rsidRPr="00FD78B9" w:rsidRDefault="00FD78B9" w:rsidP="00C71C83">
            <w:pPr>
              <w:spacing w:after="0" w:line="240" w:lineRule="auto"/>
              <w:jc w:val="right"/>
              <w:rPr>
                <w:rFonts w:eastAsia="Times New Roman" w:cstheme="minorHAnsi"/>
                <w:color w:val="000000"/>
                <w:sz w:val="20"/>
                <w:szCs w:val="20"/>
                <w:lang w:eastAsia="en-GB"/>
              </w:rPr>
            </w:pPr>
            <w:r w:rsidRPr="00FD78B9">
              <w:rPr>
                <w:rFonts w:cstheme="minorHAnsi"/>
                <w:color w:val="000000"/>
                <w:sz w:val="20"/>
                <w:szCs w:val="20"/>
              </w:rPr>
              <w:t>-0.0774</w:t>
            </w:r>
          </w:p>
        </w:tc>
        <w:tc>
          <w:tcPr>
            <w:tcW w:w="868" w:type="dxa"/>
            <w:tcBorders>
              <w:top w:val="single" w:sz="4" w:space="0" w:color="auto"/>
              <w:left w:val="single" w:sz="4" w:space="0" w:color="auto"/>
              <w:bottom w:val="single" w:sz="4" w:space="0" w:color="auto"/>
              <w:right w:val="single" w:sz="4" w:space="0" w:color="auto"/>
            </w:tcBorders>
          </w:tcPr>
          <w:p w14:paraId="6DD1B806" w14:textId="77777777" w:rsidR="00FD78B9" w:rsidRDefault="00FD78B9" w:rsidP="00C71C83">
            <w:pPr>
              <w:spacing w:after="0" w:line="240" w:lineRule="auto"/>
              <w:jc w:val="right"/>
              <w:rPr>
                <w:rFonts w:cstheme="minorHAnsi"/>
                <w:color w:val="000000"/>
                <w:sz w:val="20"/>
                <w:szCs w:val="20"/>
              </w:rPr>
            </w:pPr>
          </w:p>
          <w:p w14:paraId="68B68ABC" w14:textId="2B2D05CD" w:rsidR="00FD78B9" w:rsidRPr="00FD78B9" w:rsidRDefault="00FD78B9" w:rsidP="00C71C83">
            <w:pPr>
              <w:jc w:val="right"/>
              <w:rPr>
                <w:rFonts w:cstheme="minorHAnsi"/>
                <w:sz w:val="20"/>
                <w:szCs w:val="20"/>
              </w:rPr>
            </w:pPr>
            <w:r>
              <w:rPr>
                <w:rFonts w:cstheme="minorHAnsi"/>
                <w:sz w:val="20"/>
                <w:szCs w:val="20"/>
              </w:rPr>
              <w:t>0.0720</w:t>
            </w:r>
          </w:p>
        </w:tc>
        <w:tc>
          <w:tcPr>
            <w:tcW w:w="1060" w:type="dxa"/>
            <w:tcBorders>
              <w:top w:val="single" w:sz="4" w:space="0" w:color="auto"/>
              <w:left w:val="single" w:sz="4" w:space="0" w:color="auto"/>
              <w:bottom w:val="single" w:sz="4" w:space="0" w:color="auto"/>
              <w:right w:val="single" w:sz="4" w:space="0" w:color="auto"/>
            </w:tcBorders>
            <w:vAlign w:val="bottom"/>
          </w:tcPr>
          <w:p w14:paraId="500FDBA5" w14:textId="77360202" w:rsidR="00FD78B9" w:rsidRPr="00FD78B9" w:rsidRDefault="00FD78B9" w:rsidP="00C71C83">
            <w:pPr>
              <w:spacing w:after="0" w:line="240" w:lineRule="auto"/>
              <w:jc w:val="right"/>
              <w:rPr>
                <w:rFonts w:cstheme="minorHAnsi"/>
                <w:color w:val="000000"/>
                <w:sz w:val="20"/>
                <w:szCs w:val="20"/>
              </w:rPr>
            </w:pPr>
            <w:r w:rsidRPr="00FD78B9">
              <w:rPr>
                <w:rFonts w:ascii="Calibri" w:hAnsi="Calibri" w:cs="Calibri"/>
                <w:color w:val="000000"/>
                <w:sz w:val="20"/>
                <w:szCs w:val="20"/>
              </w:rPr>
              <w:t>-0.2184,</w:t>
            </w:r>
            <w:r>
              <w:rPr>
                <w:rFonts w:ascii="Calibri" w:hAnsi="Calibri" w:cs="Calibri"/>
                <w:color w:val="000000"/>
                <w:sz w:val="20"/>
                <w:szCs w:val="20"/>
              </w:rPr>
              <w:t xml:space="preserve"> </w:t>
            </w:r>
            <w:r w:rsidRPr="00FD78B9">
              <w:rPr>
                <w:rFonts w:ascii="Calibri" w:hAnsi="Calibri" w:cs="Calibri"/>
                <w:color w:val="000000"/>
                <w:sz w:val="20"/>
                <w:szCs w:val="20"/>
              </w:rPr>
              <w:t>0.0637</w:t>
            </w:r>
          </w:p>
        </w:tc>
      </w:tr>
      <w:tr w:rsidR="00FD78B9" w:rsidRPr="00FD78B9" w14:paraId="17616517" w14:textId="0B6A2EB3" w:rsidTr="00C71C83">
        <w:trPr>
          <w:gridAfter w:val="1"/>
          <w:wAfter w:w="39" w:type="dxa"/>
          <w:trHeight w:val="315"/>
        </w:trPr>
        <w:tc>
          <w:tcPr>
            <w:tcW w:w="1107"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3F313317" w14:textId="77777777" w:rsidR="00FD78B9" w:rsidRPr="00FD78B9" w:rsidRDefault="00FD78B9" w:rsidP="00C71C83">
            <w:pPr>
              <w:spacing w:after="0" w:line="240" w:lineRule="auto"/>
              <w:jc w:val="right"/>
              <w:rPr>
                <w:rFonts w:eastAsia="Times New Roman" w:cstheme="minorHAnsi"/>
                <w:color w:val="000000"/>
                <w:sz w:val="20"/>
                <w:szCs w:val="20"/>
                <w:lang w:eastAsia="en-GB"/>
              </w:rPr>
            </w:pPr>
            <w:proofErr w:type="spellStart"/>
            <w:r w:rsidRPr="00FD78B9">
              <w:rPr>
                <w:rFonts w:eastAsia="Times New Roman" w:cstheme="minorHAnsi"/>
                <w:color w:val="000000"/>
                <w:sz w:val="20"/>
                <w:szCs w:val="20"/>
                <w:lang w:eastAsia="en-GB"/>
              </w:rPr>
              <w:t>mRS</w:t>
            </w:r>
            <w:proofErr w:type="spellEnd"/>
            <w:r w:rsidRPr="00FD78B9">
              <w:rPr>
                <w:rFonts w:eastAsia="Times New Roman" w:cstheme="minorHAnsi"/>
                <w:color w:val="000000"/>
                <w:sz w:val="20"/>
                <w:szCs w:val="20"/>
                <w:lang w:eastAsia="en-GB"/>
              </w:rPr>
              <w:t xml:space="preserve"> 1</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81D0CC" w14:textId="441A39A0" w:rsidR="00FD78B9" w:rsidRPr="00FD78B9" w:rsidRDefault="00FD78B9" w:rsidP="00C71C83">
            <w:pPr>
              <w:spacing w:after="0" w:line="240" w:lineRule="auto"/>
              <w:jc w:val="right"/>
              <w:rPr>
                <w:rFonts w:eastAsia="Times New Roman" w:cstheme="minorHAnsi"/>
                <w:color w:val="000000"/>
                <w:sz w:val="20"/>
                <w:szCs w:val="20"/>
                <w:lang w:eastAsia="en-GB"/>
              </w:rPr>
            </w:pPr>
            <w:r w:rsidRPr="00FD78B9">
              <w:rPr>
                <w:rFonts w:cstheme="minorHAnsi"/>
                <w:color w:val="000000"/>
                <w:sz w:val="20"/>
                <w:szCs w:val="20"/>
              </w:rPr>
              <w:t>0.1534</w:t>
            </w:r>
          </w:p>
        </w:tc>
        <w:tc>
          <w:tcPr>
            <w:tcW w:w="873" w:type="dxa"/>
            <w:tcBorders>
              <w:top w:val="single" w:sz="4" w:space="0" w:color="auto"/>
              <w:left w:val="single" w:sz="4" w:space="0" w:color="auto"/>
              <w:bottom w:val="single" w:sz="4" w:space="0" w:color="auto"/>
              <w:right w:val="single" w:sz="4" w:space="0" w:color="auto"/>
            </w:tcBorders>
          </w:tcPr>
          <w:p w14:paraId="40740F97" w14:textId="0E54AFA3" w:rsidR="00FD78B9" w:rsidRPr="00FD78B9" w:rsidRDefault="00FD78B9" w:rsidP="00C71C83">
            <w:pPr>
              <w:spacing w:after="0" w:line="240" w:lineRule="auto"/>
              <w:jc w:val="right"/>
              <w:rPr>
                <w:rFonts w:cstheme="minorHAnsi"/>
                <w:color w:val="000000"/>
                <w:sz w:val="20"/>
                <w:szCs w:val="20"/>
              </w:rPr>
            </w:pPr>
            <w:r w:rsidRPr="00FD78B9">
              <w:rPr>
                <w:sz w:val="20"/>
                <w:szCs w:val="20"/>
              </w:rPr>
              <w:t>0.0614</w:t>
            </w:r>
          </w:p>
        </w:tc>
        <w:tc>
          <w:tcPr>
            <w:tcW w:w="916" w:type="dxa"/>
            <w:tcBorders>
              <w:top w:val="single" w:sz="4" w:space="0" w:color="auto"/>
              <w:left w:val="single" w:sz="4" w:space="0" w:color="auto"/>
              <w:bottom w:val="single" w:sz="4" w:space="0" w:color="auto"/>
              <w:right w:val="single" w:sz="4" w:space="0" w:color="auto"/>
            </w:tcBorders>
            <w:vAlign w:val="bottom"/>
          </w:tcPr>
          <w:p w14:paraId="53A76DB6" w14:textId="4ABCBF80" w:rsidR="00FD78B9" w:rsidRPr="00FD78B9" w:rsidRDefault="00FD78B9" w:rsidP="00C71C83">
            <w:pPr>
              <w:spacing w:after="0" w:line="240" w:lineRule="auto"/>
              <w:jc w:val="right"/>
              <w:rPr>
                <w:rFonts w:cstheme="minorHAnsi"/>
                <w:color w:val="000000"/>
                <w:sz w:val="20"/>
                <w:szCs w:val="20"/>
              </w:rPr>
            </w:pPr>
            <w:r w:rsidRPr="00FD78B9">
              <w:rPr>
                <w:rFonts w:ascii="Calibri" w:hAnsi="Calibri" w:cs="Calibri"/>
                <w:color w:val="000000"/>
                <w:sz w:val="20"/>
                <w:szCs w:val="20"/>
              </w:rPr>
              <w:t>0.033</w:t>
            </w:r>
            <w:r>
              <w:rPr>
                <w:rFonts w:ascii="Calibri" w:hAnsi="Calibri" w:cs="Calibri"/>
                <w:color w:val="000000"/>
                <w:sz w:val="20"/>
                <w:szCs w:val="20"/>
              </w:rPr>
              <w:t>0</w:t>
            </w:r>
            <w:r w:rsidRPr="00FD78B9">
              <w:rPr>
                <w:rFonts w:ascii="Calibri" w:hAnsi="Calibri" w:cs="Calibri"/>
                <w:color w:val="000000"/>
                <w:sz w:val="20"/>
                <w:szCs w:val="20"/>
              </w:rPr>
              <w:t>,</w:t>
            </w:r>
            <w:r>
              <w:rPr>
                <w:rFonts w:ascii="Calibri" w:hAnsi="Calibri" w:cs="Calibri"/>
                <w:color w:val="000000"/>
                <w:sz w:val="20"/>
                <w:szCs w:val="20"/>
              </w:rPr>
              <w:t xml:space="preserve"> </w:t>
            </w:r>
            <w:r w:rsidRPr="00FD78B9">
              <w:rPr>
                <w:rFonts w:ascii="Calibri" w:hAnsi="Calibri" w:cs="Calibri"/>
                <w:color w:val="000000"/>
                <w:sz w:val="20"/>
                <w:szCs w:val="20"/>
              </w:rPr>
              <w:t>0.2738</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33FAF9" w14:textId="061AF7F7" w:rsidR="00FD78B9" w:rsidRPr="00FD78B9" w:rsidRDefault="00FD78B9" w:rsidP="00C71C83">
            <w:pPr>
              <w:spacing w:after="0" w:line="240" w:lineRule="auto"/>
              <w:jc w:val="right"/>
              <w:rPr>
                <w:rFonts w:eastAsia="Times New Roman" w:cstheme="minorHAnsi"/>
                <w:color w:val="000000"/>
                <w:sz w:val="20"/>
                <w:szCs w:val="20"/>
                <w:lang w:eastAsia="en-GB"/>
              </w:rPr>
            </w:pPr>
            <w:r w:rsidRPr="00FD78B9">
              <w:rPr>
                <w:rFonts w:cstheme="minorHAnsi"/>
                <w:color w:val="000000"/>
                <w:sz w:val="20"/>
                <w:szCs w:val="20"/>
              </w:rPr>
              <w:t>-0.0468</w:t>
            </w:r>
          </w:p>
        </w:tc>
        <w:tc>
          <w:tcPr>
            <w:tcW w:w="851" w:type="dxa"/>
            <w:tcBorders>
              <w:top w:val="single" w:sz="4" w:space="0" w:color="auto"/>
              <w:left w:val="single" w:sz="4" w:space="0" w:color="auto"/>
              <w:bottom w:val="single" w:sz="4" w:space="0" w:color="auto"/>
              <w:right w:val="single" w:sz="4" w:space="0" w:color="auto"/>
            </w:tcBorders>
            <w:vAlign w:val="bottom"/>
          </w:tcPr>
          <w:p w14:paraId="56320162" w14:textId="27E92D94" w:rsidR="00FD78B9" w:rsidRPr="00FD78B9" w:rsidRDefault="00FD78B9" w:rsidP="00C71C83">
            <w:pPr>
              <w:spacing w:after="0" w:line="240" w:lineRule="auto"/>
              <w:jc w:val="right"/>
              <w:rPr>
                <w:rFonts w:cstheme="minorHAnsi"/>
                <w:color w:val="000000"/>
                <w:sz w:val="20"/>
                <w:szCs w:val="20"/>
              </w:rPr>
            </w:pPr>
            <w:r w:rsidRPr="00FD78B9">
              <w:rPr>
                <w:rFonts w:ascii="Calibri" w:hAnsi="Calibri" w:cs="Calibri"/>
                <w:color w:val="000000"/>
                <w:sz w:val="20"/>
                <w:szCs w:val="20"/>
              </w:rPr>
              <w:t>0.0383</w:t>
            </w:r>
          </w:p>
        </w:tc>
        <w:tc>
          <w:tcPr>
            <w:tcW w:w="992" w:type="dxa"/>
            <w:tcBorders>
              <w:top w:val="single" w:sz="4" w:space="0" w:color="auto"/>
              <w:left w:val="single" w:sz="4" w:space="0" w:color="auto"/>
              <w:bottom w:val="single" w:sz="4" w:space="0" w:color="auto"/>
              <w:right w:val="single" w:sz="4" w:space="0" w:color="auto"/>
            </w:tcBorders>
          </w:tcPr>
          <w:p w14:paraId="5027D904" w14:textId="77777777" w:rsidR="00C71C83" w:rsidRDefault="00FD78B9" w:rsidP="00C71C83">
            <w:pPr>
              <w:spacing w:after="0" w:line="240" w:lineRule="auto"/>
              <w:jc w:val="right"/>
              <w:rPr>
                <w:sz w:val="20"/>
                <w:szCs w:val="20"/>
              </w:rPr>
            </w:pPr>
            <w:r w:rsidRPr="00FD78B9">
              <w:rPr>
                <w:sz w:val="20"/>
                <w:szCs w:val="20"/>
              </w:rPr>
              <w:t xml:space="preserve">-0.1218, </w:t>
            </w:r>
          </w:p>
          <w:p w14:paraId="3B1AFA3D" w14:textId="135F7568" w:rsidR="00FD78B9" w:rsidRPr="00FD78B9" w:rsidRDefault="00FD78B9" w:rsidP="00C71C83">
            <w:pPr>
              <w:spacing w:after="0" w:line="240" w:lineRule="auto"/>
              <w:jc w:val="right"/>
              <w:rPr>
                <w:rFonts w:cstheme="minorHAnsi"/>
                <w:color w:val="000000"/>
                <w:sz w:val="20"/>
                <w:szCs w:val="20"/>
              </w:rPr>
            </w:pPr>
            <w:r w:rsidRPr="00FD78B9">
              <w:rPr>
                <w:sz w:val="20"/>
                <w:szCs w:val="20"/>
              </w:rPr>
              <w:t>0.0283</w:t>
            </w:r>
          </w:p>
        </w:tc>
        <w:tc>
          <w:tcPr>
            <w:tcW w:w="9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300CA1" w14:textId="6DF069E2" w:rsidR="00FD78B9" w:rsidRPr="00FD78B9" w:rsidRDefault="00FD78B9" w:rsidP="00C71C83">
            <w:pPr>
              <w:spacing w:after="0" w:line="240" w:lineRule="auto"/>
              <w:jc w:val="right"/>
              <w:rPr>
                <w:rFonts w:eastAsia="Times New Roman" w:cstheme="minorHAnsi"/>
                <w:color w:val="000000"/>
                <w:sz w:val="20"/>
                <w:szCs w:val="20"/>
                <w:lang w:eastAsia="en-GB"/>
              </w:rPr>
            </w:pPr>
            <w:r w:rsidRPr="00FD78B9">
              <w:rPr>
                <w:rFonts w:cstheme="minorHAnsi"/>
                <w:color w:val="000000"/>
                <w:sz w:val="20"/>
                <w:szCs w:val="20"/>
              </w:rPr>
              <w:t>-0.7988</w:t>
            </w:r>
          </w:p>
        </w:tc>
        <w:tc>
          <w:tcPr>
            <w:tcW w:w="868" w:type="dxa"/>
            <w:tcBorders>
              <w:top w:val="single" w:sz="4" w:space="0" w:color="auto"/>
              <w:left w:val="single" w:sz="4" w:space="0" w:color="auto"/>
              <w:bottom w:val="single" w:sz="4" w:space="0" w:color="auto"/>
              <w:right w:val="single" w:sz="4" w:space="0" w:color="auto"/>
            </w:tcBorders>
          </w:tcPr>
          <w:p w14:paraId="062A9DAD" w14:textId="430A3E14" w:rsidR="00FD78B9" w:rsidRPr="00FD78B9" w:rsidRDefault="00FD78B9" w:rsidP="00C71C83">
            <w:pPr>
              <w:spacing w:after="0" w:line="240" w:lineRule="auto"/>
              <w:jc w:val="right"/>
              <w:rPr>
                <w:rFonts w:cstheme="minorHAnsi"/>
                <w:color w:val="000000"/>
                <w:sz w:val="20"/>
                <w:szCs w:val="20"/>
              </w:rPr>
            </w:pPr>
            <w:r w:rsidRPr="00FD78B9">
              <w:rPr>
                <w:sz w:val="20"/>
                <w:szCs w:val="20"/>
              </w:rPr>
              <w:t>0.127</w:t>
            </w:r>
            <w:r>
              <w:rPr>
                <w:sz w:val="20"/>
                <w:szCs w:val="20"/>
              </w:rPr>
              <w:t>3</w:t>
            </w:r>
          </w:p>
        </w:tc>
        <w:tc>
          <w:tcPr>
            <w:tcW w:w="1060" w:type="dxa"/>
            <w:tcBorders>
              <w:top w:val="single" w:sz="4" w:space="0" w:color="auto"/>
              <w:left w:val="single" w:sz="4" w:space="0" w:color="auto"/>
              <w:bottom w:val="single" w:sz="4" w:space="0" w:color="auto"/>
              <w:right w:val="single" w:sz="4" w:space="0" w:color="auto"/>
            </w:tcBorders>
            <w:vAlign w:val="bottom"/>
          </w:tcPr>
          <w:p w14:paraId="2F022762" w14:textId="77777777" w:rsidR="00C71C83" w:rsidRDefault="00FD78B9" w:rsidP="00C71C83">
            <w:pPr>
              <w:spacing w:after="0" w:line="240" w:lineRule="auto"/>
              <w:jc w:val="right"/>
              <w:rPr>
                <w:rFonts w:ascii="Calibri" w:hAnsi="Calibri" w:cs="Calibri"/>
                <w:color w:val="000000"/>
                <w:sz w:val="20"/>
                <w:szCs w:val="20"/>
              </w:rPr>
            </w:pPr>
            <w:r w:rsidRPr="00FD78B9">
              <w:rPr>
                <w:rFonts w:ascii="Calibri" w:hAnsi="Calibri" w:cs="Calibri"/>
                <w:color w:val="000000"/>
                <w:sz w:val="20"/>
                <w:szCs w:val="20"/>
              </w:rPr>
              <w:t>-1.0484,</w:t>
            </w:r>
            <w:r>
              <w:rPr>
                <w:rFonts w:ascii="Calibri" w:hAnsi="Calibri" w:cs="Calibri"/>
                <w:color w:val="000000"/>
                <w:sz w:val="20"/>
                <w:szCs w:val="20"/>
              </w:rPr>
              <w:t xml:space="preserve"> </w:t>
            </w:r>
          </w:p>
          <w:p w14:paraId="038E2FC5" w14:textId="7B05F7D9" w:rsidR="00FD78B9" w:rsidRPr="00FD78B9" w:rsidRDefault="00FD78B9" w:rsidP="00C71C83">
            <w:pPr>
              <w:spacing w:after="0" w:line="240" w:lineRule="auto"/>
              <w:jc w:val="right"/>
              <w:rPr>
                <w:rFonts w:cstheme="minorHAnsi"/>
                <w:color w:val="000000"/>
                <w:sz w:val="20"/>
                <w:szCs w:val="20"/>
              </w:rPr>
            </w:pPr>
            <w:r w:rsidRPr="00FD78B9">
              <w:rPr>
                <w:rFonts w:ascii="Calibri" w:hAnsi="Calibri" w:cs="Calibri"/>
                <w:color w:val="000000"/>
                <w:sz w:val="20"/>
                <w:szCs w:val="20"/>
              </w:rPr>
              <w:t>-0.5492</w:t>
            </w:r>
          </w:p>
        </w:tc>
      </w:tr>
      <w:tr w:rsidR="00FD78B9" w:rsidRPr="00FD78B9" w14:paraId="35AAED49" w14:textId="00CB4886" w:rsidTr="00C71C83">
        <w:trPr>
          <w:gridAfter w:val="1"/>
          <w:wAfter w:w="39" w:type="dxa"/>
          <w:trHeight w:val="300"/>
        </w:trPr>
        <w:tc>
          <w:tcPr>
            <w:tcW w:w="1107"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0E6FECB7" w14:textId="77777777" w:rsidR="00FD78B9" w:rsidRPr="00FD78B9" w:rsidRDefault="00FD78B9" w:rsidP="00C71C83">
            <w:pPr>
              <w:spacing w:after="0" w:line="240" w:lineRule="auto"/>
              <w:jc w:val="right"/>
              <w:rPr>
                <w:rFonts w:eastAsia="Times New Roman" w:cstheme="minorHAnsi"/>
                <w:color w:val="000000"/>
                <w:sz w:val="20"/>
                <w:szCs w:val="20"/>
                <w:lang w:eastAsia="en-GB"/>
              </w:rPr>
            </w:pPr>
            <w:proofErr w:type="spellStart"/>
            <w:r w:rsidRPr="00FD78B9">
              <w:rPr>
                <w:rFonts w:eastAsia="Times New Roman" w:cstheme="minorHAnsi"/>
                <w:color w:val="000000"/>
                <w:sz w:val="20"/>
                <w:szCs w:val="20"/>
                <w:lang w:eastAsia="en-GB"/>
              </w:rPr>
              <w:t>mRS</w:t>
            </w:r>
            <w:proofErr w:type="spellEnd"/>
            <w:r w:rsidRPr="00FD78B9">
              <w:rPr>
                <w:rFonts w:eastAsia="Times New Roman" w:cstheme="minorHAnsi"/>
                <w:color w:val="000000"/>
                <w:sz w:val="20"/>
                <w:szCs w:val="20"/>
                <w:lang w:eastAsia="en-GB"/>
              </w:rPr>
              <w:t xml:space="preserve"> 2</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D8D549" w14:textId="4A1E68D0" w:rsidR="00FD78B9" w:rsidRPr="00FD78B9" w:rsidRDefault="00FD78B9" w:rsidP="00C71C83">
            <w:pPr>
              <w:spacing w:after="0" w:line="240" w:lineRule="auto"/>
              <w:jc w:val="right"/>
              <w:rPr>
                <w:rFonts w:eastAsia="Times New Roman" w:cstheme="minorHAnsi"/>
                <w:color w:val="000000"/>
                <w:sz w:val="20"/>
                <w:szCs w:val="20"/>
                <w:lang w:eastAsia="en-GB"/>
              </w:rPr>
            </w:pPr>
            <w:r w:rsidRPr="00FD78B9">
              <w:rPr>
                <w:rFonts w:cstheme="minorHAnsi"/>
                <w:color w:val="000000"/>
                <w:sz w:val="20"/>
                <w:szCs w:val="20"/>
              </w:rPr>
              <w:t>-0.1126</w:t>
            </w:r>
          </w:p>
        </w:tc>
        <w:tc>
          <w:tcPr>
            <w:tcW w:w="873" w:type="dxa"/>
            <w:tcBorders>
              <w:top w:val="single" w:sz="4" w:space="0" w:color="auto"/>
              <w:left w:val="single" w:sz="4" w:space="0" w:color="auto"/>
              <w:bottom w:val="single" w:sz="4" w:space="0" w:color="auto"/>
              <w:right w:val="single" w:sz="4" w:space="0" w:color="auto"/>
            </w:tcBorders>
          </w:tcPr>
          <w:p w14:paraId="364B37FC" w14:textId="5CCCBF8E" w:rsidR="00FD78B9" w:rsidRPr="00FD78B9" w:rsidRDefault="00FD78B9" w:rsidP="00C71C83">
            <w:pPr>
              <w:spacing w:after="0" w:line="240" w:lineRule="auto"/>
              <w:jc w:val="right"/>
              <w:rPr>
                <w:rFonts w:cstheme="minorHAnsi"/>
                <w:color w:val="000000"/>
                <w:sz w:val="20"/>
                <w:szCs w:val="20"/>
              </w:rPr>
            </w:pPr>
            <w:r w:rsidRPr="00FD78B9">
              <w:rPr>
                <w:sz w:val="20"/>
                <w:szCs w:val="20"/>
              </w:rPr>
              <w:t>0.0595</w:t>
            </w:r>
          </w:p>
        </w:tc>
        <w:tc>
          <w:tcPr>
            <w:tcW w:w="916" w:type="dxa"/>
            <w:tcBorders>
              <w:top w:val="single" w:sz="4" w:space="0" w:color="auto"/>
              <w:left w:val="single" w:sz="4" w:space="0" w:color="auto"/>
              <w:bottom w:val="single" w:sz="4" w:space="0" w:color="auto"/>
              <w:right w:val="single" w:sz="4" w:space="0" w:color="auto"/>
            </w:tcBorders>
            <w:vAlign w:val="bottom"/>
          </w:tcPr>
          <w:p w14:paraId="09A8880D" w14:textId="460B75FB" w:rsidR="00FD78B9" w:rsidRPr="00FD78B9" w:rsidRDefault="00FD78B9" w:rsidP="00C71C83">
            <w:pPr>
              <w:spacing w:after="0" w:line="240" w:lineRule="auto"/>
              <w:jc w:val="right"/>
              <w:rPr>
                <w:rFonts w:cstheme="minorHAnsi"/>
                <w:color w:val="000000"/>
                <w:sz w:val="20"/>
                <w:szCs w:val="20"/>
              </w:rPr>
            </w:pPr>
            <w:r w:rsidRPr="00FD78B9">
              <w:rPr>
                <w:rFonts w:ascii="Calibri" w:hAnsi="Calibri" w:cs="Calibri"/>
                <w:color w:val="000000"/>
                <w:sz w:val="20"/>
                <w:szCs w:val="20"/>
              </w:rPr>
              <w:t>-0.2291,</w:t>
            </w:r>
            <w:r>
              <w:rPr>
                <w:rFonts w:ascii="Calibri" w:hAnsi="Calibri" w:cs="Calibri"/>
                <w:color w:val="000000"/>
                <w:sz w:val="20"/>
                <w:szCs w:val="20"/>
              </w:rPr>
              <w:t xml:space="preserve"> </w:t>
            </w:r>
            <w:r w:rsidRPr="00FD78B9">
              <w:rPr>
                <w:rFonts w:ascii="Calibri" w:hAnsi="Calibri" w:cs="Calibri"/>
                <w:color w:val="000000"/>
                <w:sz w:val="20"/>
                <w:szCs w:val="20"/>
              </w:rPr>
              <w:t>0.004</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7B432F" w14:textId="5928B4AF" w:rsidR="00FD78B9" w:rsidRPr="00FD78B9" w:rsidRDefault="00FD78B9" w:rsidP="00C71C83">
            <w:pPr>
              <w:spacing w:after="0" w:line="240" w:lineRule="auto"/>
              <w:jc w:val="right"/>
              <w:rPr>
                <w:rFonts w:eastAsia="Times New Roman" w:cstheme="minorHAnsi"/>
                <w:color w:val="000000"/>
                <w:sz w:val="20"/>
                <w:szCs w:val="20"/>
                <w:lang w:eastAsia="en-GB"/>
              </w:rPr>
            </w:pPr>
            <w:r w:rsidRPr="00FD78B9">
              <w:rPr>
                <w:rFonts w:cstheme="minorHAnsi"/>
                <w:color w:val="000000"/>
                <w:sz w:val="20"/>
                <w:szCs w:val="20"/>
              </w:rPr>
              <w:t>-0.4899</w:t>
            </w:r>
          </w:p>
        </w:tc>
        <w:tc>
          <w:tcPr>
            <w:tcW w:w="851" w:type="dxa"/>
            <w:tcBorders>
              <w:top w:val="single" w:sz="4" w:space="0" w:color="auto"/>
              <w:left w:val="single" w:sz="4" w:space="0" w:color="auto"/>
              <w:bottom w:val="single" w:sz="4" w:space="0" w:color="auto"/>
              <w:right w:val="single" w:sz="4" w:space="0" w:color="auto"/>
            </w:tcBorders>
            <w:vAlign w:val="bottom"/>
          </w:tcPr>
          <w:p w14:paraId="64AA69BC" w14:textId="378649AD" w:rsidR="00FD78B9" w:rsidRPr="00FD78B9" w:rsidRDefault="00FD78B9" w:rsidP="00C71C83">
            <w:pPr>
              <w:spacing w:after="0" w:line="240" w:lineRule="auto"/>
              <w:jc w:val="right"/>
              <w:rPr>
                <w:rFonts w:cstheme="minorHAnsi"/>
                <w:color w:val="000000"/>
                <w:sz w:val="20"/>
                <w:szCs w:val="20"/>
              </w:rPr>
            </w:pPr>
            <w:r w:rsidRPr="00FD78B9">
              <w:rPr>
                <w:rFonts w:ascii="Calibri" w:hAnsi="Calibri" w:cs="Calibri"/>
                <w:color w:val="000000"/>
                <w:sz w:val="20"/>
                <w:szCs w:val="20"/>
              </w:rPr>
              <w:t>0.0356</w:t>
            </w:r>
          </w:p>
        </w:tc>
        <w:tc>
          <w:tcPr>
            <w:tcW w:w="992" w:type="dxa"/>
            <w:tcBorders>
              <w:top w:val="single" w:sz="4" w:space="0" w:color="auto"/>
              <w:left w:val="single" w:sz="4" w:space="0" w:color="auto"/>
              <w:bottom w:val="single" w:sz="4" w:space="0" w:color="auto"/>
              <w:right w:val="single" w:sz="4" w:space="0" w:color="auto"/>
            </w:tcBorders>
          </w:tcPr>
          <w:p w14:paraId="33F5F717" w14:textId="77777777" w:rsidR="00C71C83" w:rsidRDefault="00FD78B9" w:rsidP="00C71C83">
            <w:pPr>
              <w:spacing w:after="0" w:line="240" w:lineRule="auto"/>
              <w:jc w:val="right"/>
              <w:rPr>
                <w:sz w:val="20"/>
                <w:szCs w:val="20"/>
              </w:rPr>
            </w:pPr>
            <w:r w:rsidRPr="00FD78B9">
              <w:rPr>
                <w:sz w:val="20"/>
                <w:szCs w:val="20"/>
              </w:rPr>
              <w:t xml:space="preserve">-0.5598, </w:t>
            </w:r>
          </w:p>
          <w:p w14:paraId="0D6A6E17" w14:textId="7445C726" w:rsidR="00FD78B9" w:rsidRPr="00FD78B9" w:rsidRDefault="00FD78B9" w:rsidP="00C71C83">
            <w:pPr>
              <w:spacing w:after="0" w:line="240" w:lineRule="auto"/>
              <w:jc w:val="right"/>
              <w:rPr>
                <w:rFonts w:cstheme="minorHAnsi"/>
                <w:color w:val="000000"/>
                <w:sz w:val="20"/>
                <w:szCs w:val="20"/>
              </w:rPr>
            </w:pPr>
            <w:r w:rsidRPr="00FD78B9">
              <w:rPr>
                <w:sz w:val="20"/>
                <w:szCs w:val="20"/>
              </w:rPr>
              <w:t>-0.4201</w:t>
            </w:r>
          </w:p>
        </w:tc>
        <w:tc>
          <w:tcPr>
            <w:tcW w:w="9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CD510B" w14:textId="14FEC8CF" w:rsidR="00FD78B9" w:rsidRPr="00FD78B9" w:rsidRDefault="00FD78B9" w:rsidP="00C71C83">
            <w:pPr>
              <w:spacing w:after="0" w:line="240" w:lineRule="auto"/>
              <w:jc w:val="right"/>
              <w:rPr>
                <w:rFonts w:eastAsia="Times New Roman" w:cstheme="minorHAnsi"/>
                <w:color w:val="000000"/>
                <w:sz w:val="20"/>
                <w:szCs w:val="20"/>
                <w:lang w:eastAsia="en-GB"/>
              </w:rPr>
            </w:pPr>
            <w:r w:rsidRPr="00FD78B9">
              <w:rPr>
                <w:rFonts w:cstheme="minorHAnsi"/>
                <w:color w:val="000000"/>
                <w:sz w:val="20"/>
                <w:szCs w:val="20"/>
              </w:rPr>
              <w:t>-0.8763</w:t>
            </w:r>
          </w:p>
        </w:tc>
        <w:tc>
          <w:tcPr>
            <w:tcW w:w="868" w:type="dxa"/>
            <w:tcBorders>
              <w:top w:val="single" w:sz="4" w:space="0" w:color="auto"/>
              <w:left w:val="single" w:sz="4" w:space="0" w:color="auto"/>
              <w:bottom w:val="single" w:sz="4" w:space="0" w:color="auto"/>
              <w:right w:val="single" w:sz="4" w:space="0" w:color="auto"/>
            </w:tcBorders>
          </w:tcPr>
          <w:p w14:paraId="25819857" w14:textId="2EB50FD3" w:rsidR="00FD78B9" w:rsidRPr="00FD78B9" w:rsidRDefault="00FD78B9" w:rsidP="00C71C83">
            <w:pPr>
              <w:spacing w:after="0" w:line="240" w:lineRule="auto"/>
              <w:jc w:val="right"/>
              <w:rPr>
                <w:rFonts w:cstheme="minorHAnsi"/>
                <w:color w:val="000000"/>
                <w:sz w:val="20"/>
                <w:szCs w:val="20"/>
              </w:rPr>
            </w:pPr>
            <w:r w:rsidRPr="00FD78B9">
              <w:rPr>
                <w:sz w:val="20"/>
                <w:szCs w:val="20"/>
              </w:rPr>
              <w:t>0.1288</w:t>
            </w:r>
          </w:p>
        </w:tc>
        <w:tc>
          <w:tcPr>
            <w:tcW w:w="1060" w:type="dxa"/>
            <w:tcBorders>
              <w:top w:val="single" w:sz="4" w:space="0" w:color="auto"/>
              <w:left w:val="single" w:sz="4" w:space="0" w:color="auto"/>
              <w:bottom w:val="single" w:sz="4" w:space="0" w:color="auto"/>
              <w:right w:val="single" w:sz="4" w:space="0" w:color="auto"/>
            </w:tcBorders>
            <w:vAlign w:val="bottom"/>
          </w:tcPr>
          <w:p w14:paraId="231E22A8" w14:textId="77777777" w:rsidR="00C71C83" w:rsidRDefault="00FD78B9" w:rsidP="00C71C83">
            <w:pPr>
              <w:spacing w:after="0" w:line="240" w:lineRule="auto"/>
              <w:jc w:val="right"/>
              <w:rPr>
                <w:rFonts w:ascii="Calibri" w:hAnsi="Calibri" w:cs="Calibri"/>
                <w:color w:val="000000"/>
                <w:sz w:val="20"/>
                <w:szCs w:val="20"/>
              </w:rPr>
            </w:pPr>
            <w:r w:rsidRPr="00FD78B9">
              <w:rPr>
                <w:rFonts w:ascii="Calibri" w:hAnsi="Calibri" w:cs="Calibri"/>
                <w:color w:val="000000"/>
                <w:sz w:val="20"/>
                <w:szCs w:val="20"/>
              </w:rPr>
              <w:t>-1.1287,</w:t>
            </w:r>
            <w:r>
              <w:rPr>
                <w:rFonts w:ascii="Calibri" w:hAnsi="Calibri" w:cs="Calibri"/>
                <w:color w:val="000000"/>
                <w:sz w:val="20"/>
                <w:szCs w:val="20"/>
              </w:rPr>
              <w:t xml:space="preserve"> </w:t>
            </w:r>
          </w:p>
          <w:p w14:paraId="11A9F9C0" w14:textId="00ADB5A5" w:rsidR="00FD78B9" w:rsidRPr="00FD78B9" w:rsidRDefault="00FD78B9" w:rsidP="00C71C83">
            <w:pPr>
              <w:spacing w:after="0" w:line="240" w:lineRule="auto"/>
              <w:jc w:val="right"/>
              <w:rPr>
                <w:rFonts w:cstheme="minorHAnsi"/>
                <w:color w:val="000000"/>
                <w:sz w:val="20"/>
                <w:szCs w:val="20"/>
              </w:rPr>
            </w:pPr>
            <w:r w:rsidRPr="00FD78B9">
              <w:rPr>
                <w:rFonts w:ascii="Calibri" w:hAnsi="Calibri" w:cs="Calibri"/>
                <w:color w:val="000000"/>
                <w:sz w:val="20"/>
                <w:szCs w:val="20"/>
              </w:rPr>
              <w:t>-0.6239</w:t>
            </w:r>
          </w:p>
        </w:tc>
      </w:tr>
      <w:tr w:rsidR="00FD78B9" w:rsidRPr="00FD78B9" w14:paraId="02A65A75" w14:textId="40DEEFA7" w:rsidTr="00C71C83">
        <w:trPr>
          <w:gridAfter w:val="1"/>
          <w:wAfter w:w="39" w:type="dxa"/>
          <w:trHeight w:val="315"/>
        </w:trPr>
        <w:tc>
          <w:tcPr>
            <w:tcW w:w="1107"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795DDEA3" w14:textId="77777777" w:rsidR="00FD78B9" w:rsidRPr="00FD78B9" w:rsidRDefault="00FD78B9" w:rsidP="00C71C83">
            <w:pPr>
              <w:spacing w:after="0" w:line="240" w:lineRule="auto"/>
              <w:jc w:val="right"/>
              <w:rPr>
                <w:rFonts w:eastAsia="Times New Roman" w:cstheme="minorHAnsi"/>
                <w:color w:val="000000"/>
                <w:sz w:val="20"/>
                <w:szCs w:val="20"/>
                <w:lang w:eastAsia="en-GB"/>
              </w:rPr>
            </w:pPr>
            <w:proofErr w:type="spellStart"/>
            <w:r w:rsidRPr="00FD78B9">
              <w:rPr>
                <w:rFonts w:eastAsia="Times New Roman" w:cstheme="minorHAnsi"/>
                <w:color w:val="000000"/>
                <w:sz w:val="20"/>
                <w:szCs w:val="20"/>
                <w:lang w:eastAsia="en-GB"/>
              </w:rPr>
              <w:t>mRS</w:t>
            </w:r>
            <w:proofErr w:type="spellEnd"/>
            <w:r w:rsidRPr="00FD78B9">
              <w:rPr>
                <w:rFonts w:eastAsia="Times New Roman" w:cstheme="minorHAnsi"/>
                <w:color w:val="000000"/>
                <w:sz w:val="20"/>
                <w:szCs w:val="20"/>
                <w:lang w:eastAsia="en-GB"/>
              </w:rPr>
              <w:t xml:space="preserve"> 3</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32FA3E" w14:textId="50630151" w:rsidR="00FD78B9" w:rsidRPr="00FD78B9" w:rsidRDefault="00FD78B9" w:rsidP="00C71C83">
            <w:pPr>
              <w:spacing w:after="0" w:line="240" w:lineRule="auto"/>
              <w:jc w:val="right"/>
              <w:rPr>
                <w:rFonts w:eastAsia="Times New Roman" w:cstheme="minorHAnsi"/>
                <w:color w:val="000000"/>
                <w:sz w:val="20"/>
                <w:szCs w:val="20"/>
                <w:lang w:eastAsia="en-GB"/>
              </w:rPr>
            </w:pPr>
            <w:r w:rsidRPr="00FD78B9">
              <w:rPr>
                <w:rFonts w:cstheme="minorHAnsi"/>
                <w:color w:val="000000"/>
                <w:sz w:val="20"/>
                <w:szCs w:val="20"/>
              </w:rPr>
              <w:t>-0.4520</w:t>
            </w:r>
          </w:p>
        </w:tc>
        <w:tc>
          <w:tcPr>
            <w:tcW w:w="873" w:type="dxa"/>
            <w:tcBorders>
              <w:top w:val="single" w:sz="4" w:space="0" w:color="auto"/>
              <w:left w:val="single" w:sz="4" w:space="0" w:color="auto"/>
              <w:bottom w:val="single" w:sz="4" w:space="0" w:color="auto"/>
              <w:right w:val="single" w:sz="4" w:space="0" w:color="auto"/>
            </w:tcBorders>
          </w:tcPr>
          <w:p w14:paraId="2EBB5F10" w14:textId="62871ED9" w:rsidR="00FD78B9" w:rsidRPr="00FD78B9" w:rsidRDefault="00FD78B9" w:rsidP="00C71C83">
            <w:pPr>
              <w:spacing w:after="0" w:line="240" w:lineRule="auto"/>
              <w:jc w:val="right"/>
              <w:rPr>
                <w:rFonts w:cstheme="minorHAnsi"/>
                <w:color w:val="000000"/>
                <w:sz w:val="20"/>
                <w:szCs w:val="20"/>
              </w:rPr>
            </w:pPr>
            <w:r w:rsidRPr="00FD78B9">
              <w:rPr>
                <w:sz w:val="20"/>
                <w:szCs w:val="20"/>
              </w:rPr>
              <w:t>0.0597</w:t>
            </w:r>
          </w:p>
        </w:tc>
        <w:tc>
          <w:tcPr>
            <w:tcW w:w="916" w:type="dxa"/>
            <w:tcBorders>
              <w:top w:val="single" w:sz="4" w:space="0" w:color="auto"/>
              <w:left w:val="single" w:sz="4" w:space="0" w:color="auto"/>
              <w:bottom w:val="single" w:sz="4" w:space="0" w:color="auto"/>
              <w:right w:val="single" w:sz="4" w:space="0" w:color="auto"/>
            </w:tcBorders>
            <w:vAlign w:val="bottom"/>
          </w:tcPr>
          <w:p w14:paraId="3619D382" w14:textId="77777777" w:rsidR="00C71C83" w:rsidRDefault="00FD78B9" w:rsidP="00C71C83">
            <w:pPr>
              <w:spacing w:after="0" w:line="240" w:lineRule="auto"/>
              <w:jc w:val="right"/>
              <w:rPr>
                <w:rFonts w:ascii="Calibri" w:hAnsi="Calibri" w:cs="Calibri"/>
                <w:color w:val="000000"/>
                <w:sz w:val="20"/>
                <w:szCs w:val="20"/>
              </w:rPr>
            </w:pPr>
            <w:r w:rsidRPr="00FD78B9">
              <w:rPr>
                <w:rFonts w:ascii="Calibri" w:hAnsi="Calibri" w:cs="Calibri"/>
                <w:color w:val="000000"/>
                <w:sz w:val="20"/>
                <w:szCs w:val="20"/>
              </w:rPr>
              <w:t>-0.5691,</w:t>
            </w:r>
            <w:r>
              <w:rPr>
                <w:rFonts w:ascii="Calibri" w:hAnsi="Calibri" w:cs="Calibri"/>
                <w:color w:val="000000"/>
                <w:sz w:val="20"/>
                <w:szCs w:val="20"/>
              </w:rPr>
              <w:t xml:space="preserve"> </w:t>
            </w:r>
          </w:p>
          <w:p w14:paraId="166964D5" w14:textId="0ADC0789" w:rsidR="00FD78B9" w:rsidRPr="00FD78B9" w:rsidRDefault="00FD78B9" w:rsidP="00C71C83">
            <w:pPr>
              <w:spacing w:after="0" w:line="240" w:lineRule="auto"/>
              <w:jc w:val="right"/>
              <w:rPr>
                <w:rFonts w:cstheme="minorHAnsi"/>
                <w:color w:val="000000"/>
                <w:sz w:val="20"/>
                <w:szCs w:val="20"/>
              </w:rPr>
            </w:pPr>
            <w:r w:rsidRPr="00FD78B9">
              <w:rPr>
                <w:rFonts w:ascii="Calibri" w:hAnsi="Calibri" w:cs="Calibri"/>
                <w:color w:val="000000"/>
                <w:sz w:val="20"/>
                <w:szCs w:val="20"/>
              </w:rPr>
              <w:t>-0.3349</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B6ED12" w14:textId="21781279" w:rsidR="00FD78B9" w:rsidRPr="00FD78B9" w:rsidRDefault="00FD78B9" w:rsidP="00C71C83">
            <w:pPr>
              <w:spacing w:after="0" w:line="240" w:lineRule="auto"/>
              <w:jc w:val="right"/>
              <w:rPr>
                <w:rFonts w:eastAsia="Times New Roman" w:cstheme="minorHAnsi"/>
                <w:color w:val="000000"/>
                <w:sz w:val="20"/>
                <w:szCs w:val="20"/>
                <w:lang w:eastAsia="en-GB"/>
              </w:rPr>
            </w:pPr>
            <w:r w:rsidRPr="00FD78B9">
              <w:rPr>
                <w:rFonts w:cstheme="minorHAnsi"/>
                <w:color w:val="000000"/>
                <w:sz w:val="20"/>
                <w:szCs w:val="20"/>
              </w:rPr>
              <w:t>-1.1523</w:t>
            </w:r>
          </w:p>
        </w:tc>
        <w:tc>
          <w:tcPr>
            <w:tcW w:w="851" w:type="dxa"/>
            <w:tcBorders>
              <w:top w:val="single" w:sz="4" w:space="0" w:color="auto"/>
              <w:left w:val="single" w:sz="4" w:space="0" w:color="auto"/>
              <w:bottom w:val="single" w:sz="4" w:space="0" w:color="auto"/>
              <w:right w:val="single" w:sz="4" w:space="0" w:color="auto"/>
            </w:tcBorders>
            <w:vAlign w:val="bottom"/>
          </w:tcPr>
          <w:p w14:paraId="41B59DCC" w14:textId="6E234307" w:rsidR="00FD78B9" w:rsidRPr="00FD78B9" w:rsidRDefault="00FD78B9" w:rsidP="00C71C83">
            <w:pPr>
              <w:spacing w:after="0" w:line="240" w:lineRule="auto"/>
              <w:jc w:val="right"/>
              <w:rPr>
                <w:rFonts w:cstheme="minorHAnsi"/>
                <w:color w:val="000000"/>
                <w:sz w:val="20"/>
                <w:szCs w:val="20"/>
              </w:rPr>
            </w:pPr>
            <w:r w:rsidRPr="00FD78B9">
              <w:rPr>
                <w:rFonts w:ascii="Calibri" w:hAnsi="Calibri" w:cs="Calibri"/>
                <w:color w:val="000000"/>
                <w:sz w:val="20"/>
                <w:szCs w:val="20"/>
              </w:rPr>
              <w:t>0.0358</w:t>
            </w:r>
          </w:p>
        </w:tc>
        <w:tc>
          <w:tcPr>
            <w:tcW w:w="992" w:type="dxa"/>
            <w:tcBorders>
              <w:top w:val="single" w:sz="4" w:space="0" w:color="auto"/>
              <w:left w:val="single" w:sz="4" w:space="0" w:color="auto"/>
              <w:bottom w:val="single" w:sz="4" w:space="0" w:color="auto"/>
              <w:right w:val="single" w:sz="4" w:space="0" w:color="auto"/>
            </w:tcBorders>
          </w:tcPr>
          <w:p w14:paraId="04860016" w14:textId="77777777" w:rsidR="00C71C83" w:rsidRDefault="00FD78B9" w:rsidP="00C71C83">
            <w:pPr>
              <w:spacing w:after="0" w:line="240" w:lineRule="auto"/>
              <w:jc w:val="right"/>
              <w:rPr>
                <w:sz w:val="20"/>
                <w:szCs w:val="20"/>
              </w:rPr>
            </w:pPr>
            <w:r w:rsidRPr="00FD78B9">
              <w:rPr>
                <w:sz w:val="20"/>
                <w:szCs w:val="20"/>
              </w:rPr>
              <w:t xml:space="preserve">-1.2225, </w:t>
            </w:r>
          </w:p>
          <w:p w14:paraId="05093823" w14:textId="7E14F19D" w:rsidR="00FD78B9" w:rsidRPr="00FD78B9" w:rsidRDefault="00FD78B9" w:rsidP="00C71C83">
            <w:pPr>
              <w:spacing w:after="0" w:line="240" w:lineRule="auto"/>
              <w:jc w:val="right"/>
              <w:rPr>
                <w:rFonts w:cstheme="minorHAnsi"/>
                <w:color w:val="000000"/>
                <w:sz w:val="20"/>
                <w:szCs w:val="20"/>
              </w:rPr>
            </w:pPr>
            <w:r w:rsidRPr="00FD78B9">
              <w:rPr>
                <w:sz w:val="20"/>
                <w:szCs w:val="20"/>
              </w:rPr>
              <w:t>-1.0821</w:t>
            </w:r>
          </w:p>
        </w:tc>
        <w:tc>
          <w:tcPr>
            <w:tcW w:w="9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B1AF7E" w14:textId="470E275F" w:rsidR="00FD78B9" w:rsidRPr="00FD78B9" w:rsidRDefault="00FD78B9" w:rsidP="00C71C83">
            <w:pPr>
              <w:spacing w:after="0" w:line="240" w:lineRule="auto"/>
              <w:jc w:val="right"/>
              <w:rPr>
                <w:rFonts w:eastAsia="Times New Roman" w:cstheme="minorHAnsi"/>
                <w:color w:val="000000"/>
                <w:sz w:val="20"/>
                <w:szCs w:val="20"/>
                <w:lang w:eastAsia="en-GB"/>
              </w:rPr>
            </w:pPr>
            <w:r w:rsidRPr="00FD78B9">
              <w:rPr>
                <w:rFonts w:cstheme="minorHAnsi"/>
                <w:color w:val="000000"/>
                <w:sz w:val="20"/>
                <w:szCs w:val="20"/>
              </w:rPr>
              <w:t>-0.1613</w:t>
            </w:r>
          </w:p>
        </w:tc>
        <w:tc>
          <w:tcPr>
            <w:tcW w:w="868" w:type="dxa"/>
            <w:tcBorders>
              <w:top w:val="single" w:sz="4" w:space="0" w:color="auto"/>
              <w:left w:val="single" w:sz="4" w:space="0" w:color="auto"/>
              <w:bottom w:val="single" w:sz="4" w:space="0" w:color="auto"/>
              <w:right w:val="single" w:sz="4" w:space="0" w:color="auto"/>
            </w:tcBorders>
          </w:tcPr>
          <w:p w14:paraId="52F078EE" w14:textId="374C498F" w:rsidR="00FD78B9" w:rsidRPr="00FD78B9" w:rsidRDefault="00FD78B9" w:rsidP="00C71C83">
            <w:pPr>
              <w:spacing w:after="0" w:line="240" w:lineRule="auto"/>
              <w:jc w:val="right"/>
              <w:rPr>
                <w:rFonts w:cstheme="minorHAnsi"/>
                <w:color w:val="000000"/>
                <w:sz w:val="20"/>
                <w:szCs w:val="20"/>
              </w:rPr>
            </w:pPr>
            <w:r w:rsidRPr="00FD78B9">
              <w:rPr>
                <w:sz w:val="20"/>
                <w:szCs w:val="20"/>
              </w:rPr>
              <w:t>0.1331</w:t>
            </w:r>
          </w:p>
        </w:tc>
        <w:tc>
          <w:tcPr>
            <w:tcW w:w="1060" w:type="dxa"/>
            <w:tcBorders>
              <w:top w:val="single" w:sz="4" w:space="0" w:color="auto"/>
              <w:left w:val="single" w:sz="4" w:space="0" w:color="auto"/>
              <w:bottom w:val="single" w:sz="4" w:space="0" w:color="auto"/>
              <w:right w:val="single" w:sz="4" w:space="0" w:color="auto"/>
            </w:tcBorders>
            <w:vAlign w:val="bottom"/>
          </w:tcPr>
          <w:p w14:paraId="439CA1C9" w14:textId="43E5BF39" w:rsidR="00FD78B9" w:rsidRPr="00FD78B9" w:rsidRDefault="00FD78B9" w:rsidP="00C71C83">
            <w:pPr>
              <w:spacing w:after="0" w:line="240" w:lineRule="auto"/>
              <w:jc w:val="right"/>
              <w:rPr>
                <w:rFonts w:cstheme="minorHAnsi"/>
                <w:color w:val="000000"/>
                <w:sz w:val="20"/>
                <w:szCs w:val="20"/>
              </w:rPr>
            </w:pPr>
            <w:r w:rsidRPr="00FD78B9">
              <w:rPr>
                <w:rFonts w:ascii="Calibri" w:hAnsi="Calibri" w:cs="Calibri"/>
                <w:color w:val="000000"/>
                <w:sz w:val="20"/>
                <w:szCs w:val="20"/>
              </w:rPr>
              <w:t>-0.4221,</w:t>
            </w:r>
            <w:r>
              <w:rPr>
                <w:rFonts w:ascii="Calibri" w:hAnsi="Calibri" w:cs="Calibri"/>
                <w:color w:val="000000"/>
                <w:sz w:val="20"/>
                <w:szCs w:val="20"/>
              </w:rPr>
              <w:t xml:space="preserve"> </w:t>
            </w:r>
            <w:r w:rsidRPr="00FD78B9">
              <w:rPr>
                <w:rFonts w:ascii="Calibri" w:hAnsi="Calibri" w:cs="Calibri"/>
                <w:color w:val="000000"/>
                <w:sz w:val="20"/>
                <w:szCs w:val="20"/>
              </w:rPr>
              <w:t>0.0995</w:t>
            </w:r>
          </w:p>
        </w:tc>
      </w:tr>
      <w:tr w:rsidR="00FD78B9" w:rsidRPr="00FD78B9" w14:paraId="32F8E731" w14:textId="6AF78285" w:rsidTr="00C71C83">
        <w:trPr>
          <w:gridAfter w:val="1"/>
          <w:wAfter w:w="39" w:type="dxa"/>
          <w:trHeight w:val="315"/>
        </w:trPr>
        <w:tc>
          <w:tcPr>
            <w:tcW w:w="1107"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42E8DA59" w14:textId="77777777" w:rsidR="00FD78B9" w:rsidRPr="00FD78B9" w:rsidRDefault="00FD78B9" w:rsidP="00C71C83">
            <w:pPr>
              <w:spacing w:after="0" w:line="240" w:lineRule="auto"/>
              <w:jc w:val="right"/>
              <w:rPr>
                <w:rFonts w:eastAsia="Times New Roman" w:cstheme="minorHAnsi"/>
                <w:color w:val="000000"/>
                <w:sz w:val="20"/>
                <w:szCs w:val="20"/>
                <w:lang w:eastAsia="en-GB"/>
              </w:rPr>
            </w:pPr>
            <w:proofErr w:type="spellStart"/>
            <w:r w:rsidRPr="00FD78B9">
              <w:rPr>
                <w:rFonts w:eastAsia="Times New Roman" w:cstheme="minorHAnsi"/>
                <w:color w:val="000000"/>
                <w:sz w:val="20"/>
                <w:szCs w:val="20"/>
                <w:lang w:eastAsia="en-GB"/>
              </w:rPr>
              <w:t>mRS</w:t>
            </w:r>
            <w:proofErr w:type="spellEnd"/>
            <w:r w:rsidRPr="00FD78B9">
              <w:rPr>
                <w:rFonts w:eastAsia="Times New Roman" w:cstheme="minorHAnsi"/>
                <w:color w:val="000000"/>
                <w:sz w:val="20"/>
                <w:szCs w:val="20"/>
                <w:lang w:eastAsia="en-GB"/>
              </w:rPr>
              <w:t xml:space="preserve"> 4</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0D69BD" w14:textId="737A2804" w:rsidR="00FD78B9" w:rsidRPr="00FD78B9" w:rsidRDefault="00FD78B9" w:rsidP="00C71C83">
            <w:pPr>
              <w:spacing w:after="0" w:line="240" w:lineRule="auto"/>
              <w:jc w:val="right"/>
              <w:rPr>
                <w:rFonts w:eastAsia="Times New Roman" w:cstheme="minorHAnsi"/>
                <w:color w:val="000000"/>
                <w:sz w:val="20"/>
                <w:szCs w:val="20"/>
                <w:lang w:eastAsia="en-GB"/>
              </w:rPr>
            </w:pPr>
            <w:r w:rsidRPr="00FD78B9">
              <w:rPr>
                <w:rFonts w:cstheme="minorHAnsi"/>
                <w:color w:val="000000"/>
                <w:sz w:val="20"/>
                <w:szCs w:val="20"/>
              </w:rPr>
              <w:t>-0.3794</w:t>
            </w:r>
          </w:p>
        </w:tc>
        <w:tc>
          <w:tcPr>
            <w:tcW w:w="873" w:type="dxa"/>
            <w:tcBorders>
              <w:top w:val="single" w:sz="4" w:space="0" w:color="auto"/>
              <w:left w:val="single" w:sz="4" w:space="0" w:color="auto"/>
              <w:bottom w:val="single" w:sz="4" w:space="0" w:color="auto"/>
              <w:right w:val="single" w:sz="4" w:space="0" w:color="auto"/>
            </w:tcBorders>
          </w:tcPr>
          <w:p w14:paraId="1AD44C22" w14:textId="12CA4DE2" w:rsidR="00FD78B9" w:rsidRPr="00FD78B9" w:rsidRDefault="00FD78B9" w:rsidP="00C71C83">
            <w:pPr>
              <w:spacing w:after="0" w:line="240" w:lineRule="auto"/>
              <w:jc w:val="right"/>
              <w:rPr>
                <w:rFonts w:cstheme="minorHAnsi"/>
                <w:color w:val="000000"/>
                <w:sz w:val="20"/>
                <w:szCs w:val="20"/>
              </w:rPr>
            </w:pPr>
            <w:r w:rsidRPr="00FD78B9">
              <w:rPr>
                <w:sz w:val="20"/>
                <w:szCs w:val="20"/>
              </w:rPr>
              <w:t>0.0674</w:t>
            </w:r>
          </w:p>
        </w:tc>
        <w:tc>
          <w:tcPr>
            <w:tcW w:w="916" w:type="dxa"/>
            <w:tcBorders>
              <w:top w:val="single" w:sz="4" w:space="0" w:color="auto"/>
              <w:left w:val="single" w:sz="4" w:space="0" w:color="auto"/>
              <w:bottom w:val="single" w:sz="4" w:space="0" w:color="auto"/>
              <w:right w:val="single" w:sz="4" w:space="0" w:color="auto"/>
            </w:tcBorders>
            <w:vAlign w:val="bottom"/>
          </w:tcPr>
          <w:p w14:paraId="3A1DEDFD" w14:textId="77777777" w:rsidR="00C71C83" w:rsidRDefault="00FD78B9" w:rsidP="00C71C83">
            <w:pPr>
              <w:spacing w:after="0" w:line="240" w:lineRule="auto"/>
              <w:jc w:val="right"/>
              <w:rPr>
                <w:rFonts w:ascii="Calibri" w:hAnsi="Calibri" w:cs="Calibri"/>
                <w:color w:val="000000"/>
                <w:sz w:val="20"/>
                <w:szCs w:val="20"/>
              </w:rPr>
            </w:pPr>
            <w:r w:rsidRPr="00FD78B9">
              <w:rPr>
                <w:rFonts w:ascii="Calibri" w:hAnsi="Calibri" w:cs="Calibri"/>
                <w:color w:val="000000"/>
                <w:sz w:val="20"/>
                <w:szCs w:val="20"/>
              </w:rPr>
              <w:t>-0.5115,</w:t>
            </w:r>
          </w:p>
          <w:p w14:paraId="1CA43628" w14:textId="17D3F9AC" w:rsidR="00FD78B9" w:rsidRPr="00FD78B9" w:rsidRDefault="00FD78B9" w:rsidP="00C71C83">
            <w:pPr>
              <w:spacing w:after="0" w:line="240" w:lineRule="auto"/>
              <w:jc w:val="right"/>
              <w:rPr>
                <w:rFonts w:cstheme="minorHAnsi"/>
                <w:color w:val="000000"/>
                <w:sz w:val="20"/>
                <w:szCs w:val="20"/>
              </w:rPr>
            </w:pPr>
            <w:r>
              <w:rPr>
                <w:rFonts w:ascii="Calibri" w:hAnsi="Calibri" w:cs="Calibri"/>
                <w:color w:val="000000"/>
                <w:sz w:val="20"/>
                <w:szCs w:val="20"/>
              </w:rPr>
              <w:t xml:space="preserve"> </w:t>
            </w:r>
            <w:r w:rsidRPr="00FD78B9">
              <w:rPr>
                <w:rFonts w:ascii="Calibri" w:hAnsi="Calibri" w:cs="Calibri"/>
                <w:color w:val="000000"/>
                <w:sz w:val="20"/>
                <w:szCs w:val="20"/>
              </w:rPr>
              <w:t>-0.2474</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9E6D98" w14:textId="644DEDAF" w:rsidR="00FD78B9" w:rsidRPr="00FD78B9" w:rsidRDefault="00FD78B9" w:rsidP="00C71C83">
            <w:pPr>
              <w:spacing w:after="0" w:line="240" w:lineRule="auto"/>
              <w:jc w:val="right"/>
              <w:rPr>
                <w:rFonts w:eastAsia="Times New Roman" w:cstheme="minorHAnsi"/>
                <w:color w:val="000000"/>
                <w:sz w:val="20"/>
                <w:szCs w:val="20"/>
                <w:lang w:eastAsia="en-GB"/>
              </w:rPr>
            </w:pPr>
            <w:r w:rsidRPr="00FD78B9">
              <w:rPr>
                <w:rFonts w:cstheme="minorHAnsi"/>
                <w:color w:val="000000"/>
                <w:sz w:val="20"/>
                <w:szCs w:val="20"/>
              </w:rPr>
              <w:t>-1.2986</w:t>
            </w:r>
          </w:p>
        </w:tc>
        <w:tc>
          <w:tcPr>
            <w:tcW w:w="851" w:type="dxa"/>
            <w:tcBorders>
              <w:top w:val="single" w:sz="4" w:space="0" w:color="auto"/>
              <w:left w:val="single" w:sz="4" w:space="0" w:color="auto"/>
              <w:bottom w:val="single" w:sz="4" w:space="0" w:color="auto"/>
              <w:right w:val="single" w:sz="4" w:space="0" w:color="auto"/>
            </w:tcBorders>
            <w:vAlign w:val="bottom"/>
          </w:tcPr>
          <w:p w14:paraId="3D8DC69A" w14:textId="02861B7B" w:rsidR="00FD78B9" w:rsidRPr="00FD78B9" w:rsidRDefault="00FD78B9" w:rsidP="00C71C83">
            <w:pPr>
              <w:spacing w:after="0" w:line="240" w:lineRule="auto"/>
              <w:jc w:val="right"/>
              <w:rPr>
                <w:rFonts w:cstheme="minorHAnsi"/>
                <w:color w:val="000000"/>
                <w:sz w:val="20"/>
                <w:szCs w:val="20"/>
              </w:rPr>
            </w:pPr>
            <w:r w:rsidRPr="00FD78B9">
              <w:rPr>
                <w:rFonts w:ascii="Calibri" w:hAnsi="Calibri" w:cs="Calibri"/>
                <w:color w:val="000000"/>
                <w:sz w:val="20"/>
                <w:szCs w:val="20"/>
              </w:rPr>
              <w:t>0.0386</w:t>
            </w:r>
          </w:p>
        </w:tc>
        <w:tc>
          <w:tcPr>
            <w:tcW w:w="992" w:type="dxa"/>
            <w:tcBorders>
              <w:top w:val="single" w:sz="4" w:space="0" w:color="auto"/>
              <w:left w:val="single" w:sz="4" w:space="0" w:color="auto"/>
              <w:bottom w:val="single" w:sz="4" w:space="0" w:color="auto"/>
              <w:right w:val="single" w:sz="4" w:space="0" w:color="auto"/>
            </w:tcBorders>
          </w:tcPr>
          <w:p w14:paraId="4A96F4EC" w14:textId="77777777" w:rsidR="00C71C83" w:rsidRDefault="00FD78B9" w:rsidP="00C71C83">
            <w:pPr>
              <w:spacing w:after="0" w:line="240" w:lineRule="auto"/>
              <w:jc w:val="right"/>
              <w:rPr>
                <w:sz w:val="20"/>
                <w:szCs w:val="20"/>
              </w:rPr>
            </w:pPr>
            <w:r w:rsidRPr="00FD78B9">
              <w:rPr>
                <w:sz w:val="20"/>
                <w:szCs w:val="20"/>
              </w:rPr>
              <w:t xml:space="preserve">-1.3743, </w:t>
            </w:r>
          </w:p>
          <w:p w14:paraId="27A96DFD" w14:textId="23BDFCC6" w:rsidR="00FD78B9" w:rsidRPr="00FD78B9" w:rsidRDefault="00FD78B9" w:rsidP="00C71C83">
            <w:pPr>
              <w:spacing w:after="0" w:line="240" w:lineRule="auto"/>
              <w:jc w:val="right"/>
              <w:rPr>
                <w:rFonts w:cstheme="minorHAnsi"/>
                <w:color w:val="000000"/>
                <w:sz w:val="20"/>
                <w:szCs w:val="20"/>
              </w:rPr>
            </w:pPr>
            <w:r w:rsidRPr="00FD78B9">
              <w:rPr>
                <w:sz w:val="20"/>
                <w:szCs w:val="20"/>
              </w:rPr>
              <w:t>-1.2229</w:t>
            </w:r>
          </w:p>
        </w:tc>
        <w:tc>
          <w:tcPr>
            <w:tcW w:w="9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DF5CD3" w14:textId="4DBB5B46" w:rsidR="00FD78B9" w:rsidRPr="00FD78B9" w:rsidRDefault="00FD78B9" w:rsidP="00C71C83">
            <w:pPr>
              <w:spacing w:after="0" w:line="240" w:lineRule="auto"/>
              <w:jc w:val="right"/>
              <w:rPr>
                <w:rFonts w:eastAsia="Times New Roman" w:cstheme="minorHAnsi"/>
                <w:color w:val="000000"/>
                <w:sz w:val="20"/>
                <w:szCs w:val="20"/>
                <w:lang w:eastAsia="en-GB"/>
              </w:rPr>
            </w:pPr>
            <w:r w:rsidRPr="00FD78B9">
              <w:rPr>
                <w:rFonts w:cstheme="minorHAnsi"/>
                <w:color w:val="000000"/>
                <w:sz w:val="20"/>
                <w:szCs w:val="20"/>
              </w:rPr>
              <w:t>0.1961</w:t>
            </w:r>
          </w:p>
        </w:tc>
        <w:tc>
          <w:tcPr>
            <w:tcW w:w="868" w:type="dxa"/>
            <w:tcBorders>
              <w:top w:val="single" w:sz="4" w:space="0" w:color="auto"/>
              <w:left w:val="single" w:sz="4" w:space="0" w:color="auto"/>
              <w:bottom w:val="single" w:sz="4" w:space="0" w:color="auto"/>
              <w:right w:val="single" w:sz="4" w:space="0" w:color="auto"/>
            </w:tcBorders>
          </w:tcPr>
          <w:p w14:paraId="60BBF05D" w14:textId="496D56D9" w:rsidR="00FD78B9" w:rsidRPr="00FD78B9" w:rsidRDefault="00FD78B9" w:rsidP="00C71C83">
            <w:pPr>
              <w:spacing w:after="0" w:line="240" w:lineRule="auto"/>
              <w:jc w:val="right"/>
              <w:rPr>
                <w:rFonts w:cstheme="minorHAnsi"/>
                <w:color w:val="000000"/>
                <w:sz w:val="20"/>
                <w:szCs w:val="20"/>
              </w:rPr>
            </w:pPr>
            <w:r w:rsidRPr="00FD78B9">
              <w:rPr>
                <w:sz w:val="20"/>
                <w:szCs w:val="20"/>
              </w:rPr>
              <w:t>0.1586</w:t>
            </w:r>
          </w:p>
        </w:tc>
        <w:tc>
          <w:tcPr>
            <w:tcW w:w="1060" w:type="dxa"/>
            <w:tcBorders>
              <w:top w:val="single" w:sz="4" w:space="0" w:color="auto"/>
              <w:left w:val="single" w:sz="4" w:space="0" w:color="auto"/>
              <w:bottom w:val="single" w:sz="4" w:space="0" w:color="auto"/>
              <w:right w:val="single" w:sz="4" w:space="0" w:color="auto"/>
            </w:tcBorders>
            <w:vAlign w:val="bottom"/>
          </w:tcPr>
          <w:p w14:paraId="345714BD" w14:textId="5FE5D88E" w:rsidR="00FD78B9" w:rsidRPr="00FD78B9" w:rsidRDefault="00FD78B9" w:rsidP="00C71C83">
            <w:pPr>
              <w:spacing w:after="0" w:line="240" w:lineRule="auto"/>
              <w:jc w:val="right"/>
              <w:rPr>
                <w:rFonts w:cstheme="minorHAnsi"/>
                <w:color w:val="000000"/>
                <w:sz w:val="20"/>
                <w:szCs w:val="20"/>
              </w:rPr>
            </w:pPr>
            <w:r w:rsidRPr="00FD78B9">
              <w:rPr>
                <w:rFonts w:ascii="Calibri" w:hAnsi="Calibri" w:cs="Calibri"/>
                <w:color w:val="000000"/>
                <w:sz w:val="20"/>
                <w:szCs w:val="20"/>
              </w:rPr>
              <w:t>-0.1147,</w:t>
            </w:r>
            <w:r>
              <w:rPr>
                <w:rFonts w:ascii="Calibri" w:hAnsi="Calibri" w:cs="Calibri"/>
                <w:color w:val="000000"/>
                <w:sz w:val="20"/>
                <w:szCs w:val="20"/>
              </w:rPr>
              <w:t xml:space="preserve"> </w:t>
            </w:r>
            <w:r w:rsidRPr="00FD78B9">
              <w:rPr>
                <w:rFonts w:ascii="Calibri" w:hAnsi="Calibri" w:cs="Calibri"/>
                <w:color w:val="000000"/>
                <w:sz w:val="20"/>
                <w:szCs w:val="20"/>
              </w:rPr>
              <w:t>0.5069</w:t>
            </w:r>
          </w:p>
        </w:tc>
      </w:tr>
      <w:tr w:rsidR="00C71C83" w:rsidRPr="00FD78B9" w14:paraId="4F996E5C" w14:textId="0BC36A35" w:rsidTr="00C71C83">
        <w:trPr>
          <w:gridAfter w:val="1"/>
          <w:wAfter w:w="39" w:type="dxa"/>
          <w:trHeight w:val="315"/>
        </w:trPr>
        <w:tc>
          <w:tcPr>
            <w:tcW w:w="1107" w:type="dxa"/>
            <w:tcBorders>
              <w:top w:val="nil"/>
              <w:left w:val="single" w:sz="8" w:space="0" w:color="auto"/>
              <w:bottom w:val="nil"/>
              <w:right w:val="single" w:sz="4" w:space="0" w:color="auto"/>
            </w:tcBorders>
            <w:shd w:val="clear" w:color="auto" w:fill="auto"/>
            <w:noWrap/>
            <w:vAlign w:val="bottom"/>
            <w:hideMark/>
          </w:tcPr>
          <w:p w14:paraId="11CA02CB" w14:textId="77777777" w:rsidR="00FD78B9" w:rsidRPr="00FD78B9" w:rsidRDefault="00FD78B9" w:rsidP="00C71C83">
            <w:pPr>
              <w:spacing w:after="0" w:line="240" w:lineRule="auto"/>
              <w:jc w:val="right"/>
              <w:rPr>
                <w:rFonts w:eastAsia="Times New Roman" w:cstheme="minorHAnsi"/>
                <w:color w:val="000000"/>
                <w:sz w:val="20"/>
                <w:szCs w:val="20"/>
                <w:lang w:eastAsia="en-GB"/>
              </w:rPr>
            </w:pPr>
            <w:proofErr w:type="spellStart"/>
            <w:r w:rsidRPr="00FD78B9">
              <w:rPr>
                <w:rFonts w:eastAsia="Times New Roman" w:cstheme="minorHAnsi"/>
                <w:color w:val="000000"/>
                <w:sz w:val="20"/>
                <w:szCs w:val="20"/>
                <w:lang w:eastAsia="en-GB"/>
              </w:rPr>
              <w:t>mRS</w:t>
            </w:r>
            <w:proofErr w:type="spellEnd"/>
            <w:r w:rsidRPr="00FD78B9">
              <w:rPr>
                <w:rFonts w:eastAsia="Times New Roman" w:cstheme="minorHAnsi"/>
                <w:color w:val="000000"/>
                <w:sz w:val="20"/>
                <w:szCs w:val="20"/>
                <w:lang w:eastAsia="en-GB"/>
              </w:rPr>
              <w:t xml:space="preserve"> 5</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D9DDDF" w14:textId="2406A909" w:rsidR="00FD78B9" w:rsidRPr="00FD78B9" w:rsidRDefault="00FD78B9" w:rsidP="00C71C83">
            <w:pPr>
              <w:spacing w:after="0" w:line="240" w:lineRule="auto"/>
              <w:jc w:val="right"/>
              <w:rPr>
                <w:rFonts w:eastAsia="Times New Roman" w:cstheme="minorHAnsi"/>
                <w:color w:val="000000"/>
                <w:sz w:val="20"/>
                <w:szCs w:val="20"/>
                <w:lang w:eastAsia="en-GB"/>
              </w:rPr>
            </w:pPr>
            <w:r w:rsidRPr="00FD78B9">
              <w:rPr>
                <w:rFonts w:cstheme="minorHAnsi"/>
                <w:color w:val="000000"/>
                <w:sz w:val="20"/>
                <w:szCs w:val="20"/>
              </w:rPr>
              <w:t>-0.3181</w:t>
            </w:r>
          </w:p>
        </w:tc>
        <w:tc>
          <w:tcPr>
            <w:tcW w:w="873" w:type="dxa"/>
            <w:tcBorders>
              <w:top w:val="single" w:sz="4" w:space="0" w:color="auto"/>
              <w:left w:val="single" w:sz="4" w:space="0" w:color="auto"/>
              <w:bottom w:val="single" w:sz="4" w:space="0" w:color="auto"/>
              <w:right w:val="single" w:sz="4" w:space="0" w:color="auto"/>
            </w:tcBorders>
          </w:tcPr>
          <w:p w14:paraId="1A598A99" w14:textId="0CF8849C" w:rsidR="00FD78B9" w:rsidRPr="00FD78B9" w:rsidRDefault="00FD78B9" w:rsidP="00C71C83">
            <w:pPr>
              <w:spacing w:after="0" w:line="240" w:lineRule="auto"/>
              <w:jc w:val="right"/>
              <w:rPr>
                <w:rFonts w:cstheme="minorHAnsi"/>
                <w:color w:val="000000"/>
                <w:sz w:val="20"/>
                <w:szCs w:val="20"/>
              </w:rPr>
            </w:pPr>
            <w:r w:rsidRPr="00FD78B9">
              <w:rPr>
                <w:sz w:val="20"/>
                <w:szCs w:val="20"/>
              </w:rPr>
              <w:t>0.1808</w:t>
            </w:r>
          </w:p>
        </w:tc>
        <w:tc>
          <w:tcPr>
            <w:tcW w:w="916" w:type="dxa"/>
            <w:tcBorders>
              <w:top w:val="single" w:sz="4" w:space="0" w:color="auto"/>
              <w:left w:val="single" w:sz="4" w:space="0" w:color="auto"/>
              <w:bottom w:val="single" w:sz="4" w:space="0" w:color="auto"/>
              <w:right w:val="single" w:sz="4" w:space="0" w:color="auto"/>
            </w:tcBorders>
            <w:vAlign w:val="bottom"/>
          </w:tcPr>
          <w:p w14:paraId="3C5D73E3" w14:textId="014BC919" w:rsidR="00FD78B9" w:rsidRPr="00FD78B9" w:rsidRDefault="00FD78B9" w:rsidP="00C71C83">
            <w:pPr>
              <w:spacing w:after="0" w:line="240" w:lineRule="auto"/>
              <w:jc w:val="right"/>
              <w:rPr>
                <w:rFonts w:cstheme="minorHAnsi"/>
                <w:color w:val="000000"/>
                <w:sz w:val="20"/>
                <w:szCs w:val="20"/>
              </w:rPr>
            </w:pPr>
            <w:r w:rsidRPr="00FD78B9">
              <w:rPr>
                <w:rFonts w:ascii="Calibri" w:hAnsi="Calibri" w:cs="Calibri"/>
                <w:color w:val="000000"/>
                <w:sz w:val="20"/>
                <w:szCs w:val="20"/>
              </w:rPr>
              <w:t>-0.6724,</w:t>
            </w:r>
            <w:r>
              <w:rPr>
                <w:rFonts w:ascii="Calibri" w:hAnsi="Calibri" w:cs="Calibri"/>
                <w:color w:val="000000"/>
                <w:sz w:val="20"/>
                <w:szCs w:val="20"/>
              </w:rPr>
              <w:t xml:space="preserve"> </w:t>
            </w:r>
            <w:r w:rsidRPr="00FD78B9">
              <w:rPr>
                <w:rFonts w:ascii="Calibri" w:hAnsi="Calibri" w:cs="Calibri"/>
                <w:color w:val="000000"/>
                <w:sz w:val="20"/>
                <w:szCs w:val="20"/>
              </w:rPr>
              <w:t>0.0362</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21695C" w14:textId="62BE5F5E" w:rsidR="00FD78B9" w:rsidRPr="00FD78B9" w:rsidRDefault="00FD78B9" w:rsidP="00C71C83">
            <w:pPr>
              <w:spacing w:after="0" w:line="240" w:lineRule="auto"/>
              <w:jc w:val="right"/>
              <w:rPr>
                <w:rFonts w:eastAsia="Times New Roman" w:cstheme="minorHAnsi"/>
                <w:color w:val="000000"/>
                <w:sz w:val="20"/>
                <w:szCs w:val="20"/>
                <w:lang w:eastAsia="en-GB"/>
              </w:rPr>
            </w:pPr>
            <w:r w:rsidRPr="00FD78B9">
              <w:rPr>
                <w:rFonts w:cstheme="minorHAnsi"/>
                <w:color w:val="000000"/>
                <w:sz w:val="20"/>
                <w:szCs w:val="20"/>
              </w:rPr>
              <w:t>-0.6244</w:t>
            </w:r>
          </w:p>
        </w:tc>
        <w:tc>
          <w:tcPr>
            <w:tcW w:w="851" w:type="dxa"/>
            <w:tcBorders>
              <w:top w:val="single" w:sz="4" w:space="0" w:color="auto"/>
              <w:left w:val="single" w:sz="4" w:space="0" w:color="auto"/>
              <w:bottom w:val="single" w:sz="4" w:space="0" w:color="auto"/>
              <w:right w:val="single" w:sz="4" w:space="0" w:color="auto"/>
            </w:tcBorders>
            <w:vAlign w:val="bottom"/>
          </w:tcPr>
          <w:p w14:paraId="058883D5" w14:textId="079CC6CF" w:rsidR="00FD78B9" w:rsidRPr="00FD78B9" w:rsidRDefault="00FD78B9" w:rsidP="00C71C83">
            <w:pPr>
              <w:spacing w:after="0" w:line="240" w:lineRule="auto"/>
              <w:jc w:val="right"/>
              <w:rPr>
                <w:rFonts w:cstheme="minorHAnsi"/>
                <w:color w:val="000000"/>
                <w:sz w:val="20"/>
                <w:szCs w:val="20"/>
              </w:rPr>
            </w:pPr>
            <w:r w:rsidRPr="00FD78B9">
              <w:rPr>
                <w:rFonts w:ascii="Calibri" w:hAnsi="Calibri" w:cs="Calibri"/>
                <w:color w:val="000000"/>
                <w:sz w:val="20"/>
                <w:szCs w:val="20"/>
              </w:rPr>
              <w:t>0.0738</w:t>
            </w:r>
          </w:p>
        </w:tc>
        <w:tc>
          <w:tcPr>
            <w:tcW w:w="992" w:type="dxa"/>
            <w:tcBorders>
              <w:top w:val="single" w:sz="4" w:space="0" w:color="auto"/>
              <w:left w:val="single" w:sz="4" w:space="0" w:color="auto"/>
              <w:bottom w:val="single" w:sz="4" w:space="0" w:color="auto"/>
              <w:right w:val="single" w:sz="4" w:space="0" w:color="auto"/>
            </w:tcBorders>
          </w:tcPr>
          <w:p w14:paraId="31A5B1A5" w14:textId="77777777" w:rsidR="00C71C83" w:rsidRDefault="00FD78B9" w:rsidP="00C71C83">
            <w:pPr>
              <w:spacing w:after="0" w:line="240" w:lineRule="auto"/>
              <w:jc w:val="right"/>
              <w:rPr>
                <w:sz w:val="20"/>
                <w:szCs w:val="20"/>
              </w:rPr>
            </w:pPr>
            <w:r w:rsidRPr="00FD78B9">
              <w:rPr>
                <w:sz w:val="20"/>
                <w:szCs w:val="20"/>
              </w:rPr>
              <w:t xml:space="preserve">-0.7689, </w:t>
            </w:r>
          </w:p>
          <w:p w14:paraId="0F2664CB" w14:textId="1C3ED608" w:rsidR="00FD78B9" w:rsidRPr="00FD78B9" w:rsidRDefault="00FD78B9" w:rsidP="00C71C83">
            <w:pPr>
              <w:spacing w:after="0" w:line="240" w:lineRule="auto"/>
              <w:jc w:val="right"/>
              <w:rPr>
                <w:rFonts w:cstheme="minorHAnsi"/>
                <w:color w:val="000000"/>
                <w:sz w:val="20"/>
                <w:szCs w:val="20"/>
              </w:rPr>
            </w:pPr>
            <w:r w:rsidRPr="00FD78B9">
              <w:rPr>
                <w:sz w:val="20"/>
                <w:szCs w:val="20"/>
              </w:rPr>
              <w:t>-0.4798</w:t>
            </w:r>
          </w:p>
        </w:tc>
        <w:tc>
          <w:tcPr>
            <w:tcW w:w="9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3D4D9" w14:textId="29ED496B" w:rsidR="00FD78B9" w:rsidRPr="00FD78B9" w:rsidRDefault="00FD78B9" w:rsidP="00C71C83">
            <w:pPr>
              <w:spacing w:after="0" w:line="240" w:lineRule="auto"/>
              <w:jc w:val="right"/>
              <w:rPr>
                <w:rFonts w:eastAsia="Times New Roman" w:cstheme="minorHAnsi"/>
                <w:color w:val="000000"/>
                <w:sz w:val="20"/>
                <w:szCs w:val="20"/>
                <w:lang w:eastAsia="en-GB"/>
              </w:rPr>
            </w:pPr>
            <w:r w:rsidRPr="00FD78B9">
              <w:rPr>
                <w:rFonts w:cstheme="minorHAnsi"/>
                <w:color w:val="000000"/>
                <w:sz w:val="20"/>
                <w:szCs w:val="20"/>
              </w:rPr>
              <w:t>-1.7254</w:t>
            </w:r>
          </w:p>
        </w:tc>
        <w:tc>
          <w:tcPr>
            <w:tcW w:w="868" w:type="dxa"/>
            <w:tcBorders>
              <w:top w:val="single" w:sz="4" w:space="0" w:color="auto"/>
              <w:left w:val="single" w:sz="4" w:space="0" w:color="auto"/>
              <w:bottom w:val="single" w:sz="4" w:space="0" w:color="auto"/>
              <w:right w:val="single" w:sz="4" w:space="0" w:color="auto"/>
            </w:tcBorders>
          </w:tcPr>
          <w:p w14:paraId="353B1558" w14:textId="56C2D7F1" w:rsidR="00FD78B9" w:rsidRPr="00FD78B9" w:rsidRDefault="00FD78B9" w:rsidP="00C71C83">
            <w:pPr>
              <w:spacing w:after="0" w:line="240" w:lineRule="auto"/>
              <w:jc w:val="right"/>
              <w:rPr>
                <w:rFonts w:cstheme="minorHAnsi"/>
                <w:color w:val="000000"/>
                <w:sz w:val="20"/>
                <w:szCs w:val="20"/>
              </w:rPr>
            </w:pPr>
            <w:r w:rsidRPr="00FD78B9">
              <w:rPr>
                <w:sz w:val="20"/>
                <w:szCs w:val="20"/>
              </w:rPr>
              <w:t>0.2908</w:t>
            </w:r>
          </w:p>
        </w:tc>
        <w:tc>
          <w:tcPr>
            <w:tcW w:w="1060" w:type="dxa"/>
            <w:tcBorders>
              <w:top w:val="single" w:sz="4" w:space="0" w:color="auto"/>
              <w:left w:val="single" w:sz="4" w:space="0" w:color="auto"/>
              <w:bottom w:val="single" w:sz="4" w:space="0" w:color="auto"/>
              <w:right w:val="single" w:sz="4" w:space="0" w:color="auto"/>
            </w:tcBorders>
            <w:vAlign w:val="bottom"/>
          </w:tcPr>
          <w:p w14:paraId="4872188D" w14:textId="77777777" w:rsidR="00C71C83" w:rsidRDefault="00FD78B9" w:rsidP="00C71C83">
            <w:pPr>
              <w:spacing w:after="0" w:line="240" w:lineRule="auto"/>
              <w:jc w:val="right"/>
              <w:rPr>
                <w:rFonts w:ascii="Calibri" w:hAnsi="Calibri" w:cs="Calibri"/>
                <w:color w:val="000000"/>
                <w:sz w:val="20"/>
                <w:szCs w:val="20"/>
              </w:rPr>
            </w:pPr>
            <w:r w:rsidRPr="00FD78B9">
              <w:rPr>
                <w:rFonts w:ascii="Calibri" w:hAnsi="Calibri" w:cs="Calibri"/>
                <w:color w:val="000000"/>
                <w:sz w:val="20"/>
                <w:szCs w:val="20"/>
              </w:rPr>
              <w:t>-2.2953,</w:t>
            </w:r>
            <w:r>
              <w:rPr>
                <w:rFonts w:ascii="Calibri" w:hAnsi="Calibri" w:cs="Calibri"/>
                <w:color w:val="000000"/>
                <w:sz w:val="20"/>
                <w:szCs w:val="20"/>
              </w:rPr>
              <w:t xml:space="preserve"> </w:t>
            </w:r>
          </w:p>
          <w:p w14:paraId="62CE3B09" w14:textId="562444D9" w:rsidR="00FD78B9" w:rsidRPr="00FD78B9" w:rsidRDefault="00FD78B9" w:rsidP="00C71C83">
            <w:pPr>
              <w:spacing w:after="0" w:line="240" w:lineRule="auto"/>
              <w:jc w:val="right"/>
              <w:rPr>
                <w:rFonts w:cstheme="minorHAnsi"/>
                <w:color w:val="000000"/>
                <w:sz w:val="20"/>
                <w:szCs w:val="20"/>
              </w:rPr>
            </w:pPr>
            <w:r w:rsidRPr="00FD78B9">
              <w:rPr>
                <w:rFonts w:ascii="Calibri" w:hAnsi="Calibri" w:cs="Calibri"/>
                <w:color w:val="000000"/>
                <w:sz w:val="20"/>
                <w:szCs w:val="20"/>
              </w:rPr>
              <w:t>-1.1555</w:t>
            </w:r>
          </w:p>
        </w:tc>
      </w:tr>
      <w:tr w:rsidR="00FD78B9" w:rsidRPr="00FD78B9" w14:paraId="14AC3B04" w14:textId="1CBBA290" w:rsidTr="00C71C83">
        <w:trPr>
          <w:gridAfter w:val="1"/>
          <w:wAfter w:w="39" w:type="dxa"/>
          <w:trHeight w:val="315"/>
        </w:trPr>
        <w:tc>
          <w:tcPr>
            <w:tcW w:w="1107"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4C2B9E0E" w14:textId="0CDC811D" w:rsidR="000C3BBC" w:rsidRPr="00FD78B9" w:rsidRDefault="000C3BBC" w:rsidP="00C71C83">
            <w:pPr>
              <w:spacing w:after="0" w:line="240" w:lineRule="auto"/>
              <w:jc w:val="right"/>
              <w:rPr>
                <w:rFonts w:eastAsia="Times New Roman" w:cstheme="minorHAnsi"/>
                <w:color w:val="000000"/>
                <w:sz w:val="20"/>
                <w:szCs w:val="20"/>
                <w:lang w:eastAsia="en-GB"/>
              </w:rPr>
            </w:pPr>
            <w:r w:rsidRPr="00FD78B9">
              <w:rPr>
                <w:rFonts w:eastAsia="Times New Roman" w:cstheme="minorHAnsi"/>
                <w:color w:val="000000"/>
                <w:sz w:val="20"/>
                <w:szCs w:val="20"/>
                <w:lang w:eastAsia="en-GB"/>
              </w:rPr>
              <w:t>ancillary parameter</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5B68BC" w14:textId="632C6340" w:rsidR="000C3BBC" w:rsidRPr="00FD78B9" w:rsidRDefault="000C3BBC" w:rsidP="00C71C83">
            <w:pPr>
              <w:spacing w:after="0" w:line="240" w:lineRule="auto"/>
              <w:jc w:val="right"/>
              <w:rPr>
                <w:rFonts w:eastAsia="Times New Roman" w:cstheme="minorHAnsi"/>
                <w:color w:val="000000"/>
                <w:sz w:val="20"/>
                <w:szCs w:val="20"/>
                <w:lang w:eastAsia="en-GB"/>
              </w:rPr>
            </w:pPr>
            <w:r w:rsidRPr="00FD78B9">
              <w:rPr>
                <w:rFonts w:cstheme="minorHAnsi"/>
                <w:color w:val="000000"/>
                <w:sz w:val="20"/>
                <w:szCs w:val="20"/>
              </w:rPr>
              <w:t>0.8167</w:t>
            </w:r>
          </w:p>
        </w:tc>
        <w:tc>
          <w:tcPr>
            <w:tcW w:w="873" w:type="dxa"/>
            <w:tcBorders>
              <w:top w:val="single" w:sz="4" w:space="0" w:color="auto"/>
              <w:left w:val="single" w:sz="4" w:space="0" w:color="auto"/>
              <w:bottom w:val="single" w:sz="4" w:space="0" w:color="auto"/>
              <w:right w:val="single" w:sz="4" w:space="0" w:color="auto"/>
            </w:tcBorders>
          </w:tcPr>
          <w:p w14:paraId="03635920" w14:textId="77777777" w:rsidR="000C3BBC" w:rsidRPr="00FD78B9" w:rsidRDefault="000C3BBC" w:rsidP="00C71C83">
            <w:pPr>
              <w:spacing w:after="0" w:line="240" w:lineRule="auto"/>
              <w:jc w:val="right"/>
              <w:rPr>
                <w:rFonts w:cstheme="minorHAnsi"/>
                <w:color w:val="000000"/>
                <w:sz w:val="20"/>
                <w:szCs w:val="20"/>
              </w:rPr>
            </w:pPr>
          </w:p>
        </w:tc>
        <w:tc>
          <w:tcPr>
            <w:tcW w:w="916" w:type="dxa"/>
            <w:tcBorders>
              <w:top w:val="single" w:sz="4" w:space="0" w:color="auto"/>
              <w:left w:val="single" w:sz="4" w:space="0" w:color="auto"/>
              <w:bottom w:val="single" w:sz="4" w:space="0" w:color="auto"/>
              <w:right w:val="single" w:sz="4" w:space="0" w:color="auto"/>
            </w:tcBorders>
          </w:tcPr>
          <w:p w14:paraId="20289535" w14:textId="77777777" w:rsidR="000C3BBC" w:rsidRPr="00FD78B9" w:rsidRDefault="000C3BBC" w:rsidP="00C71C83">
            <w:pPr>
              <w:spacing w:after="0" w:line="240" w:lineRule="auto"/>
              <w:jc w:val="right"/>
              <w:rPr>
                <w:rFonts w:cstheme="minorHAnsi"/>
                <w:color w:val="000000"/>
                <w:sz w:val="20"/>
                <w:szCs w:val="20"/>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CDD27C" w14:textId="6833A407" w:rsidR="000C3BBC" w:rsidRPr="00FD78B9" w:rsidRDefault="000C3BBC" w:rsidP="00C71C83">
            <w:pPr>
              <w:spacing w:after="0" w:line="240" w:lineRule="auto"/>
              <w:jc w:val="right"/>
              <w:rPr>
                <w:rFonts w:eastAsia="Times New Roman" w:cstheme="minorHAnsi"/>
                <w:color w:val="000000"/>
                <w:sz w:val="20"/>
                <w:szCs w:val="20"/>
                <w:lang w:eastAsia="en-GB"/>
              </w:rPr>
            </w:pPr>
            <w:r w:rsidRPr="00FD78B9">
              <w:rPr>
                <w:rFonts w:cstheme="minorHAnsi"/>
                <w:color w:val="000000"/>
                <w:sz w:val="20"/>
                <w:szCs w:val="20"/>
              </w:rPr>
              <w:t>0.1617</w:t>
            </w:r>
          </w:p>
        </w:tc>
        <w:tc>
          <w:tcPr>
            <w:tcW w:w="851" w:type="dxa"/>
            <w:tcBorders>
              <w:top w:val="single" w:sz="4" w:space="0" w:color="auto"/>
              <w:left w:val="single" w:sz="4" w:space="0" w:color="auto"/>
              <w:bottom w:val="single" w:sz="4" w:space="0" w:color="auto"/>
              <w:right w:val="single" w:sz="4" w:space="0" w:color="auto"/>
            </w:tcBorders>
          </w:tcPr>
          <w:p w14:paraId="7A2F9F07" w14:textId="77777777" w:rsidR="000C3BBC" w:rsidRPr="00FD78B9" w:rsidRDefault="000C3BBC" w:rsidP="00C71C83">
            <w:pPr>
              <w:spacing w:after="0" w:line="240" w:lineRule="auto"/>
              <w:jc w:val="right"/>
              <w:rPr>
                <w:rFonts w:cstheme="minorHAnsi"/>
                <w:color w:val="000000"/>
                <w:sz w:val="20"/>
                <w:szCs w:val="20"/>
              </w:rPr>
            </w:pPr>
          </w:p>
        </w:tc>
        <w:tc>
          <w:tcPr>
            <w:tcW w:w="992" w:type="dxa"/>
            <w:tcBorders>
              <w:top w:val="single" w:sz="4" w:space="0" w:color="auto"/>
              <w:left w:val="single" w:sz="4" w:space="0" w:color="auto"/>
              <w:bottom w:val="single" w:sz="4" w:space="0" w:color="auto"/>
              <w:right w:val="single" w:sz="4" w:space="0" w:color="auto"/>
            </w:tcBorders>
          </w:tcPr>
          <w:p w14:paraId="379D370A" w14:textId="77777777" w:rsidR="000C3BBC" w:rsidRPr="00FD78B9" w:rsidRDefault="000C3BBC" w:rsidP="00C71C83">
            <w:pPr>
              <w:spacing w:after="0" w:line="240" w:lineRule="auto"/>
              <w:jc w:val="right"/>
              <w:rPr>
                <w:rFonts w:cstheme="minorHAnsi"/>
                <w:color w:val="000000"/>
                <w:sz w:val="20"/>
                <w:szCs w:val="20"/>
              </w:rPr>
            </w:pPr>
          </w:p>
        </w:tc>
        <w:tc>
          <w:tcPr>
            <w:tcW w:w="9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109EE3" w14:textId="4EF567D5" w:rsidR="000C3BBC" w:rsidRPr="00FD78B9" w:rsidRDefault="000C3BBC" w:rsidP="00C71C83">
            <w:pPr>
              <w:spacing w:after="0" w:line="240" w:lineRule="auto"/>
              <w:jc w:val="right"/>
              <w:rPr>
                <w:rFonts w:eastAsia="Times New Roman" w:cstheme="minorHAnsi"/>
                <w:color w:val="000000"/>
                <w:sz w:val="20"/>
                <w:szCs w:val="20"/>
                <w:lang w:eastAsia="en-GB"/>
              </w:rPr>
            </w:pPr>
            <w:r w:rsidRPr="00FD78B9">
              <w:rPr>
                <w:rFonts w:cstheme="minorHAnsi"/>
                <w:color w:val="000000"/>
                <w:sz w:val="20"/>
                <w:szCs w:val="20"/>
              </w:rPr>
              <w:t>0.8516</w:t>
            </w:r>
          </w:p>
        </w:tc>
        <w:tc>
          <w:tcPr>
            <w:tcW w:w="868" w:type="dxa"/>
            <w:tcBorders>
              <w:top w:val="single" w:sz="4" w:space="0" w:color="auto"/>
              <w:left w:val="single" w:sz="4" w:space="0" w:color="auto"/>
              <w:bottom w:val="single" w:sz="4" w:space="0" w:color="auto"/>
              <w:right w:val="single" w:sz="4" w:space="0" w:color="auto"/>
            </w:tcBorders>
          </w:tcPr>
          <w:p w14:paraId="65405FDA" w14:textId="77777777" w:rsidR="000C3BBC" w:rsidRPr="00FD78B9" w:rsidRDefault="000C3BBC" w:rsidP="00C71C83">
            <w:pPr>
              <w:spacing w:after="0" w:line="240" w:lineRule="auto"/>
              <w:jc w:val="right"/>
              <w:rPr>
                <w:rFonts w:cstheme="minorHAnsi"/>
                <w:color w:val="000000"/>
                <w:sz w:val="20"/>
                <w:szCs w:val="20"/>
              </w:rPr>
            </w:pPr>
          </w:p>
        </w:tc>
        <w:tc>
          <w:tcPr>
            <w:tcW w:w="1060" w:type="dxa"/>
            <w:tcBorders>
              <w:top w:val="single" w:sz="4" w:space="0" w:color="auto"/>
              <w:left w:val="single" w:sz="4" w:space="0" w:color="auto"/>
              <w:bottom w:val="single" w:sz="4" w:space="0" w:color="auto"/>
              <w:right w:val="single" w:sz="4" w:space="0" w:color="auto"/>
            </w:tcBorders>
          </w:tcPr>
          <w:p w14:paraId="65581D11" w14:textId="77777777" w:rsidR="000C3BBC" w:rsidRPr="00FD78B9" w:rsidRDefault="000C3BBC" w:rsidP="00C71C83">
            <w:pPr>
              <w:spacing w:after="0" w:line="240" w:lineRule="auto"/>
              <w:jc w:val="right"/>
              <w:rPr>
                <w:rFonts w:cstheme="minorHAnsi"/>
                <w:color w:val="000000"/>
                <w:sz w:val="20"/>
                <w:szCs w:val="20"/>
              </w:rPr>
            </w:pPr>
          </w:p>
        </w:tc>
      </w:tr>
      <w:tr w:rsidR="009C3C7A" w:rsidRPr="00FD78B9" w14:paraId="1FCEDB92" w14:textId="005FFC35" w:rsidTr="00C71C83">
        <w:trPr>
          <w:trHeight w:val="315"/>
        </w:trPr>
        <w:tc>
          <w:tcPr>
            <w:tcW w:w="9413" w:type="dxa"/>
            <w:gridSpan w:val="11"/>
            <w:tcBorders>
              <w:top w:val="single" w:sz="8" w:space="0" w:color="auto"/>
              <w:left w:val="single" w:sz="8" w:space="0" w:color="auto"/>
              <w:bottom w:val="single" w:sz="8" w:space="0" w:color="auto"/>
              <w:right w:val="single" w:sz="4" w:space="0" w:color="auto"/>
            </w:tcBorders>
          </w:tcPr>
          <w:p w14:paraId="7D5B275C" w14:textId="6180BBA1" w:rsidR="009C3C7A" w:rsidRPr="00FD78B9" w:rsidRDefault="009C3C7A" w:rsidP="000E14EB">
            <w:pPr>
              <w:spacing w:after="0" w:line="240" w:lineRule="auto"/>
              <w:jc w:val="right"/>
              <w:rPr>
                <w:rFonts w:cstheme="minorHAnsi"/>
                <w:color w:val="000000"/>
                <w:sz w:val="20"/>
                <w:szCs w:val="20"/>
              </w:rPr>
            </w:pPr>
            <w:r w:rsidRPr="00FD78B9">
              <w:rPr>
                <w:rFonts w:cstheme="minorHAnsi"/>
                <w:color w:val="000000"/>
                <w:sz w:val="20"/>
                <w:szCs w:val="20"/>
              </w:rPr>
              <w:t xml:space="preserve">¹ Age variables are mean centred. The hazard functions model mean is 73.7324 years.  </w:t>
            </w:r>
          </w:p>
        </w:tc>
      </w:tr>
    </w:tbl>
    <w:p w14:paraId="62CE4278" w14:textId="77777777" w:rsidR="000E14EB" w:rsidRDefault="000E14EB"/>
    <w:p w14:paraId="5D7432E3" w14:textId="420F802D" w:rsidR="00024013" w:rsidRPr="00C71C83" w:rsidRDefault="00C71C83">
      <w:pPr>
        <w:rPr>
          <w:i/>
          <w:iCs/>
        </w:rPr>
      </w:pPr>
      <w:r w:rsidRPr="00C71C83">
        <w:rPr>
          <w:i/>
          <w:iCs/>
        </w:rPr>
        <w:t>Predictions</w:t>
      </w:r>
    </w:p>
    <w:p w14:paraId="5418EAFD" w14:textId="62F6861F" w:rsidR="00C71C83" w:rsidRPr="00954FA6" w:rsidRDefault="00FA71BC">
      <w:r>
        <w:t xml:space="preserve">Detailed instructions for using the predictive equations are given in the Supplementary Material. </w:t>
      </w:r>
      <w:r w:rsidR="00954FA6">
        <w:t xml:space="preserve">Using the two sets of equations (Table </w:t>
      </w:r>
      <w:r>
        <w:t>2</w:t>
      </w:r>
      <w:r w:rsidR="00954FA6">
        <w:t xml:space="preserve"> and Table </w:t>
      </w:r>
      <w:r>
        <w:t>3</w:t>
      </w:r>
      <w:r w:rsidR="00954FA6">
        <w:t xml:space="preserve">) we </w:t>
      </w:r>
      <w:r w:rsidR="002728FB">
        <w:t>can</w:t>
      </w:r>
      <w:r w:rsidR="00954FA6">
        <w:t xml:space="preserve"> make predictions about the likely life </w:t>
      </w:r>
      <w:r w:rsidR="00954FA6">
        <w:lastRenderedPageBreak/>
        <w:t>expectancy of people discharged from hospital following a stroke</w:t>
      </w:r>
      <w:r w:rsidR="00FA042D">
        <w:t xml:space="preserve"> based on their age at time of stroke, their sex and their </w:t>
      </w:r>
      <w:proofErr w:type="spellStart"/>
      <w:r w:rsidR="00FA042D">
        <w:t>mRS</w:t>
      </w:r>
      <w:proofErr w:type="spellEnd"/>
      <w:r w:rsidR="00FA042D">
        <w:t xml:space="preserve"> at time of discharge.</w:t>
      </w:r>
      <w:r>
        <w:t xml:space="preserve">  Table 4 shows the estimated median life expectancy (time when probability of being alive is 0.5).  By combining this with expected annual resource use, we can derive estimates for the secondary resources consumed over the lifetime of the patient.  For example, a </w:t>
      </w:r>
      <w:r w:rsidR="00B752B9">
        <w:t>75-year-old</w:t>
      </w:r>
      <w:r>
        <w:t xml:space="preserve"> male discharged from hospital with an </w:t>
      </w:r>
      <w:proofErr w:type="spellStart"/>
      <w:r>
        <w:t>mRS</w:t>
      </w:r>
      <w:proofErr w:type="spellEnd"/>
      <w:r>
        <w:t xml:space="preserve"> of 3 would be expected to live (on average) 3.35 years and would have 1.88 A&amp;E Attendances, 20.79 non-elective bed days and 0.79 elective bed days over their lifetime.</w:t>
      </w:r>
    </w:p>
    <w:p w14:paraId="1191DF62" w14:textId="008EF824" w:rsidR="009313E0" w:rsidRDefault="0FE9BE9B">
      <w:r>
        <w:t>Table</w:t>
      </w:r>
      <w:r w:rsidR="00C71C83">
        <w:t xml:space="preserve"> 4</w:t>
      </w:r>
      <w:r>
        <w:t xml:space="preserve"> Sample predictions</w:t>
      </w:r>
    </w:p>
    <w:tbl>
      <w:tblPr>
        <w:tblW w:w="9487" w:type="dxa"/>
        <w:tblLayout w:type="fixed"/>
        <w:tblLook w:val="04A0" w:firstRow="1" w:lastRow="0" w:firstColumn="1" w:lastColumn="0" w:noHBand="0" w:noVBand="1"/>
      </w:tblPr>
      <w:tblGrid>
        <w:gridCol w:w="1466"/>
        <w:gridCol w:w="1376"/>
        <w:gridCol w:w="1260"/>
        <w:gridCol w:w="1091"/>
        <w:gridCol w:w="992"/>
        <w:gridCol w:w="1276"/>
        <w:gridCol w:w="992"/>
        <w:gridCol w:w="1034"/>
      </w:tblGrid>
      <w:tr w:rsidR="0FE9BE9B" w:rsidRPr="00C71C83" w14:paraId="4412B725" w14:textId="77777777" w:rsidTr="00097241">
        <w:trPr>
          <w:trHeight w:val="406"/>
        </w:trPr>
        <w:tc>
          <w:tcPr>
            <w:tcW w:w="1466" w:type="dxa"/>
            <w:vMerge w:val="restart"/>
            <w:tcBorders>
              <w:top w:val="single" w:sz="8" w:space="0" w:color="auto"/>
              <w:left w:val="single" w:sz="4" w:space="0" w:color="auto"/>
              <w:bottom w:val="single" w:sz="8" w:space="0" w:color="auto"/>
              <w:right w:val="single" w:sz="4" w:space="0" w:color="auto"/>
            </w:tcBorders>
          </w:tcPr>
          <w:p w14:paraId="498AF86A" w14:textId="7B807190" w:rsidR="0FE9BE9B" w:rsidRPr="00C71C83" w:rsidRDefault="0FE9BE9B" w:rsidP="00097241">
            <w:pPr>
              <w:spacing w:line="240" w:lineRule="auto"/>
              <w:rPr>
                <w:rFonts w:cstheme="minorHAnsi"/>
                <w:b/>
                <w:bCs/>
                <w:sz w:val="20"/>
                <w:szCs w:val="20"/>
              </w:rPr>
            </w:pPr>
            <w:r w:rsidRPr="00C71C83">
              <w:rPr>
                <w:rFonts w:eastAsia="Calibri" w:cstheme="minorHAnsi"/>
                <w:b/>
                <w:bCs/>
                <w:sz w:val="20"/>
                <w:szCs w:val="20"/>
              </w:rPr>
              <w:t xml:space="preserve">Patient at discharge </w:t>
            </w:r>
          </w:p>
        </w:tc>
        <w:tc>
          <w:tcPr>
            <w:tcW w:w="1376" w:type="dxa"/>
            <w:vMerge w:val="restart"/>
            <w:tcBorders>
              <w:top w:val="single" w:sz="8" w:space="0" w:color="auto"/>
              <w:left w:val="single" w:sz="4" w:space="0" w:color="auto"/>
              <w:bottom w:val="single" w:sz="8" w:space="0" w:color="auto"/>
              <w:right w:val="single" w:sz="4" w:space="0" w:color="auto"/>
            </w:tcBorders>
          </w:tcPr>
          <w:p w14:paraId="683CBD8A" w14:textId="152CDE47" w:rsidR="0FE9BE9B" w:rsidRPr="00C71C83" w:rsidRDefault="0FE9BE9B" w:rsidP="00097241">
            <w:pPr>
              <w:spacing w:line="240" w:lineRule="auto"/>
              <w:rPr>
                <w:rFonts w:cstheme="minorHAnsi"/>
                <w:b/>
                <w:bCs/>
                <w:sz w:val="20"/>
                <w:szCs w:val="20"/>
              </w:rPr>
            </w:pPr>
            <w:r w:rsidRPr="00C71C83">
              <w:rPr>
                <w:rFonts w:eastAsia="Calibri" w:cstheme="minorHAnsi"/>
                <w:b/>
                <w:bCs/>
                <w:sz w:val="20"/>
                <w:szCs w:val="20"/>
              </w:rPr>
              <w:t>Survival Median</w:t>
            </w:r>
            <w:r w:rsidR="00097241">
              <w:rPr>
                <w:rFonts w:cstheme="minorHAnsi"/>
                <w:b/>
                <w:bCs/>
                <w:sz w:val="20"/>
                <w:szCs w:val="20"/>
              </w:rPr>
              <w:t xml:space="preserve"> </w:t>
            </w:r>
            <w:r w:rsidRPr="00C71C83">
              <w:rPr>
                <w:rFonts w:eastAsia="Calibri" w:cstheme="minorHAnsi"/>
                <w:b/>
                <w:bCs/>
                <w:sz w:val="20"/>
                <w:szCs w:val="20"/>
              </w:rPr>
              <w:t xml:space="preserve">(IQR) </w:t>
            </w:r>
          </w:p>
        </w:tc>
        <w:tc>
          <w:tcPr>
            <w:tcW w:w="3343" w:type="dxa"/>
            <w:gridSpan w:val="3"/>
            <w:tcBorders>
              <w:top w:val="single" w:sz="8" w:space="0" w:color="auto"/>
              <w:left w:val="single" w:sz="4" w:space="0" w:color="auto"/>
              <w:bottom w:val="single" w:sz="8" w:space="0" w:color="auto"/>
              <w:right w:val="single" w:sz="8" w:space="0" w:color="auto"/>
            </w:tcBorders>
          </w:tcPr>
          <w:p w14:paraId="47947AF1" w14:textId="68978031" w:rsidR="0FE9BE9B" w:rsidRPr="00C71C83" w:rsidRDefault="0FE9BE9B" w:rsidP="00097241">
            <w:pPr>
              <w:spacing w:line="240" w:lineRule="auto"/>
              <w:jc w:val="center"/>
              <w:rPr>
                <w:rFonts w:cstheme="minorHAnsi"/>
                <w:b/>
                <w:bCs/>
                <w:sz w:val="20"/>
                <w:szCs w:val="20"/>
              </w:rPr>
            </w:pPr>
            <w:r w:rsidRPr="00C71C83">
              <w:rPr>
                <w:rFonts w:eastAsia="Calibri" w:cstheme="minorHAnsi"/>
                <w:b/>
                <w:bCs/>
                <w:sz w:val="20"/>
                <w:szCs w:val="20"/>
              </w:rPr>
              <w:t xml:space="preserve">Lifetime Secondary Resource Use </w:t>
            </w:r>
          </w:p>
        </w:tc>
        <w:tc>
          <w:tcPr>
            <w:tcW w:w="3302" w:type="dxa"/>
            <w:gridSpan w:val="3"/>
            <w:tcBorders>
              <w:top w:val="single" w:sz="8" w:space="0" w:color="auto"/>
              <w:left w:val="nil"/>
              <w:bottom w:val="single" w:sz="8" w:space="0" w:color="auto"/>
              <w:right w:val="single" w:sz="8" w:space="0" w:color="auto"/>
            </w:tcBorders>
          </w:tcPr>
          <w:p w14:paraId="1F0F66D1" w14:textId="11F1B2A0" w:rsidR="0FE9BE9B" w:rsidRPr="00C71C83" w:rsidRDefault="0FE9BE9B" w:rsidP="00097241">
            <w:pPr>
              <w:spacing w:line="240" w:lineRule="auto"/>
              <w:jc w:val="center"/>
              <w:rPr>
                <w:rFonts w:cstheme="minorHAnsi"/>
                <w:b/>
                <w:bCs/>
                <w:sz w:val="20"/>
                <w:szCs w:val="20"/>
              </w:rPr>
            </w:pPr>
            <w:r w:rsidRPr="00C71C83">
              <w:rPr>
                <w:rFonts w:eastAsia="Calibri" w:cstheme="minorHAnsi"/>
                <w:b/>
                <w:bCs/>
                <w:sz w:val="20"/>
                <w:szCs w:val="20"/>
              </w:rPr>
              <w:t xml:space="preserve">Average Annual Secondary Resource Use </w:t>
            </w:r>
          </w:p>
        </w:tc>
      </w:tr>
      <w:tr w:rsidR="0FE9BE9B" w:rsidRPr="00C71C83" w14:paraId="197DE5E3" w14:textId="77777777" w:rsidTr="007B2CA6">
        <w:tc>
          <w:tcPr>
            <w:tcW w:w="1466" w:type="dxa"/>
            <w:vMerge/>
            <w:tcBorders>
              <w:left w:val="single" w:sz="4" w:space="0" w:color="auto"/>
              <w:bottom w:val="single" w:sz="4" w:space="0" w:color="auto"/>
              <w:right w:val="single" w:sz="4" w:space="0" w:color="auto"/>
            </w:tcBorders>
            <w:vAlign w:val="center"/>
          </w:tcPr>
          <w:p w14:paraId="4ABD3BE7" w14:textId="77777777" w:rsidR="00F43B78" w:rsidRPr="00C71C83" w:rsidRDefault="00F43B78" w:rsidP="00097241">
            <w:pPr>
              <w:spacing w:line="240" w:lineRule="auto"/>
              <w:rPr>
                <w:rFonts w:cstheme="minorHAnsi"/>
                <w:b/>
                <w:bCs/>
                <w:sz w:val="20"/>
                <w:szCs w:val="20"/>
              </w:rPr>
            </w:pPr>
          </w:p>
        </w:tc>
        <w:tc>
          <w:tcPr>
            <w:tcW w:w="1376" w:type="dxa"/>
            <w:vMerge/>
            <w:tcBorders>
              <w:left w:val="single" w:sz="4" w:space="0" w:color="auto"/>
              <w:bottom w:val="single" w:sz="4" w:space="0" w:color="auto"/>
              <w:right w:val="single" w:sz="4" w:space="0" w:color="auto"/>
            </w:tcBorders>
            <w:vAlign w:val="center"/>
          </w:tcPr>
          <w:p w14:paraId="655C24A3" w14:textId="77777777" w:rsidR="00F43B78" w:rsidRPr="00C71C83" w:rsidRDefault="00F43B78" w:rsidP="00097241">
            <w:pPr>
              <w:spacing w:line="240" w:lineRule="auto"/>
              <w:rPr>
                <w:rFonts w:cstheme="minorHAnsi"/>
                <w:b/>
                <w:bCs/>
                <w:sz w:val="20"/>
                <w:szCs w:val="20"/>
              </w:rPr>
            </w:pPr>
          </w:p>
        </w:tc>
        <w:tc>
          <w:tcPr>
            <w:tcW w:w="1260" w:type="dxa"/>
            <w:tcBorders>
              <w:top w:val="single" w:sz="8" w:space="0" w:color="auto"/>
              <w:left w:val="single" w:sz="4" w:space="0" w:color="auto"/>
              <w:bottom w:val="single" w:sz="4" w:space="0" w:color="auto"/>
              <w:right w:val="single" w:sz="4" w:space="0" w:color="auto"/>
            </w:tcBorders>
          </w:tcPr>
          <w:p w14:paraId="0940EEC9" w14:textId="75581338" w:rsidR="0FE9BE9B" w:rsidRPr="00C71C83" w:rsidRDefault="0FE9BE9B" w:rsidP="00097241">
            <w:pPr>
              <w:spacing w:line="240" w:lineRule="auto"/>
              <w:jc w:val="center"/>
              <w:rPr>
                <w:rFonts w:cstheme="minorHAnsi"/>
                <w:b/>
                <w:bCs/>
                <w:sz w:val="20"/>
                <w:szCs w:val="20"/>
              </w:rPr>
            </w:pPr>
            <w:r w:rsidRPr="00C71C83">
              <w:rPr>
                <w:rFonts w:eastAsia="Calibri" w:cstheme="minorHAnsi"/>
                <w:b/>
                <w:bCs/>
                <w:sz w:val="20"/>
                <w:szCs w:val="20"/>
              </w:rPr>
              <w:t xml:space="preserve">A&amp;E attendances </w:t>
            </w:r>
          </w:p>
        </w:tc>
        <w:tc>
          <w:tcPr>
            <w:tcW w:w="1091" w:type="dxa"/>
            <w:tcBorders>
              <w:top w:val="nil"/>
              <w:left w:val="single" w:sz="4" w:space="0" w:color="auto"/>
              <w:bottom w:val="single" w:sz="8" w:space="0" w:color="auto"/>
              <w:right w:val="single" w:sz="4" w:space="0" w:color="auto"/>
            </w:tcBorders>
          </w:tcPr>
          <w:p w14:paraId="08079E00" w14:textId="42820CBE" w:rsidR="0FE9BE9B" w:rsidRPr="00C71C83" w:rsidRDefault="0FE9BE9B" w:rsidP="00097241">
            <w:pPr>
              <w:spacing w:line="240" w:lineRule="auto"/>
              <w:jc w:val="center"/>
              <w:rPr>
                <w:rFonts w:cstheme="minorHAnsi"/>
                <w:b/>
                <w:bCs/>
                <w:sz w:val="20"/>
                <w:szCs w:val="20"/>
              </w:rPr>
            </w:pPr>
            <w:r w:rsidRPr="00C71C83">
              <w:rPr>
                <w:rFonts w:eastAsia="Calibri" w:cstheme="minorHAnsi"/>
                <w:b/>
                <w:bCs/>
                <w:sz w:val="20"/>
                <w:szCs w:val="20"/>
              </w:rPr>
              <w:t xml:space="preserve">Non-Elective bed days </w:t>
            </w:r>
          </w:p>
        </w:tc>
        <w:tc>
          <w:tcPr>
            <w:tcW w:w="992" w:type="dxa"/>
            <w:tcBorders>
              <w:top w:val="nil"/>
              <w:left w:val="single" w:sz="4" w:space="0" w:color="auto"/>
              <w:bottom w:val="single" w:sz="8" w:space="0" w:color="auto"/>
              <w:right w:val="single" w:sz="4" w:space="0" w:color="auto"/>
            </w:tcBorders>
          </w:tcPr>
          <w:p w14:paraId="0293D63F" w14:textId="15BAF797" w:rsidR="0FE9BE9B" w:rsidRPr="00C71C83" w:rsidRDefault="0FE9BE9B" w:rsidP="00097241">
            <w:pPr>
              <w:spacing w:line="240" w:lineRule="auto"/>
              <w:jc w:val="center"/>
              <w:rPr>
                <w:rFonts w:cstheme="minorHAnsi"/>
                <w:b/>
                <w:bCs/>
                <w:sz w:val="20"/>
                <w:szCs w:val="20"/>
              </w:rPr>
            </w:pPr>
            <w:r w:rsidRPr="00C71C83">
              <w:rPr>
                <w:rFonts w:eastAsia="Calibri" w:cstheme="minorHAnsi"/>
                <w:b/>
                <w:bCs/>
                <w:sz w:val="20"/>
                <w:szCs w:val="20"/>
              </w:rPr>
              <w:t xml:space="preserve">Elective bed-days </w:t>
            </w:r>
          </w:p>
        </w:tc>
        <w:tc>
          <w:tcPr>
            <w:tcW w:w="1276" w:type="dxa"/>
            <w:tcBorders>
              <w:top w:val="single" w:sz="8" w:space="0" w:color="auto"/>
              <w:left w:val="single" w:sz="4" w:space="0" w:color="auto"/>
              <w:bottom w:val="single" w:sz="8" w:space="0" w:color="auto"/>
              <w:right w:val="single" w:sz="4" w:space="0" w:color="auto"/>
            </w:tcBorders>
          </w:tcPr>
          <w:p w14:paraId="62B449D1" w14:textId="4EE64BD8" w:rsidR="0FE9BE9B" w:rsidRPr="00C71C83" w:rsidRDefault="0FE9BE9B" w:rsidP="00097241">
            <w:pPr>
              <w:spacing w:line="240" w:lineRule="auto"/>
              <w:jc w:val="center"/>
              <w:rPr>
                <w:rFonts w:cstheme="minorHAnsi"/>
                <w:b/>
                <w:bCs/>
                <w:sz w:val="20"/>
                <w:szCs w:val="20"/>
              </w:rPr>
            </w:pPr>
            <w:r w:rsidRPr="00C71C83">
              <w:rPr>
                <w:rFonts w:eastAsia="Calibri" w:cstheme="minorHAnsi"/>
                <w:b/>
                <w:bCs/>
                <w:sz w:val="20"/>
                <w:szCs w:val="20"/>
              </w:rPr>
              <w:t xml:space="preserve">A&amp;E attendances </w:t>
            </w:r>
          </w:p>
        </w:tc>
        <w:tc>
          <w:tcPr>
            <w:tcW w:w="992" w:type="dxa"/>
            <w:tcBorders>
              <w:top w:val="nil"/>
              <w:left w:val="single" w:sz="4" w:space="0" w:color="auto"/>
              <w:bottom w:val="single" w:sz="8" w:space="0" w:color="auto"/>
              <w:right w:val="single" w:sz="4" w:space="0" w:color="auto"/>
            </w:tcBorders>
          </w:tcPr>
          <w:p w14:paraId="572CE78D" w14:textId="7F393DAE" w:rsidR="0FE9BE9B" w:rsidRPr="00C71C83" w:rsidRDefault="0FE9BE9B" w:rsidP="00097241">
            <w:pPr>
              <w:spacing w:line="240" w:lineRule="auto"/>
              <w:jc w:val="center"/>
              <w:rPr>
                <w:rFonts w:cstheme="minorHAnsi"/>
                <w:b/>
                <w:bCs/>
                <w:sz w:val="20"/>
                <w:szCs w:val="20"/>
              </w:rPr>
            </w:pPr>
            <w:r w:rsidRPr="00C71C83">
              <w:rPr>
                <w:rFonts w:eastAsia="Calibri" w:cstheme="minorHAnsi"/>
                <w:b/>
                <w:bCs/>
                <w:sz w:val="20"/>
                <w:szCs w:val="20"/>
              </w:rPr>
              <w:t xml:space="preserve">Non-Elective bed days </w:t>
            </w:r>
          </w:p>
        </w:tc>
        <w:tc>
          <w:tcPr>
            <w:tcW w:w="1034" w:type="dxa"/>
            <w:tcBorders>
              <w:top w:val="nil"/>
              <w:left w:val="single" w:sz="4" w:space="0" w:color="auto"/>
              <w:bottom w:val="single" w:sz="8" w:space="0" w:color="auto"/>
              <w:right w:val="single" w:sz="4" w:space="0" w:color="auto"/>
            </w:tcBorders>
          </w:tcPr>
          <w:p w14:paraId="62EC803F" w14:textId="6C7F58F7" w:rsidR="0FE9BE9B" w:rsidRPr="00C71C83" w:rsidRDefault="0FE9BE9B" w:rsidP="00097241">
            <w:pPr>
              <w:spacing w:line="240" w:lineRule="auto"/>
              <w:jc w:val="center"/>
              <w:rPr>
                <w:rFonts w:cstheme="minorHAnsi"/>
                <w:b/>
                <w:bCs/>
                <w:sz w:val="20"/>
                <w:szCs w:val="20"/>
              </w:rPr>
            </w:pPr>
            <w:r w:rsidRPr="00C71C83">
              <w:rPr>
                <w:rFonts w:eastAsia="Calibri" w:cstheme="minorHAnsi"/>
                <w:b/>
                <w:bCs/>
                <w:sz w:val="20"/>
                <w:szCs w:val="20"/>
              </w:rPr>
              <w:t xml:space="preserve">Elective bed-days </w:t>
            </w:r>
          </w:p>
        </w:tc>
      </w:tr>
      <w:tr w:rsidR="007B2CA6" w:rsidRPr="00C71C83" w14:paraId="4A9B1830" w14:textId="77777777" w:rsidTr="007B2CA6">
        <w:trPr>
          <w:trHeight w:val="300"/>
        </w:trPr>
        <w:tc>
          <w:tcPr>
            <w:tcW w:w="1466" w:type="dxa"/>
            <w:tcBorders>
              <w:top w:val="single" w:sz="4" w:space="0" w:color="auto"/>
              <w:left w:val="single" w:sz="8" w:space="0" w:color="auto"/>
              <w:bottom w:val="single" w:sz="8" w:space="0" w:color="auto"/>
              <w:right w:val="single" w:sz="4" w:space="0" w:color="auto"/>
            </w:tcBorders>
          </w:tcPr>
          <w:p w14:paraId="57067F8A" w14:textId="0C4ADC3F" w:rsidR="007B2CA6" w:rsidRPr="00C71C83" w:rsidRDefault="007B2CA6" w:rsidP="007B2CA6">
            <w:pPr>
              <w:spacing w:line="240" w:lineRule="auto"/>
              <w:rPr>
                <w:rFonts w:cstheme="minorHAnsi"/>
                <w:sz w:val="20"/>
                <w:szCs w:val="20"/>
              </w:rPr>
            </w:pPr>
            <w:r w:rsidRPr="00C71C83">
              <w:rPr>
                <w:rFonts w:eastAsia="Calibri" w:cstheme="minorHAnsi"/>
                <w:sz w:val="20"/>
                <w:szCs w:val="20"/>
              </w:rPr>
              <w:t xml:space="preserve">Male, 75, </w:t>
            </w:r>
            <w:proofErr w:type="spellStart"/>
            <w:r w:rsidRPr="00C71C83">
              <w:rPr>
                <w:rFonts w:eastAsia="Calibri" w:cstheme="minorHAnsi"/>
                <w:sz w:val="20"/>
                <w:szCs w:val="20"/>
              </w:rPr>
              <w:t>mRs</w:t>
            </w:r>
            <w:proofErr w:type="spellEnd"/>
            <w:r w:rsidRPr="00C71C83">
              <w:rPr>
                <w:rFonts w:eastAsia="Calibri" w:cstheme="minorHAnsi"/>
                <w:sz w:val="20"/>
                <w:szCs w:val="20"/>
              </w:rPr>
              <w:t xml:space="preserve"> 3 </w:t>
            </w:r>
          </w:p>
        </w:tc>
        <w:tc>
          <w:tcPr>
            <w:tcW w:w="1376" w:type="dxa"/>
            <w:tcBorders>
              <w:top w:val="single" w:sz="4" w:space="0" w:color="auto"/>
              <w:left w:val="single" w:sz="4" w:space="0" w:color="auto"/>
              <w:bottom w:val="single" w:sz="8" w:space="0" w:color="auto"/>
              <w:right w:val="single" w:sz="4" w:space="0" w:color="auto"/>
            </w:tcBorders>
          </w:tcPr>
          <w:p w14:paraId="548E1249" w14:textId="5A12AFC7" w:rsidR="007B2CA6" w:rsidRPr="00C71C83" w:rsidRDefault="007B2CA6" w:rsidP="007B2CA6">
            <w:pPr>
              <w:spacing w:line="240" w:lineRule="auto"/>
              <w:jc w:val="right"/>
              <w:rPr>
                <w:rFonts w:cstheme="minorHAnsi"/>
                <w:sz w:val="20"/>
                <w:szCs w:val="20"/>
              </w:rPr>
            </w:pPr>
            <w:r w:rsidRPr="00C71C83">
              <w:rPr>
                <w:rFonts w:eastAsia="Calibri" w:cstheme="minorHAnsi"/>
                <w:sz w:val="20"/>
                <w:szCs w:val="20"/>
              </w:rPr>
              <w:t xml:space="preserve">3.35 (1.61 to 4.87) </w:t>
            </w:r>
          </w:p>
        </w:tc>
        <w:tc>
          <w:tcPr>
            <w:tcW w:w="1260" w:type="dxa"/>
            <w:tcBorders>
              <w:top w:val="nil"/>
              <w:left w:val="nil"/>
              <w:bottom w:val="single" w:sz="4" w:space="0" w:color="auto"/>
              <w:right w:val="single" w:sz="4" w:space="0" w:color="auto"/>
            </w:tcBorders>
            <w:shd w:val="clear" w:color="auto" w:fill="auto"/>
            <w:vAlign w:val="bottom"/>
          </w:tcPr>
          <w:p w14:paraId="14B7EB5D" w14:textId="219DA082"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1.88</w:t>
            </w:r>
          </w:p>
        </w:tc>
        <w:tc>
          <w:tcPr>
            <w:tcW w:w="1091" w:type="dxa"/>
            <w:tcBorders>
              <w:top w:val="nil"/>
              <w:left w:val="single" w:sz="4" w:space="0" w:color="auto"/>
              <w:bottom w:val="single" w:sz="4" w:space="0" w:color="auto"/>
              <w:right w:val="single" w:sz="4" w:space="0" w:color="auto"/>
            </w:tcBorders>
            <w:shd w:val="clear" w:color="auto" w:fill="auto"/>
            <w:vAlign w:val="bottom"/>
          </w:tcPr>
          <w:p w14:paraId="155F921A" w14:textId="61107B3E"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20.79</w:t>
            </w:r>
          </w:p>
        </w:tc>
        <w:tc>
          <w:tcPr>
            <w:tcW w:w="992" w:type="dxa"/>
            <w:tcBorders>
              <w:top w:val="nil"/>
              <w:left w:val="single" w:sz="4" w:space="0" w:color="auto"/>
              <w:bottom w:val="single" w:sz="4" w:space="0" w:color="auto"/>
              <w:right w:val="single" w:sz="4" w:space="0" w:color="auto"/>
            </w:tcBorders>
            <w:shd w:val="clear" w:color="auto" w:fill="auto"/>
            <w:vAlign w:val="bottom"/>
          </w:tcPr>
          <w:p w14:paraId="31EBE332" w14:textId="62207E3D"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0.79</w:t>
            </w:r>
          </w:p>
        </w:tc>
        <w:tc>
          <w:tcPr>
            <w:tcW w:w="1276" w:type="dxa"/>
            <w:tcBorders>
              <w:top w:val="nil"/>
              <w:left w:val="single" w:sz="4" w:space="0" w:color="auto"/>
              <w:bottom w:val="single" w:sz="4" w:space="0" w:color="auto"/>
              <w:right w:val="single" w:sz="4" w:space="0" w:color="auto"/>
            </w:tcBorders>
            <w:shd w:val="clear" w:color="auto" w:fill="auto"/>
            <w:vAlign w:val="bottom"/>
          </w:tcPr>
          <w:p w14:paraId="73AF2333" w14:textId="7ED7E17D"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0.56</w:t>
            </w:r>
          </w:p>
        </w:tc>
        <w:tc>
          <w:tcPr>
            <w:tcW w:w="992" w:type="dxa"/>
            <w:tcBorders>
              <w:top w:val="nil"/>
              <w:left w:val="single" w:sz="4" w:space="0" w:color="auto"/>
              <w:bottom w:val="single" w:sz="4" w:space="0" w:color="auto"/>
              <w:right w:val="single" w:sz="4" w:space="0" w:color="auto"/>
            </w:tcBorders>
            <w:shd w:val="clear" w:color="auto" w:fill="auto"/>
            <w:vAlign w:val="bottom"/>
          </w:tcPr>
          <w:p w14:paraId="7EC14E26" w14:textId="00F348D7"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6.18</w:t>
            </w:r>
          </w:p>
        </w:tc>
        <w:tc>
          <w:tcPr>
            <w:tcW w:w="1034" w:type="dxa"/>
            <w:tcBorders>
              <w:top w:val="nil"/>
              <w:left w:val="single" w:sz="4" w:space="0" w:color="auto"/>
              <w:bottom w:val="single" w:sz="4" w:space="0" w:color="auto"/>
              <w:right w:val="single" w:sz="4" w:space="0" w:color="auto"/>
            </w:tcBorders>
            <w:shd w:val="clear" w:color="auto" w:fill="auto"/>
            <w:vAlign w:val="bottom"/>
          </w:tcPr>
          <w:p w14:paraId="2F891A01" w14:textId="395F62D8"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0.24</w:t>
            </w:r>
          </w:p>
        </w:tc>
      </w:tr>
      <w:tr w:rsidR="007B2CA6" w:rsidRPr="00C71C83" w14:paraId="14432390" w14:textId="77777777" w:rsidTr="007B2CA6">
        <w:tc>
          <w:tcPr>
            <w:tcW w:w="1466" w:type="dxa"/>
            <w:tcBorders>
              <w:top w:val="single" w:sz="8" w:space="0" w:color="auto"/>
              <w:left w:val="single" w:sz="8" w:space="0" w:color="auto"/>
              <w:bottom w:val="single" w:sz="8" w:space="0" w:color="auto"/>
              <w:right w:val="single" w:sz="8" w:space="0" w:color="auto"/>
            </w:tcBorders>
          </w:tcPr>
          <w:p w14:paraId="7A73BDF1" w14:textId="372A3CBB" w:rsidR="007B2CA6" w:rsidRPr="00C71C83" w:rsidRDefault="007B2CA6" w:rsidP="007B2CA6">
            <w:pPr>
              <w:spacing w:line="240" w:lineRule="auto"/>
              <w:rPr>
                <w:rFonts w:cstheme="minorHAnsi"/>
                <w:sz w:val="20"/>
                <w:szCs w:val="20"/>
              </w:rPr>
            </w:pPr>
            <w:r w:rsidRPr="00C71C83">
              <w:rPr>
                <w:rFonts w:eastAsia="Calibri" w:cstheme="minorHAnsi"/>
                <w:sz w:val="20"/>
                <w:szCs w:val="20"/>
              </w:rPr>
              <w:t xml:space="preserve">Female 55 </w:t>
            </w:r>
            <w:proofErr w:type="spellStart"/>
            <w:r w:rsidRPr="00C71C83">
              <w:rPr>
                <w:rFonts w:eastAsia="Calibri" w:cstheme="minorHAnsi"/>
                <w:sz w:val="20"/>
                <w:szCs w:val="20"/>
              </w:rPr>
              <w:t>mRs</w:t>
            </w:r>
            <w:proofErr w:type="spellEnd"/>
            <w:r w:rsidRPr="00C71C83">
              <w:rPr>
                <w:rFonts w:eastAsia="Calibri" w:cstheme="minorHAnsi"/>
                <w:sz w:val="20"/>
                <w:szCs w:val="20"/>
              </w:rPr>
              <w:t xml:space="preserve"> 2 </w:t>
            </w:r>
          </w:p>
        </w:tc>
        <w:tc>
          <w:tcPr>
            <w:tcW w:w="1376" w:type="dxa"/>
            <w:tcBorders>
              <w:top w:val="single" w:sz="8" w:space="0" w:color="auto"/>
              <w:left w:val="single" w:sz="8" w:space="0" w:color="auto"/>
              <w:bottom w:val="single" w:sz="8" w:space="0" w:color="auto"/>
              <w:right w:val="single" w:sz="8" w:space="0" w:color="auto"/>
            </w:tcBorders>
          </w:tcPr>
          <w:p w14:paraId="657232E7" w14:textId="6192E712" w:rsidR="007B2CA6" w:rsidRPr="00C71C83" w:rsidRDefault="007B2CA6" w:rsidP="007B2CA6">
            <w:pPr>
              <w:spacing w:line="240" w:lineRule="auto"/>
              <w:jc w:val="right"/>
              <w:rPr>
                <w:rFonts w:cstheme="minorHAnsi"/>
                <w:sz w:val="20"/>
                <w:szCs w:val="20"/>
              </w:rPr>
            </w:pPr>
            <w:r w:rsidRPr="00C71C83">
              <w:rPr>
                <w:rFonts w:eastAsia="Calibri" w:cstheme="minorHAnsi"/>
                <w:sz w:val="20"/>
                <w:szCs w:val="20"/>
              </w:rPr>
              <w:t xml:space="preserve">13.75 (8.74 to 17.32) </w:t>
            </w:r>
          </w:p>
        </w:tc>
        <w:tc>
          <w:tcPr>
            <w:tcW w:w="1260" w:type="dxa"/>
            <w:tcBorders>
              <w:top w:val="single" w:sz="4" w:space="0" w:color="auto"/>
              <w:left w:val="nil"/>
              <w:bottom w:val="single" w:sz="4" w:space="0" w:color="auto"/>
              <w:right w:val="single" w:sz="4" w:space="0" w:color="auto"/>
            </w:tcBorders>
            <w:shd w:val="clear" w:color="auto" w:fill="auto"/>
            <w:vAlign w:val="bottom"/>
          </w:tcPr>
          <w:p w14:paraId="2B53606C" w14:textId="4329C46F"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7.88</w:t>
            </w:r>
          </w:p>
        </w:tc>
        <w:tc>
          <w:tcPr>
            <w:tcW w:w="1091" w:type="dxa"/>
            <w:tcBorders>
              <w:top w:val="single" w:sz="4" w:space="0" w:color="auto"/>
              <w:left w:val="single" w:sz="4" w:space="0" w:color="auto"/>
              <w:bottom w:val="single" w:sz="4" w:space="0" w:color="auto"/>
              <w:right w:val="single" w:sz="4" w:space="0" w:color="auto"/>
            </w:tcBorders>
            <w:shd w:val="clear" w:color="auto" w:fill="auto"/>
            <w:vAlign w:val="bottom"/>
          </w:tcPr>
          <w:p w14:paraId="553A4CEA" w14:textId="24E093B7"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24.75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bottom"/>
          </w:tcPr>
          <w:p w14:paraId="6869E19F" w14:textId="5B7593F5"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2.52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20FCF5B9" w14:textId="462C613C"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0.58</w:t>
            </w:r>
          </w:p>
        </w:tc>
        <w:tc>
          <w:tcPr>
            <w:tcW w:w="992" w:type="dxa"/>
            <w:tcBorders>
              <w:top w:val="single" w:sz="4" w:space="0" w:color="auto"/>
              <w:left w:val="single" w:sz="4" w:space="0" w:color="auto"/>
              <w:bottom w:val="single" w:sz="4" w:space="0" w:color="auto"/>
              <w:right w:val="single" w:sz="4" w:space="0" w:color="auto"/>
            </w:tcBorders>
            <w:shd w:val="clear" w:color="auto" w:fill="auto"/>
            <w:vAlign w:val="bottom"/>
          </w:tcPr>
          <w:p w14:paraId="42232753" w14:textId="6B5C83EB"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1.8</w:t>
            </w:r>
          </w:p>
        </w:tc>
        <w:tc>
          <w:tcPr>
            <w:tcW w:w="1034" w:type="dxa"/>
            <w:tcBorders>
              <w:top w:val="single" w:sz="4" w:space="0" w:color="auto"/>
              <w:left w:val="single" w:sz="4" w:space="0" w:color="auto"/>
              <w:bottom w:val="single" w:sz="4" w:space="0" w:color="auto"/>
              <w:right w:val="single" w:sz="4" w:space="0" w:color="auto"/>
            </w:tcBorders>
            <w:shd w:val="clear" w:color="auto" w:fill="auto"/>
            <w:vAlign w:val="bottom"/>
          </w:tcPr>
          <w:p w14:paraId="4AF31B9E" w14:textId="784A793C"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0.18</w:t>
            </w:r>
          </w:p>
        </w:tc>
      </w:tr>
      <w:tr w:rsidR="007B2CA6" w:rsidRPr="00C71C83" w14:paraId="48EC312C" w14:textId="77777777" w:rsidTr="007B2CA6">
        <w:tc>
          <w:tcPr>
            <w:tcW w:w="1466" w:type="dxa"/>
            <w:tcBorders>
              <w:top w:val="single" w:sz="8" w:space="0" w:color="auto"/>
              <w:left w:val="single" w:sz="8" w:space="0" w:color="auto"/>
              <w:bottom w:val="single" w:sz="8" w:space="0" w:color="auto"/>
              <w:right w:val="single" w:sz="8" w:space="0" w:color="auto"/>
            </w:tcBorders>
          </w:tcPr>
          <w:p w14:paraId="4ABFE570" w14:textId="47421562" w:rsidR="007B2CA6" w:rsidRPr="00C71C83" w:rsidRDefault="007B2CA6" w:rsidP="007B2CA6">
            <w:pPr>
              <w:spacing w:line="240" w:lineRule="auto"/>
              <w:rPr>
                <w:rFonts w:cstheme="minorHAnsi"/>
                <w:sz w:val="20"/>
                <w:szCs w:val="20"/>
              </w:rPr>
            </w:pPr>
            <w:r w:rsidRPr="00C71C83">
              <w:rPr>
                <w:rFonts w:eastAsia="Calibri" w:cstheme="minorHAnsi"/>
                <w:sz w:val="20"/>
                <w:szCs w:val="20"/>
              </w:rPr>
              <w:t xml:space="preserve">Female 80 </w:t>
            </w:r>
            <w:proofErr w:type="spellStart"/>
            <w:r w:rsidRPr="00C71C83">
              <w:rPr>
                <w:rFonts w:eastAsia="Calibri" w:cstheme="minorHAnsi"/>
                <w:sz w:val="20"/>
                <w:szCs w:val="20"/>
              </w:rPr>
              <w:t>mRs</w:t>
            </w:r>
            <w:proofErr w:type="spellEnd"/>
            <w:r w:rsidRPr="00C71C83">
              <w:rPr>
                <w:rFonts w:eastAsia="Calibri" w:cstheme="minorHAnsi"/>
                <w:sz w:val="20"/>
                <w:szCs w:val="20"/>
              </w:rPr>
              <w:t xml:space="preserve"> 3 </w:t>
            </w:r>
          </w:p>
        </w:tc>
        <w:tc>
          <w:tcPr>
            <w:tcW w:w="1376" w:type="dxa"/>
            <w:tcBorders>
              <w:top w:val="single" w:sz="8" w:space="0" w:color="auto"/>
              <w:left w:val="single" w:sz="8" w:space="0" w:color="auto"/>
              <w:bottom w:val="single" w:sz="8" w:space="0" w:color="auto"/>
              <w:right w:val="single" w:sz="8" w:space="0" w:color="auto"/>
            </w:tcBorders>
          </w:tcPr>
          <w:p w14:paraId="66DF3197" w14:textId="49A1ED47" w:rsidR="007B2CA6" w:rsidRPr="00C71C83" w:rsidRDefault="007B2CA6" w:rsidP="007B2CA6">
            <w:pPr>
              <w:spacing w:line="240" w:lineRule="auto"/>
              <w:jc w:val="right"/>
              <w:rPr>
                <w:rFonts w:cstheme="minorHAnsi"/>
                <w:sz w:val="20"/>
                <w:szCs w:val="20"/>
              </w:rPr>
            </w:pPr>
            <w:r w:rsidRPr="00C71C83">
              <w:rPr>
                <w:rFonts w:eastAsia="Calibri" w:cstheme="minorHAnsi"/>
                <w:sz w:val="20"/>
                <w:szCs w:val="20"/>
              </w:rPr>
              <w:t xml:space="preserve">2.92 (1.45 to 4.23) </w:t>
            </w:r>
          </w:p>
        </w:tc>
        <w:tc>
          <w:tcPr>
            <w:tcW w:w="1260" w:type="dxa"/>
            <w:tcBorders>
              <w:top w:val="single" w:sz="4" w:space="0" w:color="auto"/>
              <w:left w:val="nil"/>
              <w:bottom w:val="single" w:sz="4" w:space="0" w:color="auto"/>
              <w:right w:val="single" w:sz="4" w:space="0" w:color="auto"/>
            </w:tcBorders>
            <w:shd w:val="clear" w:color="auto" w:fill="auto"/>
            <w:vAlign w:val="bottom"/>
          </w:tcPr>
          <w:p w14:paraId="2C109A15" w14:textId="259BDAA5"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1.54</w:t>
            </w:r>
          </w:p>
        </w:tc>
        <w:tc>
          <w:tcPr>
            <w:tcW w:w="1091" w:type="dxa"/>
            <w:tcBorders>
              <w:top w:val="single" w:sz="4" w:space="0" w:color="auto"/>
              <w:left w:val="single" w:sz="4" w:space="0" w:color="auto"/>
              <w:bottom w:val="single" w:sz="4" w:space="0" w:color="auto"/>
              <w:right w:val="single" w:sz="4" w:space="0" w:color="auto"/>
            </w:tcBorders>
            <w:shd w:val="clear" w:color="auto" w:fill="auto"/>
            <w:vAlign w:val="bottom"/>
          </w:tcPr>
          <w:p w14:paraId="2F482438" w14:textId="47414EDB"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22.54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bottom"/>
          </w:tcPr>
          <w:p w14:paraId="62ACC663" w14:textId="1E2509E4"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0.69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415AA6F7" w14:textId="67F4168B"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0.53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bottom"/>
          </w:tcPr>
          <w:p w14:paraId="4242C0FB" w14:textId="37AA9BC3"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7.71</w:t>
            </w:r>
          </w:p>
        </w:tc>
        <w:tc>
          <w:tcPr>
            <w:tcW w:w="1034" w:type="dxa"/>
            <w:tcBorders>
              <w:top w:val="single" w:sz="4" w:space="0" w:color="auto"/>
              <w:left w:val="single" w:sz="4" w:space="0" w:color="auto"/>
              <w:bottom w:val="single" w:sz="4" w:space="0" w:color="auto"/>
              <w:right w:val="single" w:sz="4" w:space="0" w:color="auto"/>
            </w:tcBorders>
            <w:shd w:val="clear" w:color="auto" w:fill="auto"/>
            <w:vAlign w:val="bottom"/>
          </w:tcPr>
          <w:p w14:paraId="114F4150" w14:textId="058F8C9F"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0.24</w:t>
            </w:r>
          </w:p>
        </w:tc>
      </w:tr>
      <w:tr w:rsidR="007B2CA6" w:rsidRPr="00C71C83" w14:paraId="4EFC3125" w14:textId="77777777" w:rsidTr="007B2CA6">
        <w:tc>
          <w:tcPr>
            <w:tcW w:w="1466" w:type="dxa"/>
            <w:tcBorders>
              <w:top w:val="single" w:sz="8" w:space="0" w:color="auto"/>
              <w:left w:val="single" w:sz="8" w:space="0" w:color="auto"/>
              <w:bottom w:val="single" w:sz="8" w:space="0" w:color="auto"/>
              <w:right w:val="single" w:sz="8" w:space="0" w:color="auto"/>
            </w:tcBorders>
          </w:tcPr>
          <w:p w14:paraId="51543DB8" w14:textId="7F6E2AEB" w:rsidR="007B2CA6" w:rsidRPr="00C71C83" w:rsidRDefault="007B2CA6" w:rsidP="007B2CA6">
            <w:pPr>
              <w:spacing w:line="240" w:lineRule="auto"/>
              <w:rPr>
                <w:rFonts w:cstheme="minorHAnsi"/>
                <w:sz w:val="20"/>
                <w:szCs w:val="20"/>
              </w:rPr>
            </w:pPr>
            <w:r w:rsidRPr="00C71C83">
              <w:rPr>
                <w:rFonts w:eastAsia="Calibri" w:cstheme="minorHAnsi"/>
                <w:sz w:val="20"/>
                <w:szCs w:val="20"/>
              </w:rPr>
              <w:t xml:space="preserve">Male 66 </w:t>
            </w:r>
            <w:proofErr w:type="spellStart"/>
            <w:r w:rsidRPr="00C71C83">
              <w:rPr>
                <w:rFonts w:eastAsia="Calibri" w:cstheme="minorHAnsi"/>
                <w:sz w:val="20"/>
                <w:szCs w:val="20"/>
              </w:rPr>
              <w:t>mRs</w:t>
            </w:r>
            <w:proofErr w:type="spellEnd"/>
            <w:r w:rsidRPr="00C71C83">
              <w:rPr>
                <w:rFonts w:eastAsia="Calibri" w:cstheme="minorHAnsi"/>
                <w:sz w:val="20"/>
                <w:szCs w:val="20"/>
              </w:rPr>
              <w:t xml:space="preserve"> 4 </w:t>
            </w:r>
          </w:p>
        </w:tc>
        <w:tc>
          <w:tcPr>
            <w:tcW w:w="1376" w:type="dxa"/>
            <w:tcBorders>
              <w:top w:val="single" w:sz="8" w:space="0" w:color="auto"/>
              <w:left w:val="single" w:sz="8" w:space="0" w:color="auto"/>
              <w:bottom w:val="single" w:sz="8" w:space="0" w:color="auto"/>
              <w:right w:val="single" w:sz="8" w:space="0" w:color="auto"/>
            </w:tcBorders>
          </w:tcPr>
          <w:p w14:paraId="2EBF0A54" w14:textId="5CB34FE7" w:rsidR="007B2CA6" w:rsidRPr="00C71C83" w:rsidRDefault="007B2CA6" w:rsidP="007B2CA6">
            <w:pPr>
              <w:spacing w:line="240" w:lineRule="auto"/>
              <w:jc w:val="right"/>
              <w:rPr>
                <w:rFonts w:cstheme="minorHAnsi"/>
                <w:sz w:val="20"/>
                <w:szCs w:val="20"/>
              </w:rPr>
            </w:pPr>
            <w:r w:rsidRPr="00C71C83">
              <w:rPr>
                <w:rFonts w:eastAsia="Calibri" w:cstheme="minorHAnsi"/>
                <w:sz w:val="20"/>
                <w:szCs w:val="20"/>
              </w:rPr>
              <w:t xml:space="preserve">3.32 (0.96 to 5.35) </w:t>
            </w:r>
          </w:p>
        </w:tc>
        <w:tc>
          <w:tcPr>
            <w:tcW w:w="1260" w:type="dxa"/>
            <w:tcBorders>
              <w:top w:val="single" w:sz="4" w:space="0" w:color="auto"/>
              <w:left w:val="nil"/>
              <w:bottom w:val="single" w:sz="4" w:space="0" w:color="auto"/>
              <w:right w:val="single" w:sz="4" w:space="0" w:color="auto"/>
            </w:tcBorders>
            <w:shd w:val="clear" w:color="auto" w:fill="auto"/>
            <w:vAlign w:val="bottom"/>
          </w:tcPr>
          <w:p w14:paraId="6333FCE1" w14:textId="2CA3784A"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2.08</w:t>
            </w:r>
          </w:p>
        </w:tc>
        <w:tc>
          <w:tcPr>
            <w:tcW w:w="1091" w:type="dxa"/>
            <w:tcBorders>
              <w:top w:val="single" w:sz="4" w:space="0" w:color="auto"/>
              <w:left w:val="single" w:sz="4" w:space="0" w:color="auto"/>
              <w:bottom w:val="single" w:sz="4" w:space="0" w:color="auto"/>
              <w:right w:val="single" w:sz="4" w:space="0" w:color="auto"/>
            </w:tcBorders>
            <w:shd w:val="clear" w:color="auto" w:fill="auto"/>
            <w:vAlign w:val="bottom"/>
          </w:tcPr>
          <w:p w14:paraId="51E2C8B8" w14:textId="43551F6C"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19.95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bottom"/>
          </w:tcPr>
          <w:p w14:paraId="67E38957" w14:textId="1D030B8C"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0.59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236519D9" w14:textId="2EE9132C"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0.63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bottom"/>
          </w:tcPr>
          <w:p w14:paraId="70A066D8" w14:textId="64BF59BA"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5.99</w:t>
            </w:r>
          </w:p>
        </w:tc>
        <w:tc>
          <w:tcPr>
            <w:tcW w:w="1034" w:type="dxa"/>
            <w:tcBorders>
              <w:top w:val="single" w:sz="4" w:space="0" w:color="auto"/>
              <w:left w:val="single" w:sz="4" w:space="0" w:color="auto"/>
              <w:bottom w:val="single" w:sz="4" w:space="0" w:color="auto"/>
              <w:right w:val="single" w:sz="4" w:space="0" w:color="auto"/>
            </w:tcBorders>
            <w:shd w:val="clear" w:color="auto" w:fill="auto"/>
            <w:vAlign w:val="bottom"/>
          </w:tcPr>
          <w:p w14:paraId="67D67A60" w14:textId="4A722244"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0.18</w:t>
            </w:r>
          </w:p>
        </w:tc>
      </w:tr>
      <w:tr w:rsidR="007B2CA6" w:rsidRPr="00C71C83" w14:paraId="600029CC" w14:textId="77777777" w:rsidTr="007B2CA6">
        <w:tc>
          <w:tcPr>
            <w:tcW w:w="1466" w:type="dxa"/>
            <w:tcBorders>
              <w:top w:val="single" w:sz="8" w:space="0" w:color="auto"/>
              <w:left w:val="single" w:sz="8" w:space="0" w:color="auto"/>
              <w:bottom w:val="single" w:sz="8" w:space="0" w:color="auto"/>
              <w:right w:val="single" w:sz="8" w:space="0" w:color="auto"/>
            </w:tcBorders>
          </w:tcPr>
          <w:p w14:paraId="6F153E17" w14:textId="689D20FC" w:rsidR="007B2CA6" w:rsidRPr="00C71C83" w:rsidRDefault="007B2CA6" w:rsidP="007B2CA6">
            <w:pPr>
              <w:spacing w:line="240" w:lineRule="auto"/>
              <w:rPr>
                <w:rFonts w:cstheme="minorHAnsi"/>
                <w:sz w:val="20"/>
                <w:szCs w:val="20"/>
              </w:rPr>
            </w:pPr>
            <w:r w:rsidRPr="00C71C83">
              <w:rPr>
                <w:rFonts w:eastAsia="Calibri" w:cstheme="minorHAnsi"/>
                <w:sz w:val="20"/>
                <w:szCs w:val="20"/>
              </w:rPr>
              <w:t xml:space="preserve">Female 78 </w:t>
            </w:r>
            <w:proofErr w:type="spellStart"/>
            <w:r w:rsidRPr="00C71C83">
              <w:rPr>
                <w:rFonts w:eastAsia="Calibri" w:cstheme="minorHAnsi"/>
                <w:sz w:val="20"/>
                <w:szCs w:val="20"/>
              </w:rPr>
              <w:t>mRs</w:t>
            </w:r>
            <w:proofErr w:type="spellEnd"/>
            <w:r w:rsidRPr="00C71C83">
              <w:rPr>
                <w:rFonts w:eastAsia="Calibri" w:cstheme="minorHAnsi"/>
                <w:sz w:val="20"/>
                <w:szCs w:val="20"/>
              </w:rPr>
              <w:t xml:space="preserve"> 1 </w:t>
            </w:r>
          </w:p>
        </w:tc>
        <w:tc>
          <w:tcPr>
            <w:tcW w:w="1376" w:type="dxa"/>
            <w:tcBorders>
              <w:top w:val="single" w:sz="8" w:space="0" w:color="auto"/>
              <w:left w:val="single" w:sz="8" w:space="0" w:color="auto"/>
              <w:bottom w:val="single" w:sz="8" w:space="0" w:color="auto"/>
              <w:right w:val="single" w:sz="8" w:space="0" w:color="auto"/>
            </w:tcBorders>
          </w:tcPr>
          <w:p w14:paraId="4A3BB645" w14:textId="49272541" w:rsidR="007B2CA6" w:rsidRPr="00C71C83" w:rsidRDefault="007B2CA6" w:rsidP="007B2CA6">
            <w:pPr>
              <w:spacing w:line="240" w:lineRule="auto"/>
              <w:jc w:val="right"/>
              <w:rPr>
                <w:rFonts w:cstheme="minorHAnsi"/>
                <w:sz w:val="20"/>
                <w:szCs w:val="20"/>
              </w:rPr>
            </w:pPr>
            <w:r w:rsidRPr="00C71C83">
              <w:rPr>
                <w:rFonts w:eastAsia="Calibri" w:cstheme="minorHAnsi"/>
                <w:sz w:val="20"/>
                <w:szCs w:val="20"/>
              </w:rPr>
              <w:t xml:space="preserve">5.56 (3.12 to 7.60) </w:t>
            </w:r>
          </w:p>
        </w:tc>
        <w:tc>
          <w:tcPr>
            <w:tcW w:w="1260" w:type="dxa"/>
            <w:tcBorders>
              <w:top w:val="single" w:sz="4" w:space="0" w:color="auto"/>
              <w:left w:val="nil"/>
              <w:bottom w:val="single" w:sz="4" w:space="0" w:color="auto"/>
              <w:right w:val="single" w:sz="4" w:space="0" w:color="auto"/>
            </w:tcBorders>
            <w:shd w:val="clear" w:color="auto" w:fill="auto"/>
            <w:vAlign w:val="bottom"/>
          </w:tcPr>
          <w:p w14:paraId="4EED8CAB" w14:textId="34C30A5A"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4.17</w:t>
            </w:r>
          </w:p>
        </w:tc>
        <w:tc>
          <w:tcPr>
            <w:tcW w:w="1091" w:type="dxa"/>
            <w:tcBorders>
              <w:top w:val="single" w:sz="4" w:space="0" w:color="auto"/>
              <w:left w:val="single" w:sz="4" w:space="0" w:color="auto"/>
              <w:bottom w:val="single" w:sz="4" w:space="0" w:color="auto"/>
              <w:right w:val="single" w:sz="4" w:space="0" w:color="auto"/>
            </w:tcBorders>
            <w:shd w:val="clear" w:color="auto" w:fill="auto"/>
            <w:vAlign w:val="bottom"/>
          </w:tcPr>
          <w:p w14:paraId="25B1FDA3" w14:textId="3ACDF60B"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20.69</w:t>
            </w:r>
          </w:p>
        </w:tc>
        <w:tc>
          <w:tcPr>
            <w:tcW w:w="992" w:type="dxa"/>
            <w:tcBorders>
              <w:top w:val="single" w:sz="4" w:space="0" w:color="auto"/>
              <w:left w:val="single" w:sz="4" w:space="0" w:color="auto"/>
              <w:bottom w:val="single" w:sz="4" w:space="0" w:color="auto"/>
              <w:right w:val="single" w:sz="4" w:space="0" w:color="auto"/>
            </w:tcBorders>
            <w:shd w:val="clear" w:color="auto" w:fill="auto"/>
            <w:vAlign w:val="bottom"/>
          </w:tcPr>
          <w:p w14:paraId="5326443D" w14:textId="571B74E4"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1.74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35533D76" w14:textId="70F84E15"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0.75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bottom"/>
          </w:tcPr>
          <w:p w14:paraId="60A0D549" w14:textId="09618B2B"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3.71</w:t>
            </w:r>
          </w:p>
        </w:tc>
        <w:tc>
          <w:tcPr>
            <w:tcW w:w="1034" w:type="dxa"/>
            <w:tcBorders>
              <w:top w:val="single" w:sz="4" w:space="0" w:color="auto"/>
              <w:left w:val="single" w:sz="4" w:space="0" w:color="auto"/>
              <w:bottom w:val="single" w:sz="4" w:space="0" w:color="auto"/>
              <w:right w:val="single" w:sz="4" w:space="0" w:color="auto"/>
            </w:tcBorders>
            <w:shd w:val="clear" w:color="auto" w:fill="auto"/>
            <w:vAlign w:val="bottom"/>
          </w:tcPr>
          <w:p w14:paraId="60E68FFD" w14:textId="5E70537D"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0.31</w:t>
            </w:r>
          </w:p>
        </w:tc>
      </w:tr>
      <w:tr w:rsidR="007B2CA6" w:rsidRPr="00C71C83" w14:paraId="2BF68E0A" w14:textId="77777777" w:rsidTr="007B2CA6">
        <w:tc>
          <w:tcPr>
            <w:tcW w:w="1466" w:type="dxa"/>
            <w:tcBorders>
              <w:top w:val="single" w:sz="8" w:space="0" w:color="auto"/>
              <w:left w:val="single" w:sz="8" w:space="0" w:color="auto"/>
              <w:bottom w:val="single" w:sz="8" w:space="0" w:color="auto"/>
              <w:right w:val="single" w:sz="8" w:space="0" w:color="auto"/>
            </w:tcBorders>
          </w:tcPr>
          <w:p w14:paraId="6A89FC25" w14:textId="2E60556F" w:rsidR="007B2CA6" w:rsidRPr="00C71C83" w:rsidRDefault="007B2CA6" w:rsidP="007B2CA6">
            <w:pPr>
              <w:spacing w:line="240" w:lineRule="auto"/>
              <w:rPr>
                <w:rFonts w:cstheme="minorHAnsi"/>
                <w:sz w:val="20"/>
                <w:szCs w:val="20"/>
              </w:rPr>
            </w:pPr>
            <w:r w:rsidRPr="00C71C83">
              <w:rPr>
                <w:rFonts w:eastAsia="Calibri" w:cstheme="minorHAnsi"/>
                <w:sz w:val="20"/>
                <w:szCs w:val="20"/>
              </w:rPr>
              <w:t xml:space="preserve">Male 80 </w:t>
            </w:r>
            <w:proofErr w:type="spellStart"/>
            <w:r w:rsidRPr="00C71C83">
              <w:rPr>
                <w:rFonts w:eastAsia="Calibri" w:cstheme="minorHAnsi"/>
                <w:sz w:val="20"/>
                <w:szCs w:val="20"/>
              </w:rPr>
              <w:t>mRs</w:t>
            </w:r>
            <w:proofErr w:type="spellEnd"/>
            <w:r w:rsidRPr="00C71C83">
              <w:rPr>
                <w:rFonts w:eastAsia="Calibri" w:cstheme="minorHAnsi"/>
                <w:sz w:val="20"/>
                <w:szCs w:val="20"/>
              </w:rPr>
              <w:t xml:space="preserve"> 5 </w:t>
            </w:r>
          </w:p>
        </w:tc>
        <w:tc>
          <w:tcPr>
            <w:tcW w:w="1376" w:type="dxa"/>
            <w:tcBorders>
              <w:top w:val="single" w:sz="8" w:space="0" w:color="auto"/>
              <w:left w:val="single" w:sz="8" w:space="0" w:color="auto"/>
              <w:bottom w:val="single" w:sz="4" w:space="0" w:color="auto"/>
              <w:right w:val="single" w:sz="8" w:space="0" w:color="auto"/>
            </w:tcBorders>
          </w:tcPr>
          <w:p w14:paraId="0E8FB677" w14:textId="325E8BD3" w:rsidR="007B2CA6" w:rsidRPr="00C71C83" w:rsidRDefault="007B2CA6" w:rsidP="007B2CA6">
            <w:pPr>
              <w:spacing w:line="240" w:lineRule="auto"/>
              <w:jc w:val="right"/>
              <w:rPr>
                <w:rFonts w:cstheme="minorHAnsi"/>
                <w:sz w:val="20"/>
                <w:szCs w:val="20"/>
              </w:rPr>
            </w:pPr>
            <w:r w:rsidRPr="00C71C83">
              <w:rPr>
                <w:rFonts w:eastAsia="Calibri" w:cstheme="minorHAnsi"/>
                <w:sz w:val="20"/>
                <w:szCs w:val="20"/>
              </w:rPr>
              <w:t xml:space="preserve">0.55 (0.23 to 1.11) </w:t>
            </w:r>
          </w:p>
        </w:tc>
        <w:tc>
          <w:tcPr>
            <w:tcW w:w="1260" w:type="dxa"/>
            <w:tcBorders>
              <w:top w:val="single" w:sz="4" w:space="0" w:color="auto"/>
              <w:left w:val="nil"/>
              <w:bottom w:val="single" w:sz="4" w:space="0" w:color="auto"/>
              <w:right w:val="single" w:sz="4" w:space="0" w:color="auto"/>
            </w:tcBorders>
            <w:shd w:val="clear" w:color="auto" w:fill="auto"/>
            <w:vAlign w:val="bottom"/>
          </w:tcPr>
          <w:p w14:paraId="3A0FAF7F" w14:textId="2E88B151"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0.48</w:t>
            </w:r>
          </w:p>
        </w:tc>
        <w:tc>
          <w:tcPr>
            <w:tcW w:w="1091" w:type="dxa"/>
            <w:tcBorders>
              <w:top w:val="single" w:sz="4" w:space="0" w:color="auto"/>
              <w:left w:val="single" w:sz="4" w:space="0" w:color="auto"/>
              <w:bottom w:val="single" w:sz="4" w:space="0" w:color="auto"/>
              <w:right w:val="single" w:sz="4" w:space="0" w:color="auto"/>
            </w:tcBorders>
            <w:shd w:val="clear" w:color="auto" w:fill="auto"/>
            <w:vAlign w:val="bottom"/>
          </w:tcPr>
          <w:p w14:paraId="28A8DAAC" w14:textId="2812AE68"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6.45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bottom"/>
          </w:tcPr>
          <w:p w14:paraId="3D2AFA4B" w14:textId="3F80FD08"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0.65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2DE9A0C9" w14:textId="267BF10B"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0.87</w:t>
            </w:r>
          </w:p>
        </w:tc>
        <w:tc>
          <w:tcPr>
            <w:tcW w:w="992" w:type="dxa"/>
            <w:tcBorders>
              <w:top w:val="single" w:sz="4" w:space="0" w:color="auto"/>
              <w:left w:val="single" w:sz="4" w:space="0" w:color="auto"/>
              <w:bottom w:val="single" w:sz="4" w:space="0" w:color="auto"/>
              <w:right w:val="single" w:sz="4" w:space="0" w:color="auto"/>
            </w:tcBorders>
            <w:shd w:val="clear" w:color="auto" w:fill="auto"/>
            <w:vAlign w:val="bottom"/>
          </w:tcPr>
          <w:p w14:paraId="67217267" w14:textId="1C2F4EF0"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11.73</w:t>
            </w:r>
          </w:p>
        </w:tc>
        <w:tc>
          <w:tcPr>
            <w:tcW w:w="1034" w:type="dxa"/>
            <w:tcBorders>
              <w:top w:val="single" w:sz="4" w:space="0" w:color="auto"/>
              <w:left w:val="single" w:sz="4" w:space="0" w:color="auto"/>
              <w:bottom w:val="single" w:sz="4" w:space="0" w:color="auto"/>
              <w:right w:val="single" w:sz="4" w:space="0" w:color="auto"/>
            </w:tcBorders>
            <w:shd w:val="clear" w:color="auto" w:fill="auto"/>
            <w:vAlign w:val="bottom"/>
          </w:tcPr>
          <w:p w14:paraId="1A881E03" w14:textId="741DD330"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1.18</w:t>
            </w:r>
          </w:p>
        </w:tc>
      </w:tr>
      <w:tr w:rsidR="007B2CA6" w:rsidRPr="00C71C83" w14:paraId="6C4CF54F" w14:textId="77777777" w:rsidTr="007B2CA6">
        <w:tc>
          <w:tcPr>
            <w:tcW w:w="1466" w:type="dxa"/>
            <w:tcBorders>
              <w:top w:val="single" w:sz="8" w:space="0" w:color="auto"/>
              <w:left w:val="single" w:sz="8" w:space="0" w:color="auto"/>
              <w:bottom w:val="single" w:sz="8" w:space="0" w:color="auto"/>
              <w:right w:val="single" w:sz="8" w:space="0" w:color="auto"/>
            </w:tcBorders>
          </w:tcPr>
          <w:p w14:paraId="234A7CBC" w14:textId="7F1924C5" w:rsidR="007B2CA6" w:rsidRPr="00C71C83" w:rsidRDefault="007B2CA6" w:rsidP="007B2CA6">
            <w:pPr>
              <w:spacing w:line="240" w:lineRule="auto"/>
              <w:rPr>
                <w:rFonts w:cstheme="minorHAnsi"/>
                <w:sz w:val="20"/>
                <w:szCs w:val="20"/>
              </w:rPr>
            </w:pPr>
            <w:r w:rsidRPr="00C71C83">
              <w:rPr>
                <w:rFonts w:eastAsia="Calibri" w:cstheme="minorHAnsi"/>
                <w:sz w:val="20"/>
                <w:szCs w:val="20"/>
              </w:rPr>
              <w:t xml:space="preserve">Male 73 </w:t>
            </w:r>
            <w:proofErr w:type="spellStart"/>
            <w:r w:rsidRPr="00C71C83">
              <w:rPr>
                <w:rFonts w:eastAsia="Calibri" w:cstheme="minorHAnsi"/>
                <w:sz w:val="20"/>
                <w:szCs w:val="20"/>
              </w:rPr>
              <w:t>mRs</w:t>
            </w:r>
            <w:proofErr w:type="spellEnd"/>
            <w:r w:rsidRPr="00C71C83">
              <w:rPr>
                <w:rFonts w:eastAsia="Calibri" w:cstheme="minorHAnsi"/>
                <w:sz w:val="20"/>
                <w:szCs w:val="20"/>
              </w:rPr>
              <w:t xml:space="preserve"> 2 </w:t>
            </w:r>
          </w:p>
        </w:tc>
        <w:tc>
          <w:tcPr>
            <w:tcW w:w="1376" w:type="dxa"/>
            <w:tcBorders>
              <w:top w:val="single" w:sz="4" w:space="0" w:color="auto"/>
              <w:left w:val="single" w:sz="8" w:space="0" w:color="auto"/>
              <w:bottom w:val="single" w:sz="8" w:space="0" w:color="auto"/>
              <w:right w:val="single" w:sz="8" w:space="0" w:color="auto"/>
            </w:tcBorders>
          </w:tcPr>
          <w:p w14:paraId="7A678581" w14:textId="3E8E0A1F" w:rsidR="007B2CA6" w:rsidRPr="00C71C83" w:rsidRDefault="007B2CA6" w:rsidP="007B2CA6">
            <w:pPr>
              <w:spacing w:line="240" w:lineRule="auto"/>
              <w:jc w:val="right"/>
              <w:rPr>
                <w:rFonts w:cstheme="minorHAnsi"/>
                <w:sz w:val="20"/>
                <w:szCs w:val="20"/>
              </w:rPr>
            </w:pPr>
            <w:r w:rsidRPr="00C71C83">
              <w:rPr>
                <w:rFonts w:eastAsia="Calibri" w:cstheme="minorHAnsi"/>
                <w:sz w:val="20"/>
                <w:szCs w:val="20"/>
              </w:rPr>
              <w:t xml:space="preserve">5.69 (3.22 to 7.75) </w:t>
            </w:r>
          </w:p>
        </w:tc>
        <w:tc>
          <w:tcPr>
            <w:tcW w:w="1260" w:type="dxa"/>
            <w:tcBorders>
              <w:top w:val="single" w:sz="4" w:space="0" w:color="auto"/>
              <w:left w:val="nil"/>
              <w:bottom w:val="single" w:sz="4" w:space="0" w:color="auto"/>
              <w:right w:val="single" w:sz="4" w:space="0" w:color="auto"/>
            </w:tcBorders>
            <w:shd w:val="clear" w:color="auto" w:fill="auto"/>
            <w:vAlign w:val="bottom"/>
          </w:tcPr>
          <w:p w14:paraId="198F4F6F" w14:textId="5C0D953C"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3.8</w:t>
            </w:r>
          </w:p>
        </w:tc>
        <w:tc>
          <w:tcPr>
            <w:tcW w:w="1091" w:type="dxa"/>
            <w:tcBorders>
              <w:top w:val="single" w:sz="4" w:space="0" w:color="auto"/>
              <w:left w:val="single" w:sz="4" w:space="0" w:color="auto"/>
              <w:bottom w:val="single" w:sz="4" w:space="0" w:color="auto"/>
              <w:right w:val="single" w:sz="4" w:space="0" w:color="auto"/>
            </w:tcBorders>
            <w:shd w:val="clear" w:color="auto" w:fill="auto"/>
            <w:vAlign w:val="bottom"/>
          </w:tcPr>
          <w:p w14:paraId="442BBD04" w14:textId="29DA092E"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20.22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bottom"/>
          </w:tcPr>
          <w:p w14:paraId="4E2345A7" w14:textId="690DA446"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1.84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25B4856F" w14:textId="0AB142D5"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0.67</w:t>
            </w:r>
          </w:p>
        </w:tc>
        <w:tc>
          <w:tcPr>
            <w:tcW w:w="992" w:type="dxa"/>
            <w:tcBorders>
              <w:top w:val="single" w:sz="4" w:space="0" w:color="auto"/>
              <w:left w:val="single" w:sz="4" w:space="0" w:color="auto"/>
              <w:bottom w:val="single" w:sz="4" w:space="0" w:color="auto"/>
              <w:right w:val="single" w:sz="4" w:space="0" w:color="auto"/>
            </w:tcBorders>
            <w:shd w:val="clear" w:color="auto" w:fill="auto"/>
            <w:vAlign w:val="bottom"/>
          </w:tcPr>
          <w:p w14:paraId="1F70B39C" w14:textId="1C9825E5"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3.55</w:t>
            </w:r>
          </w:p>
        </w:tc>
        <w:tc>
          <w:tcPr>
            <w:tcW w:w="1034" w:type="dxa"/>
            <w:tcBorders>
              <w:top w:val="single" w:sz="4" w:space="0" w:color="auto"/>
              <w:left w:val="single" w:sz="4" w:space="0" w:color="auto"/>
              <w:bottom w:val="single" w:sz="4" w:space="0" w:color="auto"/>
              <w:right w:val="single" w:sz="4" w:space="0" w:color="auto"/>
            </w:tcBorders>
            <w:shd w:val="clear" w:color="auto" w:fill="auto"/>
            <w:vAlign w:val="bottom"/>
          </w:tcPr>
          <w:p w14:paraId="03CC2AE6" w14:textId="591D0155"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0.32</w:t>
            </w:r>
          </w:p>
        </w:tc>
      </w:tr>
      <w:tr w:rsidR="007B2CA6" w:rsidRPr="00C71C83" w14:paraId="7E44DFE6" w14:textId="77777777" w:rsidTr="007B2CA6">
        <w:tc>
          <w:tcPr>
            <w:tcW w:w="1466" w:type="dxa"/>
            <w:tcBorders>
              <w:top w:val="single" w:sz="8" w:space="0" w:color="auto"/>
              <w:left w:val="single" w:sz="8" w:space="0" w:color="auto"/>
              <w:bottom w:val="single" w:sz="8" w:space="0" w:color="auto"/>
              <w:right w:val="single" w:sz="8" w:space="0" w:color="auto"/>
            </w:tcBorders>
          </w:tcPr>
          <w:p w14:paraId="683A44DA" w14:textId="1F357B3A" w:rsidR="007B2CA6" w:rsidRPr="00C71C83" w:rsidRDefault="007B2CA6" w:rsidP="007B2CA6">
            <w:pPr>
              <w:spacing w:line="240" w:lineRule="auto"/>
              <w:rPr>
                <w:rFonts w:eastAsia="Calibri" w:cstheme="minorHAnsi"/>
                <w:sz w:val="20"/>
                <w:szCs w:val="20"/>
              </w:rPr>
            </w:pPr>
            <w:r w:rsidRPr="00C71C83">
              <w:rPr>
                <w:rFonts w:eastAsia="Calibri" w:cstheme="minorHAnsi"/>
                <w:sz w:val="20"/>
                <w:szCs w:val="20"/>
              </w:rPr>
              <w:t xml:space="preserve">Female 76 </w:t>
            </w:r>
            <w:proofErr w:type="spellStart"/>
            <w:r w:rsidRPr="00C71C83">
              <w:rPr>
                <w:rFonts w:eastAsia="Calibri" w:cstheme="minorHAnsi"/>
                <w:sz w:val="20"/>
                <w:szCs w:val="20"/>
              </w:rPr>
              <w:t>mRs</w:t>
            </w:r>
            <w:proofErr w:type="spellEnd"/>
            <w:r w:rsidRPr="00C71C83">
              <w:rPr>
                <w:rFonts w:eastAsia="Calibri" w:cstheme="minorHAnsi"/>
                <w:sz w:val="20"/>
                <w:szCs w:val="20"/>
              </w:rPr>
              <w:t xml:space="preserve"> 4</w:t>
            </w:r>
          </w:p>
        </w:tc>
        <w:tc>
          <w:tcPr>
            <w:tcW w:w="1376" w:type="dxa"/>
            <w:tcBorders>
              <w:top w:val="single" w:sz="8" w:space="0" w:color="auto"/>
              <w:left w:val="single" w:sz="8" w:space="0" w:color="auto"/>
              <w:bottom w:val="single" w:sz="8" w:space="0" w:color="auto"/>
              <w:right w:val="single" w:sz="8" w:space="0" w:color="auto"/>
            </w:tcBorders>
          </w:tcPr>
          <w:p w14:paraId="05136006" w14:textId="6A171613" w:rsidR="007B2CA6" w:rsidRPr="00C71C83" w:rsidRDefault="007B2CA6" w:rsidP="007B2CA6">
            <w:pPr>
              <w:spacing w:line="240" w:lineRule="auto"/>
              <w:jc w:val="right"/>
              <w:rPr>
                <w:rFonts w:eastAsia="Calibri" w:cstheme="minorHAnsi"/>
                <w:sz w:val="20"/>
                <w:szCs w:val="20"/>
              </w:rPr>
            </w:pPr>
            <w:r w:rsidRPr="00C71C83">
              <w:rPr>
                <w:rFonts w:eastAsia="Calibri" w:cstheme="minorHAnsi"/>
                <w:sz w:val="20"/>
                <w:szCs w:val="20"/>
              </w:rPr>
              <w:t>2.00 (0.69 to 3.43)</w:t>
            </w:r>
          </w:p>
        </w:tc>
        <w:tc>
          <w:tcPr>
            <w:tcW w:w="1260" w:type="dxa"/>
            <w:tcBorders>
              <w:top w:val="single" w:sz="4" w:space="0" w:color="auto"/>
              <w:left w:val="nil"/>
              <w:bottom w:val="single" w:sz="4" w:space="0" w:color="auto"/>
              <w:right w:val="single" w:sz="4" w:space="0" w:color="auto"/>
            </w:tcBorders>
            <w:shd w:val="clear" w:color="auto" w:fill="auto"/>
            <w:vAlign w:val="bottom"/>
          </w:tcPr>
          <w:p w14:paraId="4B056EE9" w14:textId="58758BFD"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1.24</w:t>
            </w:r>
          </w:p>
        </w:tc>
        <w:tc>
          <w:tcPr>
            <w:tcW w:w="1091" w:type="dxa"/>
            <w:tcBorders>
              <w:top w:val="single" w:sz="4" w:space="0" w:color="auto"/>
              <w:left w:val="single" w:sz="4" w:space="0" w:color="auto"/>
              <w:bottom w:val="single" w:sz="4" w:space="0" w:color="auto"/>
              <w:right w:val="single" w:sz="4" w:space="0" w:color="auto"/>
            </w:tcBorders>
            <w:shd w:val="clear" w:color="auto" w:fill="auto"/>
            <w:vAlign w:val="bottom"/>
          </w:tcPr>
          <w:p w14:paraId="6AA3E728" w14:textId="7886799F"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20.19</w:t>
            </w:r>
          </w:p>
        </w:tc>
        <w:tc>
          <w:tcPr>
            <w:tcW w:w="992" w:type="dxa"/>
            <w:tcBorders>
              <w:top w:val="single" w:sz="4" w:space="0" w:color="auto"/>
              <w:left w:val="single" w:sz="4" w:space="0" w:color="auto"/>
              <w:bottom w:val="single" w:sz="4" w:space="0" w:color="auto"/>
              <w:right w:val="single" w:sz="4" w:space="0" w:color="auto"/>
            </w:tcBorders>
            <w:shd w:val="clear" w:color="auto" w:fill="auto"/>
            <w:vAlign w:val="bottom"/>
          </w:tcPr>
          <w:p w14:paraId="3B836F17" w14:textId="20162EBD"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0.34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08145D6D" w14:textId="63066B50"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0.62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bottom"/>
          </w:tcPr>
          <w:p w14:paraId="2F46AFDB" w14:textId="7663C0AE"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10.05</w:t>
            </w:r>
          </w:p>
        </w:tc>
        <w:tc>
          <w:tcPr>
            <w:tcW w:w="1034" w:type="dxa"/>
            <w:tcBorders>
              <w:top w:val="single" w:sz="4" w:space="0" w:color="auto"/>
              <w:left w:val="single" w:sz="4" w:space="0" w:color="auto"/>
              <w:bottom w:val="single" w:sz="4" w:space="0" w:color="auto"/>
              <w:right w:val="single" w:sz="4" w:space="0" w:color="auto"/>
            </w:tcBorders>
            <w:shd w:val="clear" w:color="auto" w:fill="auto"/>
            <w:vAlign w:val="bottom"/>
          </w:tcPr>
          <w:p w14:paraId="567B2829" w14:textId="1CE7CA0E"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0.17</w:t>
            </w:r>
          </w:p>
        </w:tc>
      </w:tr>
      <w:tr w:rsidR="007B2CA6" w:rsidRPr="00C71C83" w14:paraId="6EC3862C" w14:textId="77777777" w:rsidTr="007B2CA6">
        <w:tc>
          <w:tcPr>
            <w:tcW w:w="1466" w:type="dxa"/>
            <w:tcBorders>
              <w:top w:val="single" w:sz="8" w:space="0" w:color="auto"/>
              <w:left w:val="single" w:sz="8" w:space="0" w:color="auto"/>
              <w:bottom w:val="single" w:sz="8" w:space="0" w:color="auto"/>
              <w:right w:val="single" w:sz="8" w:space="0" w:color="auto"/>
            </w:tcBorders>
          </w:tcPr>
          <w:p w14:paraId="2C9B6A86" w14:textId="1E1505D7" w:rsidR="007B2CA6" w:rsidRPr="00C71C83" w:rsidRDefault="007B2CA6" w:rsidP="007B2CA6">
            <w:pPr>
              <w:spacing w:line="240" w:lineRule="auto"/>
              <w:rPr>
                <w:rFonts w:eastAsia="Calibri" w:cstheme="minorHAnsi"/>
                <w:sz w:val="20"/>
                <w:szCs w:val="20"/>
              </w:rPr>
            </w:pPr>
            <w:r w:rsidRPr="00C71C83">
              <w:rPr>
                <w:rFonts w:eastAsia="Calibri" w:cstheme="minorHAnsi"/>
                <w:sz w:val="20"/>
                <w:szCs w:val="20"/>
              </w:rPr>
              <w:t xml:space="preserve">Male 66 </w:t>
            </w:r>
            <w:proofErr w:type="spellStart"/>
            <w:r w:rsidRPr="00C71C83">
              <w:rPr>
                <w:rFonts w:eastAsia="Calibri" w:cstheme="minorHAnsi"/>
                <w:sz w:val="20"/>
                <w:szCs w:val="20"/>
              </w:rPr>
              <w:t>mRs</w:t>
            </w:r>
            <w:proofErr w:type="spellEnd"/>
            <w:r w:rsidRPr="00C71C83">
              <w:rPr>
                <w:rFonts w:eastAsia="Calibri" w:cstheme="minorHAnsi"/>
                <w:sz w:val="20"/>
                <w:szCs w:val="20"/>
              </w:rPr>
              <w:t xml:space="preserve"> 5</w:t>
            </w:r>
          </w:p>
        </w:tc>
        <w:tc>
          <w:tcPr>
            <w:tcW w:w="1376" w:type="dxa"/>
            <w:tcBorders>
              <w:top w:val="single" w:sz="8" w:space="0" w:color="auto"/>
              <w:left w:val="single" w:sz="8" w:space="0" w:color="auto"/>
              <w:bottom w:val="single" w:sz="8" w:space="0" w:color="auto"/>
              <w:right w:val="single" w:sz="8" w:space="0" w:color="auto"/>
            </w:tcBorders>
          </w:tcPr>
          <w:p w14:paraId="181809B4" w14:textId="300E03E4" w:rsidR="007B2CA6" w:rsidRPr="00C71C83" w:rsidRDefault="007B2CA6" w:rsidP="007B2CA6">
            <w:pPr>
              <w:spacing w:line="240" w:lineRule="auto"/>
              <w:jc w:val="right"/>
              <w:rPr>
                <w:rFonts w:eastAsia="Calibri" w:cstheme="minorHAnsi"/>
                <w:sz w:val="20"/>
                <w:szCs w:val="20"/>
              </w:rPr>
            </w:pPr>
            <w:r w:rsidRPr="00C71C83">
              <w:rPr>
                <w:rFonts w:eastAsia="Calibri" w:cstheme="minorHAnsi"/>
                <w:sz w:val="20"/>
                <w:szCs w:val="20"/>
              </w:rPr>
              <w:t>1.01 (0.42 to 3.05)</w:t>
            </w:r>
          </w:p>
        </w:tc>
        <w:tc>
          <w:tcPr>
            <w:tcW w:w="1260" w:type="dxa"/>
            <w:tcBorders>
              <w:top w:val="single" w:sz="4" w:space="0" w:color="auto"/>
              <w:left w:val="nil"/>
              <w:bottom w:val="single" w:sz="4" w:space="0" w:color="auto"/>
              <w:right w:val="single" w:sz="4" w:space="0" w:color="auto"/>
            </w:tcBorders>
            <w:shd w:val="clear" w:color="auto" w:fill="auto"/>
            <w:vAlign w:val="bottom"/>
          </w:tcPr>
          <w:p w14:paraId="2C1CA7B9" w14:textId="72CD416D"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0.83</w:t>
            </w:r>
          </w:p>
        </w:tc>
        <w:tc>
          <w:tcPr>
            <w:tcW w:w="1091" w:type="dxa"/>
            <w:tcBorders>
              <w:top w:val="single" w:sz="4" w:space="0" w:color="auto"/>
              <w:left w:val="single" w:sz="4" w:space="0" w:color="auto"/>
              <w:bottom w:val="single" w:sz="4" w:space="0" w:color="auto"/>
              <w:right w:val="single" w:sz="4" w:space="0" w:color="auto"/>
            </w:tcBorders>
            <w:shd w:val="clear" w:color="auto" w:fill="auto"/>
            <w:vAlign w:val="bottom"/>
          </w:tcPr>
          <w:p w14:paraId="20F85847" w14:textId="7B9C0886"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8.05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bottom"/>
          </w:tcPr>
          <w:p w14:paraId="7E21E549" w14:textId="142577FD"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0.97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08D08CDE" w14:textId="2BE40539"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0.82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bottom"/>
          </w:tcPr>
          <w:p w14:paraId="775DAEE0" w14:textId="27F0DF1B"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7.97</w:t>
            </w:r>
          </w:p>
        </w:tc>
        <w:tc>
          <w:tcPr>
            <w:tcW w:w="1034" w:type="dxa"/>
            <w:tcBorders>
              <w:top w:val="single" w:sz="4" w:space="0" w:color="auto"/>
              <w:left w:val="single" w:sz="4" w:space="0" w:color="auto"/>
              <w:bottom w:val="single" w:sz="4" w:space="0" w:color="auto"/>
              <w:right w:val="single" w:sz="4" w:space="0" w:color="auto"/>
            </w:tcBorders>
            <w:shd w:val="clear" w:color="auto" w:fill="auto"/>
            <w:vAlign w:val="bottom"/>
          </w:tcPr>
          <w:p w14:paraId="768E653A" w14:textId="7FAACC48"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0.96</w:t>
            </w:r>
          </w:p>
        </w:tc>
      </w:tr>
      <w:tr w:rsidR="007B2CA6" w:rsidRPr="00C71C83" w14:paraId="0B1E1493" w14:textId="77777777" w:rsidTr="007B2CA6">
        <w:tc>
          <w:tcPr>
            <w:tcW w:w="1466" w:type="dxa"/>
            <w:tcBorders>
              <w:top w:val="single" w:sz="8" w:space="0" w:color="auto"/>
              <w:left w:val="single" w:sz="8" w:space="0" w:color="auto"/>
              <w:bottom w:val="single" w:sz="8" w:space="0" w:color="auto"/>
              <w:right w:val="single" w:sz="8" w:space="0" w:color="auto"/>
            </w:tcBorders>
          </w:tcPr>
          <w:p w14:paraId="56659CCC" w14:textId="0CD41F68" w:rsidR="007B2CA6" w:rsidRPr="00C71C83" w:rsidRDefault="007B2CA6" w:rsidP="007B2CA6">
            <w:pPr>
              <w:spacing w:line="240" w:lineRule="auto"/>
              <w:rPr>
                <w:rFonts w:eastAsia="Calibri" w:cstheme="minorHAnsi"/>
                <w:sz w:val="20"/>
                <w:szCs w:val="20"/>
              </w:rPr>
            </w:pPr>
            <w:r w:rsidRPr="00C71C83">
              <w:rPr>
                <w:rFonts w:eastAsia="Calibri" w:cstheme="minorHAnsi"/>
                <w:sz w:val="20"/>
                <w:szCs w:val="20"/>
              </w:rPr>
              <w:t xml:space="preserve">Female 68 </w:t>
            </w:r>
            <w:proofErr w:type="spellStart"/>
            <w:r w:rsidRPr="00C71C83">
              <w:rPr>
                <w:rFonts w:eastAsia="Calibri" w:cstheme="minorHAnsi"/>
                <w:sz w:val="20"/>
                <w:szCs w:val="20"/>
              </w:rPr>
              <w:t>mRs</w:t>
            </w:r>
            <w:proofErr w:type="spellEnd"/>
            <w:r w:rsidRPr="00C71C83">
              <w:rPr>
                <w:rFonts w:eastAsia="Calibri" w:cstheme="minorHAnsi"/>
                <w:sz w:val="20"/>
                <w:szCs w:val="20"/>
              </w:rPr>
              <w:t xml:space="preserve"> 0</w:t>
            </w:r>
          </w:p>
        </w:tc>
        <w:tc>
          <w:tcPr>
            <w:tcW w:w="1376" w:type="dxa"/>
            <w:tcBorders>
              <w:top w:val="single" w:sz="8" w:space="0" w:color="auto"/>
              <w:left w:val="single" w:sz="8" w:space="0" w:color="auto"/>
              <w:bottom w:val="single" w:sz="8" w:space="0" w:color="auto"/>
              <w:right w:val="single" w:sz="8" w:space="0" w:color="auto"/>
            </w:tcBorders>
          </w:tcPr>
          <w:p w14:paraId="5B47E544" w14:textId="1C6A0B99" w:rsidR="007B2CA6" w:rsidRPr="00C71C83" w:rsidRDefault="007B2CA6" w:rsidP="007B2CA6">
            <w:pPr>
              <w:spacing w:line="240" w:lineRule="auto"/>
              <w:jc w:val="right"/>
              <w:rPr>
                <w:rFonts w:eastAsia="Calibri" w:cstheme="minorHAnsi"/>
                <w:sz w:val="20"/>
                <w:szCs w:val="20"/>
              </w:rPr>
            </w:pPr>
            <w:r w:rsidRPr="00C71C83">
              <w:rPr>
                <w:rFonts w:eastAsia="Calibri" w:cstheme="minorHAnsi"/>
                <w:sz w:val="20"/>
                <w:szCs w:val="20"/>
              </w:rPr>
              <w:t>12.62 (7.94 to 16.02)</w:t>
            </w:r>
          </w:p>
        </w:tc>
        <w:tc>
          <w:tcPr>
            <w:tcW w:w="1260" w:type="dxa"/>
            <w:tcBorders>
              <w:top w:val="single" w:sz="4" w:space="0" w:color="auto"/>
              <w:left w:val="nil"/>
              <w:bottom w:val="single" w:sz="4" w:space="0" w:color="auto"/>
              <w:right w:val="single" w:sz="4" w:space="0" w:color="auto"/>
            </w:tcBorders>
            <w:shd w:val="clear" w:color="auto" w:fill="auto"/>
            <w:vAlign w:val="bottom"/>
          </w:tcPr>
          <w:p w14:paraId="4EBFCEA9" w14:textId="46E093CC"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7.47</w:t>
            </w:r>
          </w:p>
        </w:tc>
        <w:tc>
          <w:tcPr>
            <w:tcW w:w="1091" w:type="dxa"/>
            <w:tcBorders>
              <w:top w:val="single" w:sz="4" w:space="0" w:color="auto"/>
              <w:left w:val="single" w:sz="4" w:space="0" w:color="auto"/>
              <w:bottom w:val="single" w:sz="4" w:space="0" w:color="auto"/>
              <w:right w:val="single" w:sz="4" w:space="0" w:color="auto"/>
            </w:tcBorders>
            <w:shd w:val="clear" w:color="auto" w:fill="auto"/>
            <w:vAlign w:val="bottom"/>
          </w:tcPr>
          <w:p w14:paraId="67A80BC9" w14:textId="0940E225"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24.07</w:t>
            </w:r>
          </w:p>
        </w:tc>
        <w:tc>
          <w:tcPr>
            <w:tcW w:w="992" w:type="dxa"/>
            <w:tcBorders>
              <w:top w:val="single" w:sz="4" w:space="0" w:color="auto"/>
              <w:left w:val="single" w:sz="4" w:space="0" w:color="auto"/>
              <w:bottom w:val="single" w:sz="4" w:space="0" w:color="auto"/>
              <w:right w:val="single" w:sz="4" w:space="0" w:color="auto"/>
            </w:tcBorders>
            <w:shd w:val="clear" w:color="auto" w:fill="auto"/>
            <w:vAlign w:val="bottom"/>
          </w:tcPr>
          <w:p w14:paraId="7E13AA3F" w14:textId="7125E624"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1.69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13E3A790" w14:textId="032697F8"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0.59</w:t>
            </w:r>
          </w:p>
        </w:tc>
        <w:tc>
          <w:tcPr>
            <w:tcW w:w="992" w:type="dxa"/>
            <w:tcBorders>
              <w:top w:val="single" w:sz="4" w:space="0" w:color="auto"/>
              <w:left w:val="single" w:sz="4" w:space="0" w:color="auto"/>
              <w:bottom w:val="single" w:sz="4" w:space="0" w:color="auto"/>
              <w:right w:val="single" w:sz="4" w:space="0" w:color="auto"/>
            </w:tcBorders>
            <w:shd w:val="clear" w:color="auto" w:fill="auto"/>
            <w:vAlign w:val="bottom"/>
          </w:tcPr>
          <w:p w14:paraId="216092D2" w14:textId="04CC9416"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1.9</w:t>
            </w:r>
          </w:p>
        </w:tc>
        <w:tc>
          <w:tcPr>
            <w:tcW w:w="1034" w:type="dxa"/>
            <w:tcBorders>
              <w:top w:val="single" w:sz="4" w:space="0" w:color="auto"/>
              <w:left w:val="single" w:sz="4" w:space="0" w:color="auto"/>
              <w:bottom w:val="single" w:sz="4" w:space="0" w:color="auto"/>
              <w:right w:val="single" w:sz="4" w:space="0" w:color="auto"/>
            </w:tcBorders>
            <w:shd w:val="clear" w:color="auto" w:fill="auto"/>
            <w:vAlign w:val="bottom"/>
          </w:tcPr>
          <w:p w14:paraId="6E244672" w14:textId="0876323D" w:rsidR="007B2CA6" w:rsidRPr="00C71C83" w:rsidRDefault="007B2CA6" w:rsidP="007B2CA6">
            <w:pPr>
              <w:spacing w:line="240" w:lineRule="auto"/>
              <w:jc w:val="center"/>
              <w:rPr>
                <w:rFonts w:eastAsia="Calibri" w:cstheme="minorHAnsi"/>
                <w:color w:val="000000" w:themeColor="text1"/>
                <w:sz w:val="20"/>
                <w:szCs w:val="20"/>
              </w:rPr>
            </w:pPr>
            <w:r>
              <w:rPr>
                <w:rFonts w:ascii="Calibri" w:hAnsi="Calibri" w:cs="Calibri"/>
                <w:color w:val="000000"/>
              </w:rPr>
              <w:t>0.13</w:t>
            </w:r>
          </w:p>
        </w:tc>
      </w:tr>
    </w:tbl>
    <w:p w14:paraId="6F5265B9" w14:textId="605DF326" w:rsidR="00E32317" w:rsidRDefault="00E32317" w:rsidP="0FE9BE9B"/>
    <w:p w14:paraId="0F45D199" w14:textId="163BFD71" w:rsidR="00AC5AC0" w:rsidRPr="00B752B9" w:rsidRDefault="00FA71BC" w:rsidP="0FE9BE9B">
      <w:r>
        <w:t xml:space="preserve">It is also possible to use the equations to estimate the lifetime consequences of improvements or deterioration in </w:t>
      </w:r>
      <w:proofErr w:type="spellStart"/>
      <w:r>
        <w:t>mRS</w:t>
      </w:r>
      <w:proofErr w:type="spellEnd"/>
      <w:r>
        <w:t xml:space="preserve">.  We do this using the following financial costs £137 for an A&amp;E Attendance, £444 for elective bad day and £500 for a non-elective bed day [REF?].  We also </w:t>
      </w:r>
      <w:r w:rsidR="00CB21AE">
        <w:t>assume</w:t>
      </w:r>
      <w:r>
        <w:t xml:space="preserve"> (based on our data that X% of </w:t>
      </w:r>
      <w:proofErr w:type="spellStart"/>
      <w:r>
        <w:t>mRs</w:t>
      </w:r>
      <w:proofErr w:type="spellEnd"/>
      <w:r w:rsidR="00CB21AE">
        <w:t xml:space="preserve">, y% of </w:t>
      </w:r>
      <w:proofErr w:type="spellStart"/>
      <w:r w:rsidR="00CB21AE">
        <w:t>mRS</w:t>
      </w:r>
      <w:proofErr w:type="spellEnd"/>
      <w:r w:rsidR="00CB21AE">
        <w:t xml:space="preserve"> are discharged to long term nursing care and 95% of these people remain there for the rest </w:t>
      </w:r>
      <w:r w:rsidR="00CB21AE" w:rsidRPr="00FB4E21">
        <w:t>of their lives.</w:t>
      </w:r>
      <w:r w:rsidRPr="00FB4E21">
        <w:t xml:space="preserve"> </w:t>
      </w:r>
      <w:r w:rsidR="00904C2E" w:rsidRPr="00FB4E21">
        <w:t xml:space="preserve">Utilities to derive QALYS from life expectancy and </w:t>
      </w:r>
      <w:proofErr w:type="spellStart"/>
      <w:r w:rsidR="00904C2E" w:rsidRPr="00FB4E21">
        <w:t>mRS</w:t>
      </w:r>
      <w:proofErr w:type="spellEnd"/>
      <w:r w:rsidR="00904C2E" w:rsidRPr="00FB4E21">
        <w:t xml:space="preserve"> </w:t>
      </w:r>
      <w:r w:rsidR="001C2EE2" w:rsidRPr="00FB4E21">
        <w:t>(0 = 0.95,</w:t>
      </w:r>
      <w:r w:rsidR="00842901" w:rsidRPr="00FB4E21">
        <w:t xml:space="preserve"> 1</w:t>
      </w:r>
      <w:r w:rsidR="001C2EE2" w:rsidRPr="00FB4E21">
        <w:t xml:space="preserve"> = 0.93, 2 = 0.83, 3 = 0.62, 4=0.42, 5 = </w:t>
      </w:r>
      <w:proofErr w:type="gramStart"/>
      <w:r w:rsidR="001C2EE2" w:rsidRPr="00FB4E21">
        <w:t>0.11 )</w:t>
      </w:r>
      <w:proofErr w:type="gramEnd"/>
      <w:r w:rsidR="001C2EE2" w:rsidRPr="00FB4E21">
        <w:rPr>
          <w:rStyle w:val="EndnoteReference"/>
        </w:rPr>
        <w:endnoteReference w:id="4"/>
      </w:r>
      <w:r w:rsidR="00B752B9" w:rsidRPr="00FB4E21">
        <w:t>.</w:t>
      </w:r>
      <w:r w:rsidR="001C2EE2" w:rsidRPr="00FB4E21">
        <w:t xml:space="preserve"> </w:t>
      </w:r>
      <w:r w:rsidR="008C59C7" w:rsidRPr="00FB4E21">
        <w:t xml:space="preserve">  The cost of an A&amp;E admission </w:t>
      </w:r>
      <w:r w:rsidR="00FB4E21" w:rsidRPr="00FB4E21">
        <w:t xml:space="preserve">calculated as an average of all ‘consultant led’ and ‘non consultant led’ A&amp;E admissions from NHS </w:t>
      </w:r>
      <w:r w:rsidR="00572A18">
        <w:t xml:space="preserve">Reference </w:t>
      </w:r>
      <w:proofErr w:type="spellStart"/>
      <w:r w:rsidR="00572A18">
        <w:t>Costs</w:t>
      </w:r>
      <w:r w:rsidR="007B2CA6" w:rsidRPr="007B2CA6">
        <w:rPr>
          <w:vertAlign w:val="superscript"/>
        </w:rPr>
        <w:t>v</w:t>
      </w:r>
      <w:proofErr w:type="spellEnd"/>
      <w:r w:rsidR="00FB4E21" w:rsidRPr="00FB4E21">
        <w:t>.</w:t>
      </w:r>
      <w:r w:rsidR="00B752B9" w:rsidRPr="00FB4E21">
        <w:t xml:space="preserve"> The cost an elective bed day </w:t>
      </w:r>
      <w:r w:rsidR="00B752B9">
        <w:t xml:space="preserve">was taken from the literature and inflated to 2021 </w:t>
      </w:r>
      <w:proofErr w:type="spellStart"/>
      <w:proofErr w:type="gramStart"/>
      <w:r w:rsidR="00B752B9">
        <w:t>prices</w:t>
      </w:r>
      <w:r w:rsidR="007B2CA6" w:rsidRPr="007B2CA6">
        <w:rPr>
          <w:vertAlign w:val="superscript"/>
        </w:rPr>
        <w:t>vi,vii</w:t>
      </w:r>
      <w:proofErr w:type="spellEnd"/>
      <w:r w:rsidR="00B752B9">
        <w:t>.</w:t>
      </w:r>
      <w:proofErr w:type="gramEnd"/>
      <w:r w:rsidR="00B752B9">
        <w:t xml:space="preserve">  The cost </w:t>
      </w:r>
      <w:r w:rsidR="00B752B9">
        <w:lastRenderedPageBreak/>
        <w:t xml:space="preserve">for a non-elective bed day was assumed to be the cost of an elective bed day with a 20% premium. The cost of a residential day was taken from </w:t>
      </w:r>
      <w:r w:rsidR="00B752B9" w:rsidRPr="00B752B9">
        <w:t>Unit Costs of Health and Social Care 2021</w:t>
      </w:r>
      <w:r w:rsidR="00B752B9">
        <w:t xml:space="preserve"> where an average of the weekly cost of a ‘for profit’ and ‘not for profit’ residential care home for an older person was </w:t>
      </w:r>
      <w:proofErr w:type="spellStart"/>
      <w:r w:rsidR="00B752B9">
        <w:t>calculated</w:t>
      </w:r>
      <w:r w:rsidR="007B2CA6" w:rsidRPr="007B2CA6">
        <w:rPr>
          <w:vertAlign w:val="superscript"/>
        </w:rPr>
        <w:t>vii</w:t>
      </w:r>
      <w:proofErr w:type="spellEnd"/>
      <w:r w:rsidR="00B752B9">
        <w:t>.</w:t>
      </w:r>
    </w:p>
    <w:p w14:paraId="06278420" w14:textId="64E74791" w:rsidR="00C71C83" w:rsidRDefault="00C71C83" w:rsidP="0FE9BE9B">
      <w:r>
        <w:t xml:space="preserve">Table 5 </w:t>
      </w:r>
      <w:r w:rsidR="00FF1458">
        <w:t xml:space="preserve">Illustrative </w:t>
      </w:r>
      <w:r>
        <w:t xml:space="preserve">Estimated </w:t>
      </w:r>
      <w:r w:rsidR="00040820">
        <w:t xml:space="preserve">QALY </w:t>
      </w:r>
      <w:r>
        <w:t>Gains</w:t>
      </w:r>
      <w:r w:rsidR="00040820">
        <w:t xml:space="preserve"> and Financial Consequences of</w:t>
      </w:r>
      <w:r>
        <w:t xml:space="preserve"> improved </w:t>
      </w:r>
      <w:proofErr w:type="spellStart"/>
      <w:r>
        <w:t>mRS</w:t>
      </w:r>
      <w:proofErr w:type="spellEnd"/>
    </w:p>
    <w:tbl>
      <w:tblPr>
        <w:tblStyle w:val="TableGrid"/>
        <w:tblW w:w="9185" w:type="dxa"/>
        <w:tblLook w:val="04A0" w:firstRow="1" w:lastRow="0" w:firstColumn="1" w:lastColumn="0" w:noHBand="0" w:noVBand="1"/>
      </w:tblPr>
      <w:tblGrid>
        <w:gridCol w:w="1300"/>
        <w:gridCol w:w="1084"/>
        <w:gridCol w:w="1181"/>
        <w:gridCol w:w="1803"/>
        <w:gridCol w:w="2471"/>
        <w:gridCol w:w="1346"/>
      </w:tblGrid>
      <w:tr w:rsidR="00A65F68" w14:paraId="0518BDD8" w14:textId="77777777" w:rsidTr="00A65F68">
        <w:tc>
          <w:tcPr>
            <w:tcW w:w="1300" w:type="dxa"/>
          </w:tcPr>
          <w:p w14:paraId="6ABAD5EF" w14:textId="7662B1D5" w:rsidR="00A65F68" w:rsidRDefault="00A65F68" w:rsidP="0FE9BE9B">
            <w:r>
              <w:t xml:space="preserve">Patient </w:t>
            </w:r>
          </w:p>
        </w:tc>
        <w:tc>
          <w:tcPr>
            <w:tcW w:w="1084" w:type="dxa"/>
          </w:tcPr>
          <w:p w14:paraId="43092412" w14:textId="4C1063E4" w:rsidR="00A65F68" w:rsidRDefault="00A65F68" w:rsidP="0FE9BE9B">
            <w:r>
              <w:t xml:space="preserve">Old </w:t>
            </w:r>
            <w:proofErr w:type="spellStart"/>
            <w:r>
              <w:t>mRS</w:t>
            </w:r>
            <w:proofErr w:type="spellEnd"/>
          </w:p>
        </w:tc>
        <w:tc>
          <w:tcPr>
            <w:tcW w:w="1181" w:type="dxa"/>
          </w:tcPr>
          <w:p w14:paraId="1CAE24EB" w14:textId="0176BBA4" w:rsidR="00A65F68" w:rsidRDefault="00A65F68" w:rsidP="0FE9BE9B">
            <w:r>
              <w:t xml:space="preserve">New </w:t>
            </w:r>
            <w:proofErr w:type="spellStart"/>
            <w:r>
              <w:t>mRS</w:t>
            </w:r>
            <w:proofErr w:type="spellEnd"/>
          </w:p>
        </w:tc>
        <w:tc>
          <w:tcPr>
            <w:tcW w:w="1803" w:type="dxa"/>
          </w:tcPr>
          <w:p w14:paraId="5FCAFED8" w14:textId="7ACA51C4" w:rsidR="00A65F68" w:rsidRDefault="00A65F68" w:rsidP="0FE9BE9B">
            <w:r>
              <w:t>Additional QALYs</w:t>
            </w:r>
          </w:p>
        </w:tc>
        <w:tc>
          <w:tcPr>
            <w:tcW w:w="2471" w:type="dxa"/>
          </w:tcPr>
          <w:p w14:paraId="099F9C82" w14:textId="51221A5F" w:rsidR="00A65F68" w:rsidRDefault="00A65F68" w:rsidP="0FE9BE9B">
            <w:r>
              <w:t>Change in Resource Use</w:t>
            </w:r>
          </w:p>
        </w:tc>
        <w:tc>
          <w:tcPr>
            <w:tcW w:w="1346" w:type="dxa"/>
          </w:tcPr>
          <w:p w14:paraId="4B43DA41" w14:textId="0B6EF377" w:rsidR="00A65F68" w:rsidRDefault="00A65F68" w:rsidP="0FE9BE9B">
            <w:r>
              <w:t>Net Benefit</w:t>
            </w:r>
          </w:p>
        </w:tc>
      </w:tr>
      <w:tr w:rsidR="00A65F68" w14:paraId="3588AD8B" w14:textId="77777777" w:rsidTr="00A65F68">
        <w:tc>
          <w:tcPr>
            <w:tcW w:w="1300" w:type="dxa"/>
          </w:tcPr>
          <w:p w14:paraId="0B7083ED" w14:textId="31E17636" w:rsidR="00A65F68" w:rsidRDefault="00A65F68" w:rsidP="0FE9BE9B">
            <w:r w:rsidRPr="00C71C83">
              <w:rPr>
                <w:rFonts w:eastAsia="Calibri" w:cstheme="minorHAnsi"/>
                <w:sz w:val="20"/>
                <w:szCs w:val="20"/>
              </w:rPr>
              <w:t xml:space="preserve">Male 73 </w:t>
            </w:r>
          </w:p>
        </w:tc>
        <w:tc>
          <w:tcPr>
            <w:tcW w:w="1084" w:type="dxa"/>
          </w:tcPr>
          <w:p w14:paraId="7D671991" w14:textId="2BD50E67" w:rsidR="00A65F68" w:rsidRDefault="00A65F68" w:rsidP="0FE9BE9B">
            <w:r>
              <w:t>2</w:t>
            </w:r>
          </w:p>
        </w:tc>
        <w:tc>
          <w:tcPr>
            <w:tcW w:w="1181" w:type="dxa"/>
          </w:tcPr>
          <w:p w14:paraId="7681E4E6" w14:textId="50B9A7CC" w:rsidR="00A65F68" w:rsidRDefault="00A65F68" w:rsidP="0FE9BE9B">
            <w:r>
              <w:t>0</w:t>
            </w:r>
          </w:p>
        </w:tc>
        <w:tc>
          <w:tcPr>
            <w:tcW w:w="1803" w:type="dxa"/>
          </w:tcPr>
          <w:p w14:paraId="70374888" w14:textId="5DEBB56C" w:rsidR="00A65F68" w:rsidRDefault="00A65F68" w:rsidP="0FE9BE9B">
            <w:r>
              <w:t>2.57</w:t>
            </w:r>
          </w:p>
        </w:tc>
        <w:tc>
          <w:tcPr>
            <w:tcW w:w="2471" w:type="dxa"/>
          </w:tcPr>
          <w:p w14:paraId="13E688B6" w14:textId="4AD85A1D" w:rsidR="00A65F68" w:rsidRDefault="00572A18" w:rsidP="0FE9BE9B">
            <w:r w:rsidRPr="00254598">
              <w:rPr>
                <w:color w:val="C00000"/>
              </w:rPr>
              <w:t>-225</w:t>
            </w:r>
          </w:p>
        </w:tc>
        <w:tc>
          <w:tcPr>
            <w:tcW w:w="1346" w:type="dxa"/>
          </w:tcPr>
          <w:p w14:paraId="0E1778F9" w14:textId="00DE632C" w:rsidR="00A65F68" w:rsidRPr="00904C2E" w:rsidRDefault="00254598" w:rsidP="0FE9BE9B">
            <w:pPr>
              <w:rPr>
                <w:rFonts w:ascii="Calibri" w:hAnsi="Calibri" w:cs="Calibri"/>
                <w:color w:val="000000"/>
              </w:rPr>
            </w:pPr>
            <w:r>
              <w:rPr>
                <w:rFonts w:ascii="Calibri" w:hAnsi="Calibri" w:cs="Calibri"/>
                <w:color w:val="000000"/>
              </w:rPr>
              <w:t>51,192</w:t>
            </w:r>
          </w:p>
        </w:tc>
      </w:tr>
      <w:tr w:rsidR="00A65F68" w14:paraId="06AF3C74" w14:textId="77777777" w:rsidTr="00A65F68">
        <w:tc>
          <w:tcPr>
            <w:tcW w:w="1300" w:type="dxa"/>
          </w:tcPr>
          <w:p w14:paraId="465A40C6" w14:textId="3635328F" w:rsidR="00A65F68" w:rsidRDefault="00A65F68" w:rsidP="0FE9BE9B">
            <w:r>
              <w:t xml:space="preserve">Female 80 </w:t>
            </w:r>
          </w:p>
        </w:tc>
        <w:tc>
          <w:tcPr>
            <w:tcW w:w="1084" w:type="dxa"/>
          </w:tcPr>
          <w:p w14:paraId="59A472EA" w14:textId="27964077" w:rsidR="00A65F68" w:rsidRDefault="00A65F68" w:rsidP="0FE9BE9B">
            <w:r>
              <w:t>4</w:t>
            </w:r>
          </w:p>
        </w:tc>
        <w:tc>
          <w:tcPr>
            <w:tcW w:w="1181" w:type="dxa"/>
          </w:tcPr>
          <w:p w14:paraId="0F73C626" w14:textId="774CD56B" w:rsidR="00A65F68" w:rsidRDefault="00A65F68" w:rsidP="0FE9BE9B">
            <w:r>
              <w:t>2</w:t>
            </w:r>
          </w:p>
        </w:tc>
        <w:tc>
          <w:tcPr>
            <w:tcW w:w="1803" w:type="dxa"/>
          </w:tcPr>
          <w:p w14:paraId="67854797" w14:textId="64DD0A20" w:rsidR="00A65F68" w:rsidRDefault="00A65F68" w:rsidP="0FE9BE9B">
            <w:r>
              <w:t>2.86</w:t>
            </w:r>
          </w:p>
        </w:tc>
        <w:tc>
          <w:tcPr>
            <w:tcW w:w="2471" w:type="dxa"/>
          </w:tcPr>
          <w:p w14:paraId="7F185700" w14:textId="1AD16881" w:rsidR="00A65F68" w:rsidRPr="00904C2E" w:rsidRDefault="00254598" w:rsidP="0FE9BE9B">
            <w:pPr>
              <w:rPr>
                <w:rFonts w:ascii="Calibri" w:hAnsi="Calibri" w:cs="Calibri"/>
                <w:color w:val="000000"/>
              </w:rPr>
            </w:pPr>
            <w:r>
              <w:rPr>
                <w:rFonts w:ascii="Calibri" w:hAnsi="Calibri" w:cs="Calibri"/>
                <w:color w:val="000000"/>
              </w:rPr>
              <w:t>22,021</w:t>
            </w:r>
          </w:p>
        </w:tc>
        <w:tc>
          <w:tcPr>
            <w:tcW w:w="1346" w:type="dxa"/>
          </w:tcPr>
          <w:p w14:paraId="63CE9176" w14:textId="3BF42FAA" w:rsidR="00A65F68" w:rsidRPr="00904C2E" w:rsidRDefault="00254598" w:rsidP="0FE9BE9B">
            <w:pPr>
              <w:rPr>
                <w:rFonts w:ascii="Calibri" w:hAnsi="Calibri" w:cs="Calibri"/>
                <w:color w:val="000000"/>
              </w:rPr>
            </w:pPr>
            <w:r>
              <w:rPr>
                <w:rFonts w:ascii="Calibri" w:hAnsi="Calibri" w:cs="Calibri"/>
                <w:color w:val="000000"/>
              </w:rPr>
              <w:t>79,214</w:t>
            </w:r>
          </w:p>
        </w:tc>
      </w:tr>
      <w:tr w:rsidR="00A65F68" w14:paraId="202DCC24" w14:textId="77777777" w:rsidTr="00A65F68">
        <w:tc>
          <w:tcPr>
            <w:tcW w:w="1300" w:type="dxa"/>
          </w:tcPr>
          <w:p w14:paraId="16E6E4D3" w14:textId="0771DCED" w:rsidR="00A65F68" w:rsidRDefault="00A65F68" w:rsidP="0FE9BE9B">
            <w:r>
              <w:t xml:space="preserve">Female 65 </w:t>
            </w:r>
          </w:p>
        </w:tc>
        <w:tc>
          <w:tcPr>
            <w:tcW w:w="1084" w:type="dxa"/>
          </w:tcPr>
          <w:p w14:paraId="71E08BC2" w14:textId="4A33CDCD" w:rsidR="00A65F68" w:rsidRDefault="00A65F68" w:rsidP="0FE9BE9B">
            <w:r>
              <w:t>3</w:t>
            </w:r>
          </w:p>
        </w:tc>
        <w:tc>
          <w:tcPr>
            <w:tcW w:w="1181" w:type="dxa"/>
          </w:tcPr>
          <w:p w14:paraId="32E53B55" w14:textId="14D95D64" w:rsidR="00A65F68" w:rsidRDefault="00A65F68" w:rsidP="0FE9BE9B">
            <w:r>
              <w:t>1</w:t>
            </w:r>
          </w:p>
        </w:tc>
        <w:tc>
          <w:tcPr>
            <w:tcW w:w="1803" w:type="dxa"/>
          </w:tcPr>
          <w:p w14:paraId="1F220D10" w14:textId="6E947F68" w:rsidR="00A65F68" w:rsidRPr="001C2EE2" w:rsidRDefault="00A65F68" w:rsidP="0FE9BE9B">
            <w:pPr>
              <w:rPr>
                <w:rFonts w:ascii="Calibri" w:hAnsi="Calibri" w:cs="Calibri"/>
                <w:color w:val="000000"/>
              </w:rPr>
            </w:pPr>
            <w:r>
              <w:rPr>
                <w:rFonts w:ascii="Calibri" w:hAnsi="Calibri" w:cs="Calibri"/>
                <w:color w:val="000000"/>
              </w:rPr>
              <w:t>4.69</w:t>
            </w:r>
          </w:p>
        </w:tc>
        <w:tc>
          <w:tcPr>
            <w:tcW w:w="2471" w:type="dxa"/>
          </w:tcPr>
          <w:p w14:paraId="785BE8D7" w14:textId="398455A9" w:rsidR="00A65F68" w:rsidRPr="001C2EE2" w:rsidRDefault="00254598" w:rsidP="0FE9BE9B">
            <w:pPr>
              <w:rPr>
                <w:rFonts w:ascii="Calibri" w:hAnsi="Calibri" w:cs="Calibri"/>
                <w:color w:val="9C0006"/>
              </w:rPr>
            </w:pPr>
            <w:r w:rsidRPr="00254598">
              <w:rPr>
                <w:rFonts w:ascii="Calibri" w:hAnsi="Calibri" w:cs="Calibri"/>
              </w:rPr>
              <w:t>10,845</w:t>
            </w:r>
          </w:p>
        </w:tc>
        <w:tc>
          <w:tcPr>
            <w:tcW w:w="1346" w:type="dxa"/>
          </w:tcPr>
          <w:p w14:paraId="79006BA0" w14:textId="120CEFDD" w:rsidR="00A65F68" w:rsidRPr="001C2EE2" w:rsidRDefault="00254598" w:rsidP="0FE9BE9B">
            <w:pPr>
              <w:rPr>
                <w:rFonts w:ascii="Calibri" w:hAnsi="Calibri" w:cs="Calibri"/>
                <w:color w:val="000000"/>
              </w:rPr>
            </w:pPr>
            <w:r>
              <w:rPr>
                <w:rFonts w:ascii="Calibri" w:hAnsi="Calibri" w:cs="Calibri"/>
                <w:color w:val="000000"/>
              </w:rPr>
              <w:t>104,535</w:t>
            </w:r>
          </w:p>
        </w:tc>
      </w:tr>
      <w:tr w:rsidR="00A65F68" w14:paraId="5FAB1E52" w14:textId="77777777" w:rsidTr="00A65F68">
        <w:tc>
          <w:tcPr>
            <w:tcW w:w="1300" w:type="dxa"/>
          </w:tcPr>
          <w:p w14:paraId="4FEB0440" w14:textId="6669E48D" w:rsidR="00A65F68" w:rsidRDefault="00A65F68" w:rsidP="0FE9BE9B">
            <w:r>
              <w:t xml:space="preserve">Male 71 </w:t>
            </w:r>
          </w:p>
        </w:tc>
        <w:tc>
          <w:tcPr>
            <w:tcW w:w="1084" w:type="dxa"/>
          </w:tcPr>
          <w:p w14:paraId="1B8C2308" w14:textId="406B10A2" w:rsidR="00A65F68" w:rsidRDefault="00A65F68" w:rsidP="0FE9BE9B">
            <w:r>
              <w:t>5</w:t>
            </w:r>
          </w:p>
        </w:tc>
        <w:tc>
          <w:tcPr>
            <w:tcW w:w="1181" w:type="dxa"/>
          </w:tcPr>
          <w:p w14:paraId="060EF37B" w14:textId="4E5E87CA" w:rsidR="00A65F68" w:rsidRDefault="00A65F68" w:rsidP="0FE9BE9B">
            <w:r>
              <w:t>2</w:t>
            </w:r>
          </w:p>
        </w:tc>
        <w:tc>
          <w:tcPr>
            <w:tcW w:w="1803" w:type="dxa"/>
          </w:tcPr>
          <w:p w14:paraId="069F5C33" w14:textId="67AF22B3" w:rsidR="00A65F68" w:rsidRDefault="00A65F68" w:rsidP="0FE9BE9B">
            <w:r>
              <w:t>4.72</w:t>
            </w:r>
          </w:p>
        </w:tc>
        <w:tc>
          <w:tcPr>
            <w:tcW w:w="2471" w:type="dxa"/>
          </w:tcPr>
          <w:p w14:paraId="2AA0D1F1" w14:textId="77084D8F" w:rsidR="00A65F68" w:rsidRPr="001C2EE2" w:rsidRDefault="00254598" w:rsidP="0FE9BE9B">
            <w:pPr>
              <w:rPr>
                <w:rFonts w:ascii="Calibri" w:hAnsi="Calibri" w:cs="Calibri"/>
                <w:color w:val="000000"/>
              </w:rPr>
            </w:pPr>
            <w:r>
              <w:rPr>
                <w:rFonts w:ascii="Calibri" w:hAnsi="Calibri" w:cs="Calibri"/>
                <w:color w:val="000000"/>
              </w:rPr>
              <w:t>10,605</w:t>
            </w:r>
          </w:p>
        </w:tc>
        <w:tc>
          <w:tcPr>
            <w:tcW w:w="1346" w:type="dxa"/>
          </w:tcPr>
          <w:p w14:paraId="76A2D3FA" w14:textId="18B49EF4" w:rsidR="00A65F68" w:rsidRDefault="00254598" w:rsidP="00CA3139">
            <w:r>
              <w:t>104,966</w:t>
            </w:r>
          </w:p>
        </w:tc>
      </w:tr>
      <w:tr w:rsidR="00CA3139" w14:paraId="5A363F2C" w14:textId="77777777" w:rsidTr="003013C2">
        <w:trPr>
          <w:trHeight w:val="267"/>
        </w:trPr>
        <w:tc>
          <w:tcPr>
            <w:tcW w:w="1300" w:type="dxa"/>
          </w:tcPr>
          <w:p w14:paraId="0C16EF45" w14:textId="0C10548C" w:rsidR="00CA3139" w:rsidRDefault="003013C2" w:rsidP="0FE9BE9B">
            <w:r>
              <w:t>Female 71</w:t>
            </w:r>
          </w:p>
        </w:tc>
        <w:tc>
          <w:tcPr>
            <w:tcW w:w="1084" w:type="dxa"/>
          </w:tcPr>
          <w:p w14:paraId="66E5EEC6" w14:textId="6988333B" w:rsidR="00CA3139" w:rsidRDefault="003013C2" w:rsidP="0FE9BE9B">
            <w:r>
              <w:t>4</w:t>
            </w:r>
          </w:p>
        </w:tc>
        <w:tc>
          <w:tcPr>
            <w:tcW w:w="1181" w:type="dxa"/>
          </w:tcPr>
          <w:p w14:paraId="1E06116D" w14:textId="29225D5D" w:rsidR="00CA3139" w:rsidRDefault="003013C2" w:rsidP="0FE9BE9B">
            <w:r>
              <w:t>3</w:t>
            </w:r>
          </w:p>
        </w:tc>
        <w:tc>
          <w:tcPr>
            <w:tcW w:w="1803" w:type="dxa"/>
          </w:tcPr>
          <w:p w14:paraId="69D740DC" w14:textId="06A8D994" w:rsidR="00CA3139" w:rsidRDefault="003013C2" w:rsidP="0FE9BE9B">
            <w:r>
              <w:t>1.83</w:t>
            </w:r>
          </w:p>
        </w:tc>
        <w:tc>
          <w:tcPr>
            <w:tcW w:w="2471" w:type="dxa"/>
          </w:tcPr>
          <w:p w14:paraId="01E035F5" w14:textId="66F45875" w:rsidR="00CA3139" w:rsidRDefault="00254598" w:rsidP="0FE9BE9B">
            <w:pPr>
              <w:rPr>
                <w:rFonts w:ascii="Calibri" w:hAnsi="Calibri" w:cs="Calibri"/>
                <w:color w:val="000000"/>
              </w:rPr>
            </w:pPr>
            <w:r>
              <w:rPr>
                <w:rFonts w:ascii="Calibri" w:hAnsi="Calibri" w:cs="Calibri"/>
                <w:color w:val="000000"/>
              </w:rPr>
              <w:t>29,472</w:t>
            </w:r>
          </w:p>
        </w:tc>
        <w:tc>
          <w:tcPr>
            <w:tcW w:w="1346" w:type="dxa"/>
          </w:tcPr>
          <w:p w14:paraId="1182990D" w14:textId="75474603" w:rsidR="00CA3139" w:rsidRDefault="00254598" w:rsidP="001C2EE2">
            <w:pPr>
              <w:rPr>
                <w:rFonts w:ascii="Calibri" w:hAnsi="Calibri" w:cs="Calibri"/>
                <w:color w:val="000000"/>
              </w:rPr>
            </w:pPr>
            <w:r>
              <w:rPr>
                <w:rFonts w:ascii="Calibri" w:hAnsi="Calibri" w:cs="Calibri"/>
                <w:color w:val="000000"/>
              </w:rPr>
              <w:t>66,059</w:t>
            </w:r>
          </w:p>
        </w:tc>
      </w:tr>
      <w:tr w:rsidR="003013C2" w14:paraId="529A5D20" w14:textId="77777777" w:rsidTr="00A65F68">
        <w:tc>
          <w:tcPr>
            <w:tcW w:w="1300" w:type="dxa"/>
          </w:tcPr>
          <w:p w14:paraId="0A5D7E1C" w14:textId="4A894326" w:rsidR="003013C2" w:rsidRDefault="003013C2" w:rsidP="0FE9BE9B">
            <w:r>
              <w:t>Male 80</w:t>
            </w:r>
          </w:p>
        </w:tc>
        <w:tc>
          <w:tcPr>
            <w:tcW w:w="1084" w:type="dxa"/>
          </w:tcPr>
          <w:p w14:paraId="3FBBA8F3" w14:textId="0EE1D562" w:rsidR="003013C2" w:rsidRDefault="003013C2" w:rsidP="0FE9BE9B">
            <w:r>
              <w:t>5</w:t>
            </w:r>
          </w:p>
        </w:tc>
        <w:tc>
          <w:tcPr>
            <w:tcW w:w="1181" w:type="dxa"/>
          </w:tcPr>
          <w:p w14:paraId="1D4D55A2" w14:textId="08C3DC82" w:rsidR="003013C2" w:rsidRDefault="003013C2" w:rsidP="0FE9BE9B">
            <w:r>
              <w:t>4</w:t>
            </w:r>
          </w:p>
        </w:tc>
        <w:tc>
          <w:tcPr>
            <w:tcW w:w="1803" w:type="dxa"/>
          </w:tcPr>
          <w:p w14:paraId="3ADAFC26" w14:textId="695DB151" w:rsidR="003013C2" w:rsidRDefault="003013C2" w:rsidP="0FE9BE9B">
            <w:r>
              <w:t>0.41</w:t>
            </w:r>
          </w:p>
        </w:tc>
        <w:tc>
          <w:tcPr>
            <w:tcW w:w="2471" w:type="dxa"/>
          </w:tcPr>
          <w:p w14:paraId="7E07FE8A" w14:textId="1356A004" w:rsidR="003013C2" w:rsidRPr="003013C2" w:rsidRDefault="00254598" w:rsidP="0FE9BE9B">
            <w:pPr>
              <w:rPr>
                <w:rFonts w:ascii="Calibri" w:hAnsi="Calibri" w:cs="Calibri"/>
                <w:color w:val="9C0006"/>
              </w:rPr>
            </w:pPr>
            <w:r>
              <w:rPr>
                <w:rFonts w:ascii="Calibri" w:hAnsi="Calibri" w:cs="Calibri"/>
                <w:color w:val="9C0006"/>
              </w:rPr>
              <w:t>-10,343</w:t>
            </w:r>
          </w:p>
        </w:tc>
        <w:tc>
          <w:tcPr>
            <w:tcW w:w="1346" w:type="dxa"/>
          </w:tcPr>
          <w:p w14:paraId="13BCF1F1" w14:textId="31084D4F" w:rsidR="003013C2" w:rsidRDefault="00254598" w:rsidP="001C2EE2">
            <w:pPr>
              <w:rPr>
                <w:rFonts w:ascii="Calibri" w:hAnsi="Calibri" w:cs="Calibri"/>
                <w:color w:val="000000"/>
              </w:rPr>
            </w:pPr>
            <w:r w:rsidRPr="00254598">
              <w:rPr>
                <w:rFonts w:ascii="Calibri" w:hAnsi="Calibri" w:cs="Calibri"/>
                <w:color w:val="C00000"/>
              </w:rPr>
              <w:t>-2,201</w:t>
            </w:r>
          </w:p>
        </w:tc>
      </w:tr>
      <w:tr w:rsidR="00A65F68" w14:paraId="4DCF7B01" w14:textId="77777777" w:rsidTr="00A65F68">
        <w:trPr>
          <w:trHeight w:val="399"/>
        </w:trPr>
        <w:tc>
          <w:tcPr>
            <w:tcW w:w="9185" w:type="dxa"/>
            <w:gridSpan w:val="6"/>
          </w:tcPr>
          <w:p w14:paraId="45244B16" w14:textId="77777777" w:rsidR="00A65F68" w:rsidRDefault="00A65F68" w:rsidP="0FE9BE9B">
            <w:r>
              <w:t>Net Benefit Calculated at £20,000 per QALY and future costs and QALYS are discounted at 3.5%</w:t>
            </w:r>
          </w:p>
          <w:p w14:paraId="1F63AC23" w14:textId="386A26C4" w:rsidR="00097241" w:rsidRDefault="00097241" w:rsidP="0FE9BE9B">
            <w:r>
              <w:t>Negative Changes in Resource Use are extra costs to secondary care providers</w:t>
            </w:r>
          </w:p>
        </w:tc>
      </w:tr>
    </w:tbl>
    <w:p w14:paraId="4C426C29" w14:textId="303149C6" w:rsidR="00040820" w:rsidRDefault="00040820" w:rsidP="0FE9BE9B"/>
    <w:p w14:paraId="6DE7F69C" w14:textId="295E46D1" w:rsidR="00FF1458" w:rsidRPr="00904C2E" w:rsidRDefault="00CB21AE" w:rsidP="0FE9BE9B">
      <w:pPr>
        <w:rPr>
          <w:rFonts w:ascii="Calibri" w:eastAsia="Times New Roman" w:hAnsi="Calibri" w:cs="Calibri"/>
          <w:color w:val="000000"/>
          <w:lang w:eastAsia="en-GB"/>
        </w:rPr>
      </w:pPr>
      <w:r>
        <w:t xml:space="preserve">A </w:t>
      </w:r>
      <w:r w:rsidR="001C2EE2">
        <w:t>73-year-old</w:t>
      </w:r>
      <w:r>
        <w:t xml:space="preserve"> male who previously was discharged with an </w:t>
      </w:r>
      <w:proofErr w:type="spellStart"/>
      <w:r>
        <w:t>mRS</w:t>
      </w:r>
      <w:proofErr w:type="spellEnd"/>
      <w:r>
        <w:t xml:space="preserve"> of 2, now achieves an </w:t>
      </w:r>
      <w:proofErr w:type="spellStart"/>
      <w:r>
        <w:t>mRS</w:t>
      </w:r>
      <w:proofErr w:type="spellEnd"/>
      <w:r>
        <w:t xml:space="preserve"> </w:t>
      </w:r>
      <w:r w:rsidR="00572A18">
        <w:t xml:space="preserve">0 </w:t>
      </w:r>
      <w:r>
        <w:t xml:space="preserve">because of enhanced </w:t>
      </w:r>
      <w:r w:rsidR="00904C2E">
        <w:t>treatments gains</w:t>
      </w:r>
      <w:r w:rsidR="00572A18">
        <w:t>,</w:t>
      </w:r>
      <w:r w:rsidR="00904C2E">
        <w:t xml:space="preserve"> after discounting</w:t>
      </w:r>
      <w:r w:rsidR="00572A18">
        <w:t xml:space="preserve">, </w:t>
      </w:r>
      <w:r w:rsidR="00904C2E">
        <w:t>2.57 QAL</w:t>
      </w:r>
      <w:r w:rsidR="00572A18">
        <w:t>Ys and incurs</w:t>
      </w:r>
      <w:r w:rsidR="00904C2E">
        <w:t xml:space="preserve"> an extra £</w:t>
      </w:r>
      <w:r w:rsidR="00254598">
        <w:t>225</w:t>
      </w:r>
      <w:r w:rsidR="00904C2E">
        <w:t xml:space="preserve"> of secondary care use over their extended life span.  This equates to a Net Benefit of </w:t>
      </w:r>
      <w:r w:rsidR="00904C2E" w:rsidRPr="00904C2E">
        <w:rPr>
          <w:rFonts w:ascii="Calibri" w:eastAsia="Times New Roman" w:hAnsi="Calibri" w:cs="Calibri"/>
          <w:color w:val="000000"/>
          <w:lang w:eastAsia="en-GB"/>
        </w:rPr>
        <w:t>£</w:t>
      </w:r>
      <w:r w:rsidR="00254598">
        <w:rPr>
          <w:rFonts w:ascii="Calibri" w:eastAsia="Times New Roman" w:hAnsi="Calibri" w:cs="Calibri"/>
          <w:color w:val="000000"/>
          <w:lang w:eastAsia="en-GB"/>
        </w:rPr>
        <w:t>51,192</w:t>
      </w:r>
      <w:r w:rsidR="00904C2E">
        <w:rPr>
          <w:rFonts w:ascii="Calibri" w:eastAsia="Times New Roman" w:hAnsi="Calibri" w:cs="Calibri"/>
          <w:color w:val="000000"/>
          <w:lang w:eastAsia="en-GB"/>
        </w:rPr>
        <w:t xml:space="preserve"> when QALYS are valued at £20,000</w:t>
      </w:r>
      <w:r w:rsidR="001C2EE2">
        <w:rPr>
          <w:rFonts w:ascii="Calibri" w:eastAsia="Times New Roman" w:hAnsi="Calibri" w:cs="Calibri"/>
          <w:color w:val="000000"/>
          <w:lang w:eastAsia="en-GB"/>
        </w:rPr>
        <w:t xml:space="preserve">.  An 80-year-old woman, whose </w:t>
      </w:r>
      <w:proofErr w:type="spellStart"/>
      <w:r w:rsidR="001C2EE2">
        <w:rPr>
          <w:rFonts w:ascii="Calibri" w:eastAsia="Times New Roman" w:hAnsi="Calibri" w:cs="Calibri"/>
          <w:color w:val="000000"/>
          <w:lang w:eastAsia="en-GB"/>
        </w:rPr>
        <w:t>mRs</w:t>
      </w:r>
      <w:proofErr w:type="spellEnd"/>
      <w:r w:rsidR="001C2EE2">
        <w:rPr>
          <w:rFonts w:ascii="Calibri" w:eastAsia="Times New Roman" w:hAnsi="Calibri" w:cs="Calibri"/>
          <w:color w:val="000000"/>
          <w:lang w:eastAsia="en-GB"/>
        </w:rPr>
        <w:t xml:space="preserve"> moves from 4 to 2 sees a Net Benefit of </w:t>
      </w:r>
      <w:r w:rsidR="001C2EE2" w:rsidRPr="001C2EE2">
        <w:rPr>
          <w:rFonts w:ascii="Calibri" w:eastAsia="Times New Roman" w:hAnsi="Calibri" w:cs="Calibri"/>
          <w:color w:val="000000"/>
          <w:lang w:eastAsia="en-GB"/>
        </w:rPr>
        <w:t>£</w:t>
      </w:r>
      <w:r w:rsidR="00254598">
        <w:rPr>
          <w:rFonts w:ascii="Calibri" w:eastAsia="Times New Roman" w:hAnsi="Calibri" w:cs="Calibri"/>
          <w:color w:val="000000"/>
          <w:lang w:eastAsia="en-GB"/>
        </w:rPr>
        <w:t>79,214</w:t>
      </w:r>
      <w:r w:rsidR="001C2EE2">
        <w:rPr>
          <w:rFonts w:ascii="Calibri" w:eastAsia="Times New Roman" w:hAnsi="Calibri" w:cs="Calibri"/>
          <w:color w:val="000000"/>
          <w:lang w:eastAsia="en-GB"/>
        </w:rPr>
        <w:t>, made up of 2.86 QALYs and £</w:t>
      </w:r>
      <w:r w:rsidR="00254598">
        <w:rPr>
          <w:rFonts w:ascii="Calibri" w:eastAsia="Times New Roman" w:hAnsi="Calibri" w:cs="Calibri"/>
          <w:color w:val="000000"/>
          <w:lang w:eastAsia="en-GB"/>
        </w:rPr>
        <w:t>22,021</w:t>
      </w:r>
      <w:r w:rsidR="001C2EE2">
        <w:rPr>
          <w:rFonts w:ascii="Calibri" w:eastAsia="Times New Roman" w:hAnsi="Calibri" w:cs="Calibri"/>
          <w:color w:val="000000"/>
          <w:lang w:eastAsia="en-GB"/>
        </w:rPr>
        <w:t xml:space="preserve"> of reduced future secondary care use.</w:t>
      </w:r>
    </w:p>
    <w:p w14:paraId="72F62E09" w14:textId="77777777" w:rsidR="00FF1458" w:rsidRPr="00BC46A9" w:rsidRDefault="00FF1458" w:rsidP="0FE9BE9B"/>
    <w:p w14:paraId="01D29CA2" w14:textId="7266161A" w:rsidR="00E51874" w:rsidRDefault="00E51874">
      <w:pPr>
        <w:rPr>
          <w:b/>
          <w:bCs/>
        </w:rPr>
      </w:pPr>
      <w:r>
        <w:rPr>
          <w:b/>
          <w:bCs/>
        </w:rPr>
        <w:t>Discussion</w:t>
      </w:r>
    </w:p>
    <w:p w14:paraId="61E2EA51" w14:textId="1EA5EBAA" w:rsidR="009313E0" w:rsidRDefault="00097241">
      <w:r>
        <w:t xml:space="preserve">Our model produces estimates of life expectancy and secondary care resource use that can be used in economic models.  </w:t>
      </w:r>
      <w:r w:rsidR="00CA3139">
        <w:t xml:space="preserve">The benefits of treatments like thrombolysis to secondary care provides are consistent with the published evidence base.  </w:t>
      </w:r>
      <w:r>
        <w:t xml:space="preserve">The Supplementary Material provides </w:t>
      </w:r>
      <w:r w:rsidR="009313E0">
        <w:t xml:space="preserve">Illustrative examples </w:t>
      </w:r>
      <w:r>
        <w:t>and includes source code in R, Python and VBA for ease of inclusion.</w:t>
      </w:r>
      <w:r w:rsidR="003013C2">
        <w:t xml:space="preserve">  Table 5 shows that at current NICE thresholds of £20,000 per QALY most improvements in </w:t>
      </w:r>
      <w:proofErr w:type="spellStart"/>
      <w:r w:rsidR="003013C2">
        <w:t>mRS</w:t>
      </w:r>
      <w:proofErr w:type="spellEnd"/>
      <w:r w:rsidR="003013C2">
        <w:t xml:space="preserve"> would be considered cost-effective.  The most notable exception being movements from mRS5 to </w:t>
      </w:r>
      <w:proofErr w:type="spellStart"/>
      <w:r w:rsidR="003013C2">
        <w:t>mRS</w:t>
      </w:r>
      <w:proofErr w:type="spellEnd"/>
      <w:r w:rsidR="003013C2">
        <w:t xml:space="preserve"> 4, where QALY benefits are offset by increased secondary care use over the life course.</w:t>
      </w:r>
    </w:p>
    <w:p w14:paraId="1653E619" w14:textId="47018C81" w:rsidR="000B2CDA" w:rsidRDefault="003013C2">
      <w:r>
        <w:t xml:space="preserve">The main strengths of our models are that they a derived from a cohort of patients followed up for 11 years and are straightforward to incorporate into </w:t>
      </w:r>
      <w:r w:rsidR="002072AB">
        <w:t xml:space="preserve">consistent </w:t>
      </w:r>
      <w:r>
        <w:t xml:space="preserve">economic models. </w:t>
      </w:r>
      <w:r w:rsidR="004F7F90">
        <w:t xml:space="preserve"> The use of data gathered outside of randomised control trials means that longer term outcomes are more likely to represent real world settings.  </w:t>
      </w:r>
      <w:r>
        <w:t xml:space="preserve">Amongst the weaknesses of the model are </w:t>
      </w:r>
      <w:r w:rsidR="0056606D">
        <w:t xml:space="preserve">that the risk equations are based on a set of patients from one locality and one NHS organisation.  Whist mortality information was collected from national sources, secondary care usage may be underestimated if patients move out of the locality.  Lack of data about the additional risks of mortality associated with different </w:t>
      </w:r>
      <w:proofErr w:type="spellStart"/>
      <w:r w:rsidR="0056606D">
        <w:t>mRS</w:t>
      </w:r>
      <w:proofErr w:type="spellEnd"/>
      <w:r w:rsidR="0056606D">
        <w:t xml:space="preserve"> beyond our follow-up means that their maybe biases associated with applying observed additional mortality risk.  This is most likely to overestimate the risk of death in younger lower </w:t>
      </w:r>
      <w:proofErr w:type="spellStart"/>
      <w:r w:rsidR="0056606D">
        <w:t>mRS</w:t>
      </w:r>
      <w:proofErr w:type="spellEnd"/>
      <w:r w:rsidR="0056606D">
        <w:t xml:space="preserve"> who were most likely to be alive beyond censor. Our models of resource use and associated costs only include secondary care costs.  Economic models taking wider perspectives should include information about primary care, social </w:t>
      </w:r>
      <w:proofErr w:type="gramStart"/>
      <w:r w:rsidR="0056606D">
        <w:t>care</w:t>
      </w:r>
      <w:proofErr w:type="gramEnd"/>
      <w:r w:rsidR="0056606D">
        <w:t xml:space="preserve"> and informal care costs over the estimated life course. </w:t>
      </w:r>
    </w:p>
    <w:p w14:paraId="2ED6588A" w14:textId="1406F62D" w:rsidR="0056606D" w:rsidRDefault="0056606D">
      <w:r>
        <w:t>Future research will include estimates of other resource types derived from linking data about our cohort to other data sources.</w:t>
      </w:r>
      <w:r w:rsidR="002072AB">
        <w:t xml:space="preserve"> We will also refine our models of resource use.  Whilst the existing </w:t>
      </w:r>
      <w:r w:rsidR="002072AB">
        <w:lastRenderedPageBreak/>
        <w:t xml:space="preserve">models reflect relative differences between </w:t>
      </w:r>
      <w:proofErr w:type="spellStart"/>
      <w:r w:rsidR="002072AB">
        <w:t>mRs</w:t>
      </w:r>
      <w:proofErr w:type="spellEnd"/>
      <w:r w:rsidR="002072AB">
        <w:t>, other model forms will be investigated that may better represent absolute levels of resources used.</w:t>
      </w:r>
    </w:p>
    <w:p w14:paraId="6A1ED72A" w14:textId="77777777" w:rsidR="002072AB" w:rsidRPr="00E51874" w:rsidRDefault="002072AB"/>
    <w:p w14:paraId="78FAB616" w14:textId="2E85B12A" w:rsidR="00E51874" w:rsidRDefault="00E51874">
      <w:pPr>
        <w:rPr>
          <w:b/>
          <w:bCs/>
        </w:rPr>
      </w:pPr>
      <w:r>
        <w:rPr>
          <w:b/>
          <w:bCs/>
        </w:rPr>
        <w:t>Conclusion</w:t>
      </w:r>
    </w:p>
    <w:p w14:paraId="67E94179" w14:textId="291A030C" w:rsidR="0048578B" w:rsidRPr="002072AB" w:rsidRDefault="002072AB">
      <w:r>
        <w:t xml:space="preserve">We have successfully developed a set of parametric equations that can be used across economic models of acute stroke care.  There use in modelling offers the possibility of increasing the consistency of economic modelling in stroke. </w:t>
      </w:r>
    </w:p>
    <w:p w14:paraId="5BEEB7D4" w14:textId="77777777" w:rsidR="0048578B" w:rsidRDefault="0048578B">
      <w:pPr>
        <w:rPr>
          <w:b/>
          <w:bCs/>
        </w:rPr>
      </w:pPr>
    </w:p>
    <w:p w14:paraId="0F17AFF5" w14:textId="77777777" w:rsidR="0048578B" w:rsidRDefault="0048578B">
      <w:pPr>
        <w:rPr>
          <w:b/>
          <w:bCs/>
        </w:rPr>
      </w:pPr>
    </w:p>
    <w:p w14:paraId="3946A199" w14:textId="65B232E3" w:rsidR="0048578B" w:rsidRDefault="0048578B">
      <w:pPr>
        <w:rPr>
          <w:b/>
          <w:bCs/>
        </w:rPr>
      </w:pPr>
      <w:r>
        <w:rPr>
          <w:b/>
          <w:bCs/>
        </w:rPr>
        <w:br w:type="page"/>
      </w:r>
    </w:p>
    <w:p w14:paraId="71948AE8" w14:textId="0DDFAABE" w:rsidR="00C71C83" w:rsidRDefault="00C71C83">
      <w:pPr>
        <w:rPr>
          <w:b/>
          <w:bCs/>
        </w:rPr>
      </w:pPr>
      <w:r>
        <w:rPr>
          <w:b/>
          <w:bCs/>
        </w:rPr>
        <w:lastRenderedPageBreak/>
        <w:t>Supplementary Materials</w:t>
      </w:r>
    </w:p>
    <w:p w14:paraId="068BA7E3" w14:textId="77777777" w:rsidR="00C71C83" w:rsidRDefault="00C71C83">
      <w:pPr>
        <w:rPr>
          <w:b/>
          <w:bCs/>
        </w:rPr>
      </w:pPr>
    </w:p>
    <w:p w14:paraId="3D374E75" w14:textId="75C0694C" w:rsidR="00ED53C3" w:rsidRDefault="00ED53C3">
      <w:pPr>
        <w:rPr>
          <w:b/>
          <w:bCs/>
        </w:rPr>
      </w:pPr>
      <w:r>
        <w:rPr>
          <w:b/>
          <w:bCs/>
        </w:rPr>
        <w:t>Mortality Prediction</w:t>
      </w:r>
    </w:p>
    <w:p w14:paraId="13953531" w14:textId="287F7850" w:rsidR="00E02FBA" w:rsidRPr="00F268E1" w:rsidRDefault="004805EF">
      <w:r w:rsidRPr="00F268E1">
        <w:t xml:space="preserve">Form of </w:t>
      </w:r>
      <w:proofErr w:type="spellStart"/>
      <w:r w:rsidRPr="00F268E1">
        <w:t>Gompertz</w:t>
      </w:r>
      <w:proofErr w:type="spellEnd"/>
    </w:p>
    <w:p w14:paraId="02372434" w14:textId="49E848A1" w:rsidR="00E02FBA" w:rsidRPr="00F268E1" w:rsidRDefault="00254598" w:rsidP="00ED2D69">
      <w:pPr>
        <w:jc w:val="cente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α+</m:t>
                </m:r>
                <m:sSub>
                  <m:sSubPr>
                    <m:ctrlPr>
                      <w:rPr>
                        <w:rFonts w:ascii="Cambria Math" w:hAnsi="Cambria Math"/>
                        <w:i/>
                      </w:rPr>
                    </m:ctrlPr>
                  </m:sSub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e>
                    </m:nary>
                    <m:r>
                      <w:rPr>
                        <w:rFonts w:ascii="Cambria Math" w:hAnsi="Cambria Math"/>
                      </w:rPr>
                      <m:t>X</m:t>
                    </m:r>
                  </m:e>
                  <m:sub>
                    <m:r>
                      <w:rPr>
                        <w:rFonts w:ascii="Cambria Math" w:hAnsi="Cambria Math"/>
                      </w:rPr>
                      <m:t>i</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γt</m:t>
                </m:r>
              </m:sup>
            </m:sSup>
            <m:r>
              <w:rPr>
                <w:rFonts w:ascii="Cambria Math" w:hAnsi="Cambria Math"/>
              </w:rPr>
              <m:t>-1)</m:t>
            </m:r>
          </m:num>
          <m:den>
            <m:r>
              <w:rPr>
                <w:rFonts w:ascii="Cambria Math" w:hAnsi="Cambria Math"/>
              </w:rPr>
              <m:t>γ</m:t>
            </m:r>
          </m:den>
        </m:f>
      </m:oMath>
      <w:r w:rsidR="00111CF7">
        <w:rPr>
          <w:rFonts w:eastAsiaTheme="minorEastAsia"/>
        </w:rPr>
        <w:t xml:space="preserve">   [1]</w:t>
      </w:r>
    </w:p>
    <w:p w14:paraId="57BDC4D6" w14:textId="77777777" w:rsidR="004805EF" w:rsidRPr="00F268E1" w:rsidRDefault="004805EF">
      <w:pPr>
        <w:rPr>
          <w:rFonts w:eastAsiaTheme="minorEastAsia"/>
        </w:rPr>
      </w:pPr>
    </w:p>
    <w:p w14:paraId="620046A8" w14:textId="480D6FE0" w:rsidR="004805EF" w:rsidRPr="00F268E1" w:rsidRDefault="004805EF">
      <w:pPr>
        <w:rPr>
          <w:rFonts w:eastAsiaTheme="minorEastAsia"/>
        </w:rPr>
      </w:pPr>
      <w:r w:rsidRPr="00F268E1">
        <w:rPr>
          <w:rFonts w:eastAsiaTheme="minorEastAsia"/>
        </w:rPr>
        <w:t>Form of Logistic</w:t>
      </w:r>
    </w:p>
    <w:p w14:paraId="2B702B61" w14:textId="4F0B4E65" w:rsidR="004805EF" w:rsidRPr="00F268E1" w:rsidRDefault="00254598" w:rsidP="00ED2D69">
      <w:pPr>
        <w:jc w:val="center"/>
      </w:pP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-(α+</m:t>
                </m:r>
                <m:sSub>
                  <m:sSubPr>
                    <m:ctrlPr>
                      <w:rPr>
                        <w:rFonts w:ascii="Cambria Math" w:hAnsi="Cambria Math"/>
                        <w:i/>
                      </w:rPr>
                    </m:ctrlPr>
                  </m:sSub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e>
                    </m:nary>
                    <m:r>
                      <w:rPr>
                        <w:rFonts w:ascii="Cambria Math" w:hAnsi="Cambria Math"/>
                      </w:rPr>
                      <m:t>X</m:t>
                    </m:r>
                  </m:e>
                  <m:sub>
                    <m:r>
                      <w:rPr>
                        <w:rFonts w:ascii="Cambria Math" w:hAnsi="Cambria Math"/>
                      </w:rPr>
                      <m:t>i</m:t>
                    </m:r>
                  </m:sub>
                </m:sSub>
                <m:r>
                  <w:rPr>
                    <w:rFonts w:ascii="Cambria Math" w:hAnsi="Cambria Math"/>
                  </w:rPr>
                  <m:t>)</m:t>
                </m:r>
              </m:sup>
            </m:sSup>
          </m:den>
        </m:f>
      </m:oMath>
      <w:r w:rsidR="00111CF7">
        <w:rPr>
          <w:rFonts w:eastAsiaTheme="minorEastAsia"/>
        </w:rPr>
        <w:t xml:space="preserve">  [2]</w:t>
      </w:r>
    </w:p>
    <w:p w14:paraId="0057132C" w14:textId="77777777" w:rsidR="0048578B" w:rsidRPr="00F268E1" w:rsidRDefault="0048578B"/>
    <w:p w14:paraId="5B40ACF9" w14:textId="37F98EFC" w:rsidR="005371E8" w:rsidRPr="00F268E1" w:rsidRDefault="005371E8">
      <w:r w:rsidRPr="00F268E1">
        <w:t>Where</w:t>
      </w:r>
      <w:r w:rsidR="00194905" w:rsidRPr="00F268E1">
        <w:t>:</w:t>
      </w:r>
    </w:p>
    <w:p w14:paraId="1F50FF87" w14:textId="4D3C514C" w:rsidR="00F268E1" w:rsidRPr="00F268E1" w:rsidRDefault="00254598" w:rsidP="00F268E1">
      <w:p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F268E1" w:rsidRPr="00F268E1">
        <w:rPr>
          <w:rFonts w:eastAsiaTheme="minorEastAsia"/>
        </w:rPr>
        <w:t xml:space="preserve"> is the </w:t>
      </w:r>
      <w:r w:rsidR="00635916">
        <w:rPr>
          <w:rFonts w:eastAsiaTheme="minorEastAsia"/>
        </w:rPr>
        <w:t>probability of death</w:t>
      </w:r>
      <w:r w:rsidR="00F268E1" w:rsidRPr="00F268E1">
        <w:rPr>
          <w:rFonts w:eastAsiaTheme="minorEastAsia"/>
        </w:rPr>
        <w:t xml:space="preserve"> in year 1 (day 365.25)</w:t>
      </w:r>
    </w:p>
    <w:p w14:paraId="016793D9" w14:textId="524366A6" w:rsidR="00F268E1" w:rsidRPr="00F268E1" w:rsidRDefault="00254598" w:rsidP="00F268E1">
      <w:p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F268E1" w:rsidRPr="00F268E1">
        <w:rPr>
          <w:rFonts w:eastAsiaTheme="minorEastAsia"/>
        </w:rPr>
        <w:t xml:space="preserve"> is the cumulative hazard at time t, where t &gt; 365.25</w:t>
      </w:r>
    </w:p>
    <w:p w14:paraId="007EE62D" w14:textId="07596590" w:rsidR="00F268E1" w:rsidRPr="00F268E1" w:rsidRDefault="00F268E1">
      <w:pPr>
        <w:rPr>
          <w:rFonts w:eastAsiaTheme="minorEastAsia"/>
        </w:rPr>
      </w:pPr>
      <m:oMath>
        <m:r>
          <w:rPr>
            <w:rFonts w:ascii="Cambria Math" w:hAnsi="Cambria Math"/>
          </w:rPr>
          <m:t>t</m:t>
        </m:r>
      </m:oMath>
      <w:r w:rsidRPr="00F268E1">
        <w:rPr>
          <w:rFonts w:eastAsiaTheme="minorEastAsia"/>
        </w:rPr>
        <w:t xml:space="preserve"> is the time in days since discharge</w:t>
      </w:r>
    </w:p>
    <w:p w14:paraId="738D0A9B" w14:textId="68CF8346" w:rsidR="005371E8" w:rsidRPr="00F268E1" w:rsidRDefault="00254598">
      <w:pPr>
        <w:rPr>
          <w:rFonts w:eastAsiaTheme="minorEastAsia"/>
        </w:rPr>
      </w:pPr>
      <m:oMath>
        <m:sSup>
          <m:sSupPr>
            <m:ctrlPr>
              <w:rPr>
                <w:rFonts w:ascii="Cambria Math" w:hAnsi="Cambria Math"/>
                <w:i/>
              </w:rPr>
            </m:ctrlPr>
          </m:sSupPr>
          <m:e>
            <m:r>
              <w:rPr>
                <w:rFonts w:ascii="Cambria Math" w:hAnsi="Cambria Math"/>
              </w:rPr>
              <m:t>e</m:t>
            </m:r>
          </m:e>
          <m:sup>
            <m:r>
              <w:rPr>
                <w:rFonts w:ascii="Cambria Math" w:hAnsi="Cambria Math"/>
              </w:rPr>
              <m:t>α+</m:t>
            </m:r>
            <m:sSub>
              <m:sSubPr>
                <m:ctrlPr>
                  <w:rPr>
                    <w:rFonts w:ascii="Cambria Math" w:hAnsi="Cambria Math"/>
                    <w:i/>
                  </w:rPr>
                </m:ctrlPr>
              </m:sSub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e>
                </m:nary>
                <m:r>
                  <w:rPr>
                    <w:rFonts w:ascii="Cambria Math" w:hAnsi="Cambria Math"/>
                  </w:rPr>
                  <m:t>X</m:t>
                </m:r>
              </m:e>
              <m:sub>
                <m:r>
                  <w:rPr>
                    <w:rFonts w:ascii="Cambria Math" w:hAnsi="Cambria Math"/>
                  </w:rPr>
                  <m:t>i</m:t>
                </m:r>
              </m:sub>
            </m:sSub>
          </m:sup>
        </m:sSup>
      </m:oMath>
      <w:r w:rsidR="000D55D6" w:rsidRPr="00F268E1">
        <w:rPr>
          <w:rFonts w:eastAsiaTheme="minorEastAsia"/>
        </w:rPr>
        <w:tab/>
        <w:t>is the linear predictor</w:t>
      </w:r>
    </w:p>
    <w:p w14:paraId="1F1E0FBD" w14:textId="27BE609B" w:rsidR="00094287" w:rsidRPr="00F268E1" w:rsidRDefault="00F268E1">
      <w:pPr>
        <w:rPr>
          <w:rFonts w:eastAsiaTheme="minorEastAsia"/>
        </w:rPr>
      </w:pPr>
      <m:oMath>
        <m:r>
          <w:rPr>
            <w:rFonts w:ascii="Cambria Math" w:hAnsi="Cambria Math"/>
          </w:rPr>
          <m:t>γ</m:t>
        </m:r>
      </m:oMath>
      <w:r w:rsidR="00094287" w:rsidRPr="00F268E1">
        <w:rPr>
          <w:rFonts w:eastAsiaTheme="minorEastAsia"/>
        </w:rPr>
        <w:t xml:space="preserve"> is the gamma term from the Gompertz</w:t>
      </w:r>
      <w:r w:rsidR="00D05818" w:rsidRPr="00F268E1">
        <w:rPr>
          <w:rFonts w:eastAsiaTheme="minorEastAsia"/>
        </w:rPr>
        <w:t xml:space="preserve"> function</w:t>
      </w:r>
    </w:p>
    <w:p w14:paraId="6A39E462" w14:textId="77777777" w:rsidR="000A1999" w:rsidRDefault="000A1999">
      <w:pPr>
        <w:rPr>
          <w:rFonts w:eastAsiaTheme="minorEastAsia"/>
        </w:rPr>
      </w:pPr>
    </w:p>
    <w:p w14:paraId="017C4104" w14:textId="18FDFD60" w:rsidR="00ED2D69" w:rsidRPr="00F268E1" w:rsidRDefault="00ED2D69">
      <w:pPr>
        <w:rPr>
          <w:rFonts w:eastAsiaTheme="minorEastAsia"/>
        </w:rPr>
      </w:pPr>
      <w:r>
        <w:rPr>
          <w:rFonts w:eastAsiaTheme="minorEastAsia"/>
        </w:rPr>
        <w:t>Predictions</w:t>
      </w:r>
    </w:p>
    <w:p w14:paraId="6FF380EC" w14:textId="77777777" w:rsidR="00C06DCC" w:rsidRDefault="000A1999">
      <w:pPr>
        <w:rPr>
          <w:rFonts w:eastAsiaTheme="minorEastAsia"/>
        </w:rPr>
      </w:pPr>
      <w:r w:rsidRPr="00F268E1">
        <w:rPr>
          <w:rFonts w:eastAsiaTheme="minorEastAsia"/>
        </w:rPr>
        <w:t xml:space="preserve">The cumulative probability of death </w:t>
      </w:r>
      <w:r w:rsidR="008C65FA" w:rsidRPr="00F268E1">
        <w:rPr>
          <w:rFonts w:eastAsiaTheme="minorEastAsia"/>
        </w:rPr>
        <w:t>by</w:t>
      </w:r>
      <w:r w:rsidRPr="00F268E1">
        <w:rPr>
          <w:rFonts w:eastAsiaTheme="minorEastAsia"/>
        </w:rPr>
        <w:t xml:space="preserve"> </w:t>
      </w:r>
      <w:r w:rsidR="008C65FA" w:rsidRPr="00F268E1">
        <w:rPr>
          <w:rFonts w:eastAsiaTheme="minorEastAsia"/>
        </w:rPr>
        <w:t>time</w:t>
      </w:r>
      <w:r w:rsidRPr="00F268E1">
        <w:rPr>
          <w:rFonts w:eastAsiaTheme="minorEastAsia"/>
        </w:rPr>
        <w:t xml:space="preserve"> t (where t &gt;</w:t>
      </w:r>
      <w:r w:rsidR="005E2334" w:rsidRPr="00F268E1">
        <w:rPr>
          <w:rFonts w:eastAsiaTheme="minorEastAsia"/>
        </w:rPr>
        <w:t xml:space="preserve"> 365) is</w:t>
      </w:r>
    </w:p>
    <w:p w14:paraId="5158435E" w14:textId="044874DD" w:rsidR="000A1999" w:rsidRPr="00F268E1" w:rsidRDefault="00F268E1" w:rsidP="00C06DCC">
      <w:pPr>
        <w:jc w:val="center"/>
        <w:rPr>
          <w:rFonts w:eastAsiaTheme="minorEastAsia"/>
        </w:rPr>
      </w:pPr>
      <m:oMath>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e>
        </m:d>
      </m:oMath>
      <w:r w:rsidR="00111CF7">
        <w:rPr>
          <w:rFonts w:eastAsiaTheme="minorEastAsia"/>
        </w:rPr>
        <w:t xml:space="preserve">   [3]</w:t>
      </w:r>
    </w:p>
    <w:p w14:paraId="78F90CDE" w14:textId="4C47D485" w:rsidR="00C06DCC" w:rsidRDefault="00376FDD">
      <w:pPr>
        <w:rPr>
          <w:rFonts w:eastAsiaTheme="minorEastAsia"/>
        </w:rPr>
      </w:pPr>
      <w:r w:rsidRPr="00F268E1">
        <w:rPr>
          <w:rFonts w:eastAsiaTheme="minorEastAsia"/>
        </w:rPr>
        <w:t xml:space="preserve">The probability </w:t>
      </w:r>
      <w:r w:rsidR="00FF65EF" w:rsidRPr="00F268E1">
        <w:rPr>
          <w:rFonts w:eastAsiaTheme="minorEastAsia"/>
        </w:rPr>
        <w:t xml:space="preserve">of death during </w:t>
      </w:r>
      <w:r w:rsidR="00F268E1" w:rsidRPr="00F268E1">
        <w:rPr>
          <w:rFonts w:eastAsiaTheme="minorEastAsia"/>
        </w:rPr>
        <w:t>period</w:t>
      </w:r>
      <w:r w:rsidR="00FF65EF" w:rsidRPr="00F268E1">
        <w:rPr>
          <w:rFonts w:eastAsiaTheme="minorEastAsia"/>
        </w:rPr>
        <w:t xml:space="preserve"> </w:t>
      </w:r>
      <w:r w:rsidR="002F3A80" w:rsidRPr="00F268E1">
        <w:rPr>
          <w:rFonts w:eastAsiaTheme="minorEastAsia"/>
        </w:rPr>
        <w:t>t and t+1</w:t>
      </w:r>
      <w:r w:rsidR="00846538">
        <w:rPr>
          <w:rFonts w:eastAsiaTheme="minorEastAsia"/>
        </w:rPr>
        <w:t xml:space="preserve"> is</w:t>
      </w:r>
      <w:r w:rsidR="00E221EF">
        <w:rPr>
          <w:rFonts w:eastAsiaTheme="minorEastAsia"/>
        </w:rPr>
        <w:t xml:space="preserve"> estimated by</w:t>
      </w:r>
      <w:r w:rsidR="007B672C">
        <w:rPr>
          <w:rFonts w:eastAsiaTheme="minorEastAsia"/>
        </w:rPr>
        <w:t xml:space="preserve"> </w:t>
      </w:r>
      <w:r w:rsidR="007B672C" w:rsidRPr="0028336D">
        <w:rPr>
          <w:rFonts w:eastAsiaTheme="minorEastAsia"/>
          <w:color w:val="FF0000"/>
        </w:rPr>
        <w:t>REF UKPDS</w:t>
      </w:r>
    </w:p>
    <w:p w14:paraId="2ACBE740" w14:textId="00556DC4" w:rsidR="00376FDD" w:rsidRDefault="00F268E1" w:rsidP="00C06DCC">
      <w:pPr>
        <w:jc w:val="center"/>
        <w:rPr>
          <w:rFonts w:eastAsiaTheme="minorEastAsia"/>
        </w:rPr>
      </w:pPr>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t+1</m:t>
                        </m:r>
                      </m:sub>
                    </m:sSub>
                  </m:e>
                </m:d>
              </m:e>
            </m:d>
          </m:sup>
        </m:sSup>
      </m:oMath>
      <w:r w:rsidR="00111CF7">
        <w:rPr>
          <w:rFonts w:eastAsiaTheme="minorEastAsia"/>
        </w:rPr>
        <w:t xml:space="preserve">  [4]</w:t>
      </w:r>
    </w:p>
    <w:p w14:paraId="782065B3" w14:textId="34CED1D5" w:rsidR="00C06DCC" w:rsidRDefault="00F01B67">
      <w:pPr>
        <w:rPr>
          <w:rFonts w:eastAsiaTheme="minorEastAsia"/>
        </w:rPr>
      </w:pPr>
      <w:r>
        <w:rPr>
          <w:rFonts w:eastAsiaTheme="minorEastAsia"/>
        </w:rPr>
        <w:t xml:space="preserve">The method </w:t>
      </w:r>
      <w:r w:rsidR="00AD58AA">
        <w:rPr>
          <w:rFonts w:eastAsiaTheme="minorEastAsia"/>
        </w:rPr>
        <w:t xml:space="preserve">used to calculate a time of death depends on </w:t>
      </w:r>
      <w:r w:rsidR="00AD6F13">
        <w:rPr>
          <w:rFonts w:eastAsiaTheme="minorEastAsia"/>
        </w:rPr>
        <w:t>whether</w:t>
      </w:r>
      <w:r w:rsidR="00AD58AA">
        <w:rPr>
          <w:rFonts w:eastAsiaTheme="minorEastAsia"/>
        </w:rPr>
        <w:t xml:space="preserve"> the probability for which a time of death is being </w:t>
      </w:r>
      <w:r w:rsidR="00F90772">
        <w:rPr>
          <w:rFonts w:eastAsiaTheme="minorEastAsia"/>
        </w:rPr>
        <w:t>calculated from is less than the probability of death in year one.  If the probability is greater</w:t>
      </w:r>
      <w:r w:rsidR="00893646">
        <w:rPr>
          <w:rFonts w:eastAsiaTheme="minorEastAsia"/>
        </w:rPr>
        <w:t xml:space="preserve"> than the probability of death</w:t>
      </w:r>
      <w:r w:rsidR="005E7DF4">
        <w:rPr>
          <w:rFonts w:eastAsiaTheme="minorEastAsia"/>
        </w:rPr>
        <w:t xml:space="preserve"> in year one, t</w:t>
      </w:r>
      <w:r w:rsidR="00E10EE5">
        <w:rPr>
          <w:rFonts w:eastAsiaTheme="minorEastAsia"/>
        </w:rPr>
        <w:t>he time of death based on a probability of death</w:t>
      </w:r>
      <w:r w:rsidR="0061437E">
        <w:rPr>
          <w:rFonts w:eastAsiaTheme="minorEastAsia"/>
        </w:rPr>
        <w:t xml:space="preserve"> after year one is</w:t>
      </w:r>
      <w:r w:rsidR="00E16606">
        <w:rPr>
          <w:rFonts w:eastAsiaTheme="minorEastAsia"/>
        </w:rPr>
        <w:t xml:space="preserve"> derived from </w:t>
      </w:r>
      <w:r w:rsidR="00111CF7">
        <w:rPr>
          <w:rFonts w:eastAsiaTheme="minorEastAsia"/>
        </w:rPr>
        <w:t>equation [1]</w:t>
      </w:r>
      <w:r w:rsidR="00CF2378">
        <w:rPr>
          <w:rFonts w:eastAsiaTheme="minorEastAsia"/>
        </w:rPr>
        <w:t xml:space="preserve">, where </w:t>
      </w:r>
      <m:oMath>
        <m:r>
          <w:rPr>
            <w:rFonts w:ascii="Cambria Math" w:eastAsiaTheme="minorEastAsia" w:hAnsi="Cambria Math"/>
          </w:rPr>
          <m:t>p</m:t>
        </m:r>
      </m:oMath>
      <w:r w:rsidR="00CF2378">
        <w:rPr>
          <w:rFonts w:eastAsiaTheme="minorEastAsia"/>
        </w:rPr>
        <w:t xml:space="preserve"> is the</w:t>
      </w:r>
      <w:r w:rsidR="00361316">
        <w:rPr>
          <w:rFonts w:eastAsiaTheme="minorEastAsia"/>
        </w:rPr>
        <w:t xml:space="preserve"> desired</w:t>
      </w:r>
      <w:r w:rsidR="00CF2378">
        <w:rPr>
          <w:rFonts w:eastAsiaTheme="minorEastAsia"/>
        </w:rPr>
        <w:t xml:space="preserve"> death</w:t>
      </w:r>
      <w:r w:rsidR="008E7F60">
        <w:rPr>
          <w:rFonts w:eastAsiaTheme="minorEastAsia"/>
        </w:rPr>
        <w:t xml:space="preserve"> in days</w:t>
      </w:r>
      <w:r w:rsidR="00CF2378">
        <w:rPr>
          <w:rFonts w:eastAsiaTheme="minorEastAsia"/>
        </w:rPr>
        <w:t xml:space="preserve"> is</w:t>
      </w:r>
      <w:r w:rsidR="000722C3">
        <w:rPr>
          <w:rFonts w:eastAsiaTheme="minorEastAsia"/>
        </w:rPr>
        <w:t>, where the linear predictor is</w:t>
      </w:r>
      <w:r w:rsidR="00686C69">
        <w:rPr>
          <w:rFonts w:eastAsiaTheme="minorEastAsia"/>
        </w:rPr>
        <w:t xml:space="preserve"> [1]</w:t>
      </w:r>
    </w:p>
    <w:p w14:paraId="36A56C5F" w14:textId="5F9B46A1" w:rsidR="00E10EE5" w:rsidRDefault="00254598" w:rsidP="00C06DCC">
      <w:pPr>
        <w:jc w:val="center"/>
        <w:rPr>
          <w:rFonts w:eastAsiaTheme="minorEastAsia"/>
        </w:rPr>
      </w:pPr>
      <m:oMath>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r>
                  <w:rPr>
                    <w:rFonts w:ascii="Cambria Math" w:eastAsiaTheme="minorEastAsia" w:hAnsi="Cambria Math"/>
                  </w:rPr>
                  <m:t>(γ∙p∙</m:t>
                </m:r>
                <m:sSup>
                  <m:sSupPr>
                    <m:ctrlPr>
                      <w:rPr>
                        <w:rFonts w:ascii="Cambria Math" w:eastAsiaTheme="minorEastAsia" w:hAnsi="Cambria Math"/>
                        <w:i/>
                      </w:rPr>
                    </m:ctrlPr>
                  </m:sSupPr>
                  <m:e>
                    <m:r>
                      <w:rPr>
                        <w:rFonts w:ascii="Cambria Math" w:eastAsiaTheme="minorEastAsia" w:hAnsi="Cambria Math"/>
                      </w:rPr>
                      <m:t>e</m:t>
                    </m:r>
                  </m:e>
                  <m:sup>
                    <m:r>
                      <w:rPr>
                        <w:rFonts w:ascii="Cambria Math" w:hAnsi="Cambria Math"/>
                      </w:rPr>
                      <m:t>α+</m:t>
                    </m:r>
                    <m:sSub>
                      <m:sSubPr>
                        <m:ctrlPr>
                          <w:rPr>
                            <w:rFonts w:ascii="Cambria Math" w:hAnsi="Cambria Math"/>
                            <w:i/>
                          </w:rPr>
                        </m:ctrlPr>
                      </m:sSub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e>
                        </m:nary>
                        <m:r>
                          <w:rPr>
                            <w:rFonts w:ascii="Cambria Math" w:hAnsi="Cambria Math"/>
                          </w:rPr>
                          <m:t>X</m:t>
                        </m:r>
                      </m:e>
                      <m:sub>
                        <m:r>
                          <w:rPr>
                            <w:rFonts w:ascii="Cambria Math" w:hAnsi="Cambria Math"/>
                          </w:rPr>
                          <m:t>i</m:t>
                        </m:r>
                      </m:sub>
                    </m:sSub>
                  </m:sup>
                </m:sSup>
                <m:r>
                  <w:rPr>
                    <w:rFonts w:ascii="Cambria Math" w:eastAsiaTheme="minorEastAsia" w:hAnsi="Cambria Math"/>
                  </w:rPr>
                  <m:t>)+1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-1</m:t>
                </m:r>
              </m:sup>
            </m:sSup>
          </m:e>
        </m:func>
      </m:oMath>
      <w:r w:rsidR="00CA5CD4">
        <w:rPr>
          <w:rFonts w:eastAsiaTheme="minorEastAsia"/>
        </w:rPr>
        <w:t xml:space="preserve">  [5</w:t>
      </w:r>
      <w:r w:rsidR="00330BD0">
        <w:rPr>
          <w:rFonts w:eastAsiaTheme="minorEastAsia"/>
        </w:rPr>
        <w:t>a</w:t>
      </w:r>
      <w:r w:rsidR="00CA5CD4">
        <w:rPr>
          <w:rFonts w:eastAsiaTheme="minorEastAsia"/>
        </w:rPr>
        <w:t>]</w:t>
      </w:r>
    </w:p>
    <w:p w14:paraId="794828E6" w14:textId="0739B20A" w:rsidR="00B04F80" w:rsidRDefault="00B04F80" w:rsidP="00B04F80">
      <w:pPr>
        <w:rPr>
          <w:rFonts w:eastAsiaTheme="minorEastAsia"/>
        </w:rPr>
      </w:pPr>
      <w:r>
        <w:rPr>
          <w:rFonts w:eastAsiaTheme="minorEastAsia"/>
        </w:rPr>
        <w:t>In years</w:t>
      </w:r>
    </w:p>
    <w:p w14:paraId="67EE1449" w14:textId="64E85168" w:rsidR="00330BD0" w:rsidRDefault="00254598" w:rsidP="00C06DCC">
      <w:pPr>
        <w:jc w:val="center"/>
        <w:rPr>
          <w:rFonts w:eastAsiaTheme="minorEastAsia"/>
        </w:rPr>
      </w:pPr>
      <m:oMath>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r>
                  <w:rPr>
                    <w:rFonts w:ascii="Cambria Math" w:eastAsiaTheme="minorEastAsia" w:hAnsi="Cambria Math"/>
                  </w:rPr>
                  <m:t>(γ∙p∙</m:t>
                </m:r>
                <m:sSup>
                  <m:sSupPr>
                    <m:ctrlPr>
                      <w:rPr>
                        <w:rFonts w:ascii="Cambria Math" w:eastAsiaTheme="minorEastAsia" w:hAnsi="Cambria Math"/>
                        <w:i/>
                      </w:rPr>
                    </m:ctrlPr>
                  </m:sSupPr>
                  <m:e>
                    <m:r>
                      <w:rPr>
                        <w:rFonts w:ascii="Cambria Math" w:eastAsiaTheme="minorEastAsia" w:hAnsi="Cambria Math"/>
                      </w:rPr>
                      <m:t>e</m:t>
                    </m:r>
                  </m:e>
                  <m:sup>
                    <m:r>
                      <w:rPr>
                        <w:rFonts w:ascii="Cambria Math" w:hAnsi="Cambria Math"/>
                      </w:rPr>
                      <m:t>α+</m:t>
                    </m:r>
                    <m:sSub>
                      <m:sSubPr>
                        <m:ctrlPr>
                          <w:rPr>
                            <w:rFonts w:ascii="Cambria Math" w:hAnsi="Cambria Math"/>
                            <w:i/>
                          </w:rPr>
                        </m:ctrlPr>
                      </m:sSub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e>
                        </m:nary>
                        <m:r>
                          <w:rPr>
                            <w:rFonts w:ascii="Cambria Math" w:hAnsi="Cambria Math"/>
                          </w:rPr>
                          <m:t>X</m:t>
                        </m:r>
                      </m:e>
                      <m:sub>
                        <m:r>
                          <w:rPr>
                            <w:rFonts w:ascii="Cambria Math" w:hAnsi="Cambria Math"/>
                          </w:rPr>
                          <m:t>i</m:t>
                        </m:r>
                      </m:sub>
                    </m:sSub>
                  </m:sup>
                </m:sSup>
                <m:r>
                  <w:rPr>
                    <w:rFonts w:ascii="Cambria Math" w:eastAsiaTheme="minorEastAsia" w:hAnsi="Cambria Math"/>
                  </w:rPr>
                  <m:t>)+1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(365*γ)</m:t>
                </m:r>
              </m:e>
              <m:sup>
                <m:r>
                  <w:rPr>
                    <w:rFonts w:ascii="Cambria Math" w:eastAsiaTheme="minorEastAsia" w:hAnsi="Cambria Math"/>
                  </w:rPr>
                  <m:t>-1</m:t>
                </m:r>
              </m:sup>
            </m:sSup>
          </m:e>
        </m:func>
      </m:oMath>
      <w:r w:rsidR="00B04F80">
        <w:rPr>
          <w:rFonts w:eastAsiaTheme="minorEastAsia"/>
        </w:rPr>
        <w:t xml:space="preserve"> [5b]</w:t>
      </w:r>
    </w:p>
    <w:p w14:paraId="60AC275E" w14:textId="4D06B084" w:rsidR="00065F8E" w:rsidRDefault="001324FC">
      <w:pPr>
        <w:rPr>
          <w:rFonts w:eastAsiaTheme="minorEastAsia"/>
        </w:rPr>
      </w:pPr>
      <w:r>
        <w:rPr>
          <w:rFonts w:eastAsiaTheme="minorEastAsia"/>
        </w:rPr>
        <w:t>Because</w:t>
      </w:r>
      <w:r w:rsidR="00C212B2">
        <w:rPr>
          <w:rFonts w:eastAsiaTheme="minorEastAsia"/>
        </w:rPr>
        <w:t xml:space="preserve"> the probability of death in year 1 is </w:t>
      </w:r>
      <w:r w:rsidR="00C03222">
        <w:rPr>
          <w:rFonts w:eastAsiaTheme="minorEastAsia"/>
        </w:rPr>
        <w:t>less than the probability of interest,</w:t>
      </w:r>
      <w:r w:rsidR="00025E19" w:rsidRPr="00025E19">
        <w:rPr>
          <w:rFonts w:eastAsiaTheme="minorEastAsia"/>
          <w:color w:val="FF0000"/>
        </w:rPr>
        <w:t xml:space="preserve"> </w:t>
      </w:r>
      <w:r w:rsidR="00C212B2">
        <w:rPr>
          <w:rFonts w:eastAsiaTheme="minorEastAsia"/>
        </w:rPr>
        <w:t xml:space="preserve">it is necessary to </w:t>
      </w:r>
      <w:r w:rsidR="00AF272A">
        <w:rPr>
          <w:rFonts w:eastAsiaTheme="minorEastAsia"/>
        </w:rPr>
        <w:t xml:space="preserve">modify equation [5] to </w:t>
      </w:r>
      <w:r w:rsidR="00F7007F">
        <w:rPr>
          <w:rFonts w:eastAsiaTheme="minorEastAsia"/>
        </w:rPr>
        <w:t>allow for the probability of death.</w:t>
      </w:r>
      <w:r w:rsidR="002C57B8">
        <w:rPr>
          <w:rFonts w:eastAsiaTheme="minorEastAsia"/>
        </w:rPr>
        <w:t xml:space="preserve">  p becomes p’ and is given by the </w:t>
      </w:r>
      <w:r w:rsidR="0089151B">
        <w:rPr>
          <w:rFonts w:eastAsiaTheme="minorEastAsia"/>
        </w:rPr>
        <w:t>equation</w:t>
      </w:r>
      <w:r w:rsidR="00ED2D69">
        <w:rPr>
          <w:rFonts w:eastAsiaTheme="minorEastAsia"/>
        </w:rPr>
        <w:t>:</w:t>
      </w:r>
    </w:p>
    <w:p w14:paraId="6B7135CD" w14:textId="031E9442" w:rsidR="00F268E1" w:rsidRDefault="00254598" w:rsidP="00C06DCC">
      <w:pPr>
        <w:jc w:val="center"/>
        <w:rPr>
          <w:rFonts w:eastAsiaTheme="minorEastAsia"/>
        </w:rPr>
      </w:pP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-(α+</m:t>
                            </m:r>
                            <m:sSub>
                              <m:sSubPr>
                                <m:ctrlPr>
                                  <w:rPr>
                                    <w:rFonts w:ascii="Cambria Math" w:hAnsi="Cambria Math"/>
                                    <w:i/>
                                  </w:rPr>
                                </m:ctrlPr>
                              </m:sSub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e>
                                </m:nary>
                                <m:r>
                                  <w:rPr>
                                    <w:rFonts w:ascii="Cambria Math" w:hAnsi="Cambria Math"/>
                                  </w:rPr>
                                  <m:t>X</m:t>
                                </m:r>
                              </m:e>
                              <m:sub>
                                <m:r>
                                  <w:rPr>
                                    <w:rFonts w:ascii="Cambria Math" w:hAnsi="Cambria Math"/>
                                  </w:rPr>
                                  <m:t>i</m:t>
                                </m:r>
                              </m:sub>
                            </m:sSub>
                            <m:r>
                              <w:rPr>
                                <w:rFonts w:ascii="Cambria Math" w:hAnsi="Cambria Math"/>
                              </w:rPr>
                              <m:t>)</m:t>
                            </m:r>
                          </m:sup>
                        </m:sSup>
                      </m:den>
                    </m:f>
                  </m:e>
                </m:d>
              </m:e>
              <m:sup>
                <m:r>
                  <w:rPr>
                    <w:rFonts w:ascii="Cambria Math" w:eastAsiaTheme="minorEastAsia" w:hAnsi="Cambria Math"/>
                  </w:rPr>
                  <m:t>-1</m:t>
                </m:r>
              </m:sup>
            </m:sSup>
          </m:e>
        </m:d>
        <m:r>
          <w:rPr>
            <w:rFonts w:ascii="Cambria Math" w:eastAsiaTheme="minorEastAsia" w:hAnsi="Cambria Math"/>
          </w:rPr>
          <m:t>-1</m:t>
        </m:r>
      </m:oMath>
      <w:r w:rsidR="00065F8E">
        <w:rPr>
          <w:rFonts w:eastAsiaTheme="minorEastAsia"/>
        </w:rPr>
        <w:t xml:space="preserve">  [</w:t>
      </w:r>
      <w:r w:rsidR="00187B07">
        <w:rPr>
          <w:rFonts w:eastAsiaTheme="minorEastAsia"/>
        </w:rPr>
        <w:t>6</w:t>
      </w:r>
      <w:r w:rsidR="00065F8E">
        <w:rPr>
          <w:rFonts w:eastAsiaTheme="minorEastAsia"/>
        </w:rPr>
        <w:t>]</w:t>
      </w:r>
    </w:p>
    <w:p w14:paraId="24040E23" w14:textId="4A9F2197" w:rsidR="00196AEB" w:rsidRDefault="00196AEB" w:rsidP="00C06DCC">
      <w:pPr>
        <w:jc w:val="center"/>
        <w:rPr>
          <w:rFonts w:eastAsiaTheme="minorEastAsia"/>
        </w:rPr>
      </w:pPr>
    </w:p>
    <w:p w14:paraId="6E8B6147" w14:textId="2883E31B" w:rsidR="00196AEB" w:rsidRDefault="002D49C8" w:rsidP="00196AEB">
      <w:pPr>
        <w:rPr>
          <w:rFonts w:eastAsiaTheme="minorEastAsia"/>
        </w:rPr>
      </w:pPr>
      <w:r>
        <w:rPr>
          <w:rFonts w:eastAsiaTheme="minorEastAsia"/>
        </w:rPr>
        <w:t xml:space="preserve">If the probability of death in year one is </w:t>
      </w:r>
      <w:r w:rsidR="006536A8">
        <w:rPr>
          <w:rFonts w:eastAsiaTheme="minorEastAsia"/>
        </w:rPr>
        <w:t>greater</w:t>
      </w:r>
      <w:r>
        <w:rPr>
          <w:rFonts w:eastAsiaTheme="minorEastAsia"/>
        </w:rPr>
        <w:t xml:space="preserve"> than the probability of interest</w:t>
      </w:r>
      <w:r w:rsidR="006536A8">
        <w:rPr>
          <w:rFonts w:eastAsiaTheme="minorEastAsia"/>
        </w:rPr>
        <w:t>, t</w:t>
      </w:r>
      <w:r w:rsidR="00196AEB">
        <w:rPr>
          <w:rFonts w:eastAsiaTheme="minorEastAsia"/>
        </w:rPr>
        <w:t xml:space="preserve">he time of death in </w:t>
      </w:r>
      <w:r w:rsidR="00981F90">
        <w:rPr>
          <w:rFonts w:eastAsiaTheme="minorEastAsia"/>
        </w:rPr>
        <w:t>days in</w:t>
      </w:r>
      <w:r w:rsidR="004D1263">
        <w:rPr>
          <w:rFonts w:eastAsiaTheme="minorEastAsia"/>
        </w:rPr>
        <w:t xml:space="preserve"> </w:t>
      </w:r>
      <w:r w:rsidR="00196AEB">
        <w:rPr>
          <w:rFonts w:eastAsiaTheme="minorEastAsia"/>
        </w:rPr>
        <w:t xml:space="preserve">year one is derived from equation [2] 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w:r w:rsidR="00196AEB">
        <w:rPr>
          <w:rFonts w:eastAsiaTheme="minorEastAsia"/>
        </w:rPr>
        <w:t xml:space="preserve"> is the probability of death in year one (from [2]), and the probability of death for which a time is being calculated is </w:t>
      </w:r>
      <m:oMath>
        <m:r>
          <w:rPr>
            <w:rFonts w:ascii="Cambria Math" w:eastAsiaTheme="minorEastAsia" w:hAnsi="Cambria Math"/>
          </w:rPr>
          <m:t>p</m:t>
        </m:r>
      </m:oMath>
      <w:r w:rsidR="00B53C68">
        <w:rPr>
          <w:rFonts w:eastAsiaTheme="minorEastAsia"/>
        </w:rPr>
        <w:t xml:space="preserve">.  This method is taken from </w:t>
      </w:r>
      <w:r w:rsidR="00B40A72">
        <w:rPr>
          <w:rFonts w:eastAsiaTheme="minorEastAsia"/>
        </w:rPr>
        <w:t>Decision Modelling for Health Economic Evaluation</w:t>
      </w:r>
      <w:r w:rsidR="0096184E">
        <w:rPr>
          <w:rStyle w:val="FootnoteReference"/>
          <w:rFonts w:eastAsiaTheme="minorEastAsia"/>
        </w:rPr>
        <w:footnoteReference w:id="1"/>
      </w:r>
      <w:r w:rsidR="00B40A72">
        <w:rPr>
          <w:rFonts w:eastAsiaTheme="minorEastAsia"/>
        </w:rPr>
        <w:t>.</w:t>
      </w:r>
    </w:p>
    <w:p w14:paraId="741FE14B" w14:textId="3D41B6F5" w:rsidR="00196AEB" w:rsidRPr="00616CFF" w:rsidRDefault="00254598" w:rsidP="00196AEB">
      <w:pPr>
        <w:jc w:val="center"/>
        <w:rPr>
          <w:rFonts w:eastAsiaTheme="minorEastAsia"/>
        </w:rPr>
      </w:pPr>
      <m:oMath>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m:t>
            </m:r>
            <m:sSup>
              <m:sSupPr>
                <m:ctrlPr>
                  <w:rPr>
                    <w:rFonts w:ascii="Cambria Math" w:eastAsiaTheme="minorEastAsia" w:hAnsi="Cambria Math"/>
                    <w:i/>
                  </w:rPr>
                </m:ctrlPr>
              </m:sSupPr>
              <m:e>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0</m:t>
                            </m:r>
                          </m:sub>
                        </m:sSub>
                      </m:num>
                      <m:den>
                        <m:r>
                          <w:rPr>
                            <w:rFonts w:ascii="Cambria Math" w:hAnsi="Cambria Math"/>
                          </w:rPr>
                          <m:t>365</m:t>
                        </m:r>
                      </m:den>
                    </m:f>
                    <m:r>
                      <w:rPr>
                        <w:rFonts w:ascii="Cambria Math" w:eastAsiaTheme="minorEastAsia" w:hAnsi="Cambria Math"/>
                      </w:rPr>
                      <m:t>)</m:t>
                    </m:r>
                  </m:e>
                </m:func>
                <m:r>
                  <w:rPr>
                    <w:rFonts w:ascii="Cambria Math" w:eastAsiaTheme="minorEastAsia" w:hAnsi="Cambria Math"/>
                  </w:rPr>
                  <m:t>)</m:t>
                </m:r>
              </m:e>
              <m:sup>
                <m:r>
                  <w:rPr>
                    <w:rFonts w:ascii="Cambria Math" w:eastAsiaTheme="minorEastAsia" w:hAnsi="Cambria Math"/>
                  </w:rPr>
                  <m:t>-1</m:t>
                </m:r>
              </m:sup>
            </m:sSup>
          </m:e>
        </m:func>
      </m:oMath>
      <w:r w:rsidR="00196AEB" w:rsidRPr="00616CFF">
        <w:rPr>
          <w:rFonts w:eastAsiaTheme="minorEastAsia"/>
        </w:rPr>
        <w:t xml:space="preserve">  [</w:t>
      </w:r>
      <w:r w:rsidR="004D1263">
        <w:rPr>
          <w:rFonts w:eastAsiaTheme="minorEastAsia"/>
        </w:rPr>
        <w:t>7</w:t>
      </w:r>
      <w:r w:rsidR="00196AEB" w:rsidRPr="00616CFF">
        <w:rPr>
          <w:rFonts w:eastAsiaTheme="minorEastAsia"/>
        </w:rPr>
        <w:t>]</w:t>
      </w:r>
    </w:p>
    <w:p w14:paraId="55D885A1" w14:textId="77777777" w:rsidR="00196AEB" w:rsidRDefault="00196AEB" w:rsidP="00C06DCC">
      <w:pPr>
        <w:jc w:val="center"/>
        <w:rPr>
          <w:rFonts w:eastAsiaTheme="minorEastAsia"/>
        </w:rPr>
      </w:pPr>
    </w:p>
    <w:p w14:paraId="7C1326DE" w14:textId="77777777" w:rsidR="009C46B9" w:rsidRDefault="009C46B9" w:rsidP="00C06DCC">
      <w:pPr>
        <w:jc w:val="center"/>
        <w:rPr>
          <w:rFonts w:eastAsiaTheme="minorEastAsia"/>
        </w:rPr>
      </w:pPr>
    </w:p>
    <w:p w14:paraId="41F9FDA1" w14:textId="68142234" w:rsidR="009C46B9" w:rsidRDefault="009C46B9" w:rsidP="009C46B9">
      <w:pPr>
        <w:rPr>
          <w:rFonts w:eastAsiaTheme="minorEastAsia"/>
        </w:rPr>
      </w:pPr>
      <w:r>
        <w:rPr>
          <w:rFonts w:eastAsiaTheme="minorEastAsia"/>
        </w:rPr>
        <w:t>Examples:</w:t>
      </w:r>
    </w:p>
    <w:p w14:paraId="2FC44788" w14:textId="1A3F872E" w:rsidR="00D4745A" w:rsidRPr="00CE6336" w:rsidRDefault="00D4745A" w:rsidP="009C46B9">
      <w:pPr>
        <w:rPr>
          <w:rFonts w:eastAsiaTheme="minorEastAsia"/>
          <w:i/>
          <w:iCs/>
        </w:rPr>
      </w:pPr>
      <w:r w:rsidRPr="00CE6336">
        <w:rPr>
          <w:rFonts w:eastAsiaTheme="minorEastAsia"/>
          <w:i/>
          <w:iCs/>
        </w:rPr>
        <w:t>Each example uses the coefficients</w:t>
      </w:r>
      <w:r w:rsidR="00D74F59" w:rsidRPr="00CE6336">
        <w:rPr>
          <w:rFonts w:eastAsiaTheme="minorEastAsia"/>
          <w:i/>
          <w:iCs/>
        </w:rPr>
        <w:t xml:space="preserve"> to four decimal places</w:t>
      </w:r>
      <w:r w:rsidRPr="00CE6336">
        <w:rPr>
          <w:rFonts w:eastAsiaTheme="minorEastAsia"/>
          <w:i/>
          <w:iCs/>
        </w:rPr>
        <w:t xml:space="preserve"> from Table</w:t>
      </w:r>
      <w:r w:rsidR="00D74F59" w:rsidRPr="00CE6336">
        <w:rPr>
          <w:rFonts w:eastAsiaTheme="minorEastAsia"/>
          <w:i/>
          <w:iCs/>
        </w:rPr>
        <w:t xml:space="preserve"> X.  As </w:t>
      </w:r>
      <w:r w:rsidR="00312469" w:rsidRPr="00CE6336">
        <w:rPr>
          <w:rFonts w:eastAsiaTheme="minorEastAsia"/>
          <w:i/>
          <w:iCs/>
        </w:rPr>
        <w:t xml:space="preserve">such estimates </w:t>
      </w:r>
      <w:r w:rsidR="0068274C">
        <w:rPr>
          <w:rFonts w:eastAsiaTheme="minorEastAsia"/>
          <w:i/>
          <w:iCs/>
        </w:rPr>
        <w:t>may be affected by rounding.</w:t>
      </w:r>
      <w:r w:rsidR="00AC5C6B">
        <w:rPr>
          <w:rFonts w:eastAsiaTheme="minorEastAsia"/>
          <w:i/>
          <w:iCs/>
        </w:rPr>
        <w:t xml:space="preserve"> Full coefficients are </w:t>
      </w:r>
      <w:r w:rsidR="00761683">
        <w:rPr>
          <w:rFonts w:eastAsiaTheme="minorEastAsia"/>
          <w:i/>
          <w:iCs/>
        </w:rPr>
        <w:t xml:space="preserve">reported </w:t>
      </w:r>
      <w:r w:rsidR="00AC5C6B">
        <w:rPr>
          <w:rFonts w:eastAsiaTheme="minorEastAsia"/>
          <w:i/>
          <w:iCs/>
        </w:rPr>
        <w:t>in the supporting materials.</w:t>
      </w:r>
    </w:p>
    <w:p w14:paraId="52F064C9" w14:textId="05946863" w:rsidR="00803D15" w:rsidRDefault="00803D15" w:rsidP="009C46B9">
      <w:pPr>
        <w:rPr>
          <w:rFonts w:eastAsiaTheme="minorEastAsia"/>
        </w:rPr>
      </w:pPr>
      <w:r>
        <w:rPr>
          <w:rFonts w:eastAsiaTheme="minorEastAsia"/>
        </w:rPr>
        <w:t>For a</w:t>
      </w:r>
      <w:r w:rsidR="00B4794C">
        <w:rPr>
          <w:rFonts w:eastAsiaTheme="minorEastAsia"/>
        </w:rPr>
        <w:t>n</w:t>
      </w:r>
      <w:r>
        <w:rPr>
          <w:rFonts w:eastAsiaTheme="minorEastAsia"/>
        </w:rPr>
        <w:t xml:space="preserve"> </w:t>
      </w:r>
      <w:r w:rsidR="00B4794C">
        <w:rPr>
          <w:rFonts w:eastAsiaTheme="minorEastAsia"/>
        </w:rPr>
        <w:t>80-year-old</w:t>
      </w:r>
      <w:r w:rsidR="00495709">
        <w:rPr>
          <w:rFonts w:eastAsiaTheme="minorEastAsia"/>
        </w:rPr>
        <w:t xml:space="preserve"> woman </w:t>
      </w:r>
      <w:r w:rsidR="002D1951">
        <w:rPr>
          <w:rFonts w:eastAsiaTheme="minorEastAsia"/>
        </w:rPr>
        <w:t xml:space="preserve">discharged from hospital with a modified Rankin Score of </w:t>
      </w:r>
      <w:r w:rsidR="000C7073">
        <w:rPr>
          <w:rFonts w:eastAsiaTheme="minorEastAsia"/>
        </w:rPr>
        <w:t>two</w:t>
      </w:r>
      <w:r w:rsidR="00900109">
        <w:rPr>
          <w:rFonts w:eastAsiaTheme="minorEastAsia"/>
        </w:rPr>
        <w:t xml:space="preserve">, her probability </w:t>
      </w:r>
      <w:r w:rsidR="00B4794C">
        <w:rPr>
          <w:rFonts w:eastAsiaTheme="minorEastAsia"/>
        </w:rPr>
        <w:t>of death in the 12 months following discharge would be:</w:t>
      </w:r>
    </w:p>
    <w:p w14:paraId="40849991" w14:textId="199DEB40" w:rsidR="00442276" w:rsidRPr="006458AE" w:rsidRDefault="00442276" w:rsidP="006458AE">
      <w:pPr>
        <w:pStyle w:val="ListParagraph"/>
        <w:numPr>
          <w:ilvl w:val="0"/>
          <w:numId w:val="2"/>
        </w:numPr>
        <w:rPr>
          <w:rFonts w:eastAsiaTheme="minorEastAsia"/>
        </w:rPr>
      </w:pPr>
      <w:r w:rsidRPr="006458AE">
        <w:rPr>
          <w:rFonts w:eastAsiaTheme="minorEastAsia"/>
        </w:rPr>
        <w:t xml:space="preserve">The </w:t>
      </w:r>
      <w:r w:rsidR="008441E8">
        <w:rPr>
          <w:rFonts w:eastAsiaTheme="minorEastAsia"/>
        </w:rPr>
        <w:t xml:space="preserve">logistic </w:t>
      </w:r>
      <w:r w:rsidRPr="006458AE">
        <w:rPr>
          <w:rFonts w:eastAsiaTheme="minorEastAsia"/>
        </w:rPr>
        <w:t xml:space="preserve">linear estimator is </w:t>
      </w:r>
      <w:r w:rsidR="00DF58CE">
        <w:rPr>
          <w:color w:val="000000"/>
        </w:rPr>
        <w:t xml:space="preserve">-4.2354 </w:t>
      </w:r>
      <w:r w:rsidR="00824F13" w:rsidRPr="006458AE">
        <w:rPr>
          <w:rFonts w:ascii="Calibri" w:hAnsi="Calibri" w:cs="Calibri"/>
          <w:color w:val="000000"/>
        </w:rPr>
        <w:t>+ (80-72.8575)</w:t>
      </w:r>
      <w:r w:rsidR="009B1074">
        <w:rPr>
          <w:rFonts w:ascii="Calibri" w:hAnsi="Calibri" w:cs="Calibri"/>
          <w:color w:val="000000"/>
        </w:rPr>
        <w:t xml:space="preserve"> </w:t>
      </w:r>
      <w:r w:rsidR="00C60AB8" w:rsidRPr="006458AE">
        <w:rPr>
          <w:rFonts w:ascii="Calibri" w:hAnsi="Calibri" w:cs="Calibri"/>
          <w:color w:val="000000"/>
        </w:rPr>
        <w:t>·</w:t>
      </w:r>
      <w:r w:rsidR="009B1074">
        <w:rPr>
          <w:rFonts w:ascii="Calibri" w:hAnsi="Calibri" w:cs="Calibri"/>
          <w:color w:val="000000"/>
        </w:rPr>
        <w:t xml:space="preserve"> </w:t>
      </w:r>
      <w:r w:rsidR="00B719F1" w:rsidRPr="006458AE">
        <w:rPr>
          <w:rFonts w:ascii="Calibri" w:hAnsi="Calibri" w:cs="Calibri"/>
          <w:color w:val="000000"/>
        </w:rPr>
        <w:t>0.066</w:t>
      </w:r>
      <w:r w:rsidR="00DF58CE">
        <w:rPr>
          <w:rFonts w:ascii="Calibri" w:hAnsi="Calibri" w:cs="Calibri"/>
          <w:color w:val="000000"/>
        </w:rPr>
        <w:t>3</w:t>
      </w:r>
      <w:r w:rsidR="00B719F1" w:rsidRPr="006458AE">
        <w:rPr>
          <w:rFonts w:ascii="Calibri" w:hAnsi="Calibri" w:cs="Calibri"/>
          <w:color w:val="000000"/>
        </w:rPr>
        <w:t xml:space="preserve"> +</w:t>
      </w:r>
      <w:r w:rsidR="002D4851" w:rsidRPr="006458AE">
        <w:rPr>
          <w:rFonts w:ascii="Calibri" w:hAnsi="Calibri" w:cs="Calibri"/>
          <w:color w:val="000000"/>
        </w:rPr>
        <w:t xml:space="preserve"> 1.2</w:t>
      </w:r>
      <w:r w:rsidR="003B009F">
        <w:rPr>
          <w:rFonts w:ascii="Calibri" w:hAnsi="Calibri" w:cs="Calibri"/>
          <w:color w:val="000000"/>
        </w:rPr>
        <w:t>590</w:t>
      </w:r>
      <w:r w:rsidR="002008CC" w:rsidRPr="006458AE">
        <w:rPr>
          <w:rFonts w:ascii="Calibri" w:hAnsi="Calibri" w:cs="Calibri"/>
          <w:color w:val="000000"/>
        </w:rPr>
        <w:t xml:space="preserve"> = </w:t>
      </w:r>
      <w:r w:rsidR="007035DD" w:rsidRPr="007035DD">
        <w:rPr>
          <w:rFonts w:ascii="Calibri" w:hAnsi="Calibri" w:cs="Calibri"/>
          <w:color w:val="000000"/>
        </w:rPr>
        <w:t>-2.50276</w:t>
      </w:r>
    </w:p>
    <w:p w14:paraId="72CE3B9A" w14:textId="6A245667" w:rsidR="00B4794C" w:rsidRPr="006458AE" w:rsidRDefault="003B13EC" w:rsidP="006458AE">
      <w:pPr>
        <w:pStyle w:val="ListParagraph"/>
        <w:numPr>
          <w:ilvl w:val="0"/>
          <w:numId w:val="2"/>
        </w:numPr>
        <w:rPr>
          <w:rFonts w:eastAsiaTheme="minorEastAsia"/>
        </w:rPr>
      </w:pPr>
      <w:r w:rsidRPr="006458AE">
        <w:rPr>
          <w:rFonts w:eastAsiaTheme="minorEastAsia"/>
        </w:rPr>
        <w:t xml:space="preserve">From </w:t>
      </w:r>
      <w:r w:rsidR="00442276" w:rsidRPr="006458AE">
        <w:rPr>
          <w:rFonts w:eastAsiaTheme="minorEastAsia"/>
        </w:rPr>
        <w:t>[2]</w:t>
      </w:r>
      <w:r w:rsidR="00E14E53" w:rsidRPr="006458AE">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-(-2.5053)</m:t>
                </m:r>
              </m:sup>
            </m:sSup>
          </m:den>
        </m:f>
      </m:oMath>
      <w:r w:rsidR="0063572E" w:rsidRPr="006458AE">
        <w:rPr>
          <w:rFonts w:eastAsiaTheme="minorEastAsia"/>
        </w:rPr>
        <w:t xml:space="preserve"> = </w:t>
      </w:r>
      <w:r w:rsidR="00F21319" w:rsidRPr="00CE6336">
        <w:rPr>
          <w:rFonts w:eastAsiaTheme="minorEastAsia"/>
          <w:b/>
          <w:bCs/>
        </w:rPr>
        <w:t>0.075</w:t>
      </w:r>
      <w:r w:rsidR="00DF58CE">
        <w:rPr>
          <w:rFonts w:eastAsiaTheme="minorEastAsia"/>
          <w:b/>
          <w:bCs/>
        </w:rPr>
        <w:t>7</w:t>
      </w:r>
    </w:p>
    <w:p w14:paraId="38D86636" w14:textId="5ECEF652" w:rsidR="00B4794C" w:rsidRDefault="00B4794C" w:rsidP="009C46B9">
      <w:pPr>
        <w:rPr>
          <w:rFonts w:eastAsiaTheme="minorEastAsia"/>
        </w:rPr>
      </w:pPr>
      <w:r>
        <w:rPr>
          <w:rFonts w:eastAsiaTheme="minorEastAsia"/>
        </w:rPr>
        <w:t>For the same woman</w:t>
      </w:r>
      <w:r w:rsidR="002C6713">
        <w:rPr>
          <w:rFonts w:eastAsiaTheme="minorEastAsia"/>
        </w:rPr>
        <w:t xml:space="preserve">, her </w:t>
      </w:r>
      <w:r w:rsidR="00755C69">
        <w:rPr>
          <w:rFonts w:eastAsiaTheme="minorEastAsia"/>
        </w:rPr>
        <w:t xml:space="preserve">probability of death </w:t>
      </w:r>
      <w:r w:rsidR="00A31BD0">
        <w:rPr>
          <w:rFonts w:eastAsiaTheme="minorEastAsia"/>
        </w:rPr>
        <w:t xml:space="preserve">by the end of year </w:t>
      </w:r>
      <w:r w:rsidR="00DF2A7D">
        <w:rPr>
          <w:rFonts w:eastAsiaTheme="minorEastAsia"/>
        </w:rPr>
        <w:t>two would</w:t>
      </w:r>
      <w:r w:rsidR="000C7073">
        <w:rPr>
          <w:rFonts w:eastAsiaTheme="minorEastAsia"/>
        </w:rPr>
        <w:t xml:space="preserve"> be</w:t>
      </w:r>
      <w:r w:rsidR="00D64ACB">
        <w:rPr>
          <w:rFonts w:eastAsiaTheme="minorEastAsia"/>
        </w:rPr>
        <w:t>:</w:t>
      </w:r>
    </w:p>
    <w:p w14:paraId="61FF2158" w14:textId="1E15B01C" w:rsidR="00806909" w:rsidRPr="00B45424" w:rsidRDefault="00A34C4E" w:rsidP="00806909">
      <w:pPr>
        <w:pStyle w:val="ListParagraph"/>
        <w:numPr>
          <w:ilvl w:val="0"/>
          <w:numId w:val="4"/>
        </w:numPr>
        <w:rPr>
          <w:rFonts w:eastAsiaTheme="minorEastAsia"/>
        </w:rPr>
      </w:pPr>
      <w:r w:rsidRPr="00B45424">
        <w:rPr>
          <w:rFonts w:eastAsiaTheme="minorEastAsia"/>
        </w:rPr>
        <w:t xml:space="preserve">The </w:t>
      </w:r>
      <w:proofErr w:type="spellStart"/>
      <w:r w:rsidR="008441E8" w:rsidRPr="00B45424">
        <w:rPr>
          <w:rFonts w:eastAsiaTheme="minorEastAsia"/>
        </w:rPr>
        <w:t>Gompertz</w:t>
      </w:r>
      <w:proofErr w:type="spellEnd"/>
      <w:r w:rsidR="008441E8" w:rsidRPr="00B45424">
        <w:rPr>
          <w:rFonts w:eastAsiaTheme="minorEastAsia"/>
        </w:rPr>
        <w:t xml:space="preserve"> </w:t>
      </w:r>
      <w:r w:rsidRPr="00B45424">
        <w:rPr>
          <w:rFonts w:eastAsiaTheme="minorEastAsia"/>
        </w:rPr>
        <w:t>linear estimator is</w:t>
      </w:r>
      <w:r w:rsidR="00075E88" w:rsidRPr="00B45424">
        <w:rPr>
          <w:rFonts w:eastAsiaTheme="minorEastAsia"/>
        </w:rPr>
        <w:t xml:space="preserve"> </w:t>
      </w:r>
      <w:r w:rsidR="00806909" w:rsidRPr="00B45424">
        <w:rPr>
          <w:rFonts w:eastAsiaTheme="minorEastAsia"/>
        </w:rPr>
        <w:t>-9.0</w:t>
      </w:r>
      <w:r w:rsidR="00591D62">
        <w:rPr>
          <w:rFonts w:eastAsiaTheme="minorEastAsia"/>
        </w:rPr>
        <w:t>670</w:t>
      </w:r>
      <w:r w:rsidR="00806909" w:rsidRPr="00B45424">
        <w:rPr>
          <w:rFonts w:eastAsiaTheme="minorEastAsia"/>
        </w:rPr>
        <w:t xml:space="preserve"> +</w:t>
      </w:r>
      <w:r w:rsidR="00637807">
        <w:rPr>
          <w:rFonts w:eastAsiaTheme="minorEastAsia"/>
        </w:rPr>
        <w:t xml:space="preserve"> </w:t>
      </w:r>
      <w:r w:rsidR="00A27BEC" w:rsidRPr="00B45424">
        <w:rPr>
          <w:rFonts w:eastAsiaTheme="minorEastAsia"/>
        </w:rPr>
        <w:t>[</w:t>
      </w:r>
      <w:r w:rsidR="00994E7D" w:rsidRPr="00B45424">
        <w:rPr>
          <w:rFonts w:eastAsiaTheme="minorEastAsia"/>
        </w:rPr>
        <w:t>0.00</w:t>
      </w:r>
      <w:r w:rsidR="00591D62">
        <w:rPr>
          <w:rFonts w:eastAsiaTheme="minorEastAsia"/>
        </w:rPr>
        <w:t>729</w:t>
      </w:r>
      <w:r w:rsidR="00637807">
        <w:rPr>
          <w:rFonts w:eastAsiaTheme="minorEastAsia"/>
        </w:rPr>
        <w:t xml:space="preserve"> </w:t>
      </w:r>
      <w:r w:rsidR="00557BE5" w:rsidRPr="00B45424">
        <w:rPr>
          <w:rFonts w:eastAsiaTheme="minorEastAsia"/>
        </w:rPr>
        <w:t>·</w:t>
      </w:r>
      <w:r w:rsidR="00637807">
        <w:rPr>
          <w:rFonts w:eastAsiaTheme="minorEastAsia"/>
        </w:rPr>
        <w:t xml:space="preserve"> </w:t>
      </w:r>
      <w:r w:rsidR="00557BE5" w:rsidRPr="00B45424">
        <w:rPr>
          <w:rFonts w:eastAsiaTheme="minorEastAsia"/>
        </w:rPr>
        <w:t>(80-73.7324)</w:t>
      </w:r>
      <w:r w:rsidR="00A27BEC" w:rsidRPr="00B45424">
        <w:rPr>
          <w:rFonts w:eastAsiaTheme="minorEastAsia"/>
        </w:rPr>
        <w:t>]</w:t>
      </w:r>
      <w:r w:rsidR="00806909" w:rsidRPr="00B45424">
        <w:rPr>
          <w:rFonts w:eastAsiaTheme="minorEastAsia"/>
        </w:rPr>
        <w:t xml:space="preserve"> +</w:t>
      </w:r>
      <w:r w:rsidR="00637807">
        <w:rPr>
          <w:rFonts w:eastAsiaTheme="minorEastAsia"/>
        </w:rPr>
        <w:t xml:space="preserve"> </w:t>
      </w:r>
      <w:r w:rsidR="00C67E50" w:rsidRPr="00B45424">
        <w:rPr>
          <w:rFonts w:eastAsiaTheme="minorEastAsia"/>
        </w:rPr>
        <w:t>[</w:t>
      </w:r>
      <w:r w:rsidR="005440BD" w:rsidRPr="00B45424">
        <w:rPr>
          <w:rFonts w:eastAsiaTheme="minorEastAsia"/>
        </w:rPr>
        <w:t>0.</w:t>
      </w:r>
      <w:r w:rsidR="00497E59" w:rsidRPr="00B45424">
        <w:rPr>
          <w:rFonts w:eastAsiaTheme="minorEastAsia"/>
        </w:rPr>
        <w:t>0</w:t>
      </w:r>
      <w:r w:rsidR="005440BD" w:rsidRPr="00B45424">
        <w:rPr>
          <w:rFonts w:eastAsiaTheme="minorEastAsia"/>
        </w:rPr>
        <w:t>00</w:t>
      </w:r>
      <w:r w:rsidR="00591D62">
        <w:rPr>
          <w:rFonts w:eastAsiaTheme="minorEastAsia"/>
        </w:rPr>
        <w:t>59</w:t>
      </w:r>
      <w:r w:rsidR="00637807">
        <w:rPr>
          <w:rFonts w:eastAsiaTheme="minorEastAsia"/>
        </w:rPr>
        <w:t xml:space="preserve"> </w:t>
      </w:r>
      <w:r w:rsidR="005440BD" w:rsidRPr="00B45424">
        <w:rPr>
          <w:rFonts w:eastAsiaTheme="minorEastAsia"/>
        </w:rPr>
        <w:t>·</w:t>
      </w:r>
      <w:r w:rsidR="00637807">
        <w:rPr>
          <w:rFonts w:eastAsiaTheme="minorEastAsia"/>
        </w:rPr>
        <w:t xml:space="preserve"> </w:t>
      </w:r>
      <w:r w:rsidR="005301F0" w:rsidRPr="00B45424">
        <w:rPr>
          <w:rFonts w:eastAsiaTheme="minorEastAsia"/>
        </w:rPr>
        <w:t>(80</w:t>
      </w:r>
      <w:r w:rsidR="00734062" w:rsidRPr="00B45424">
        <w:rPr>
          <w:rFonts w:eastAsiaTheme="minorEastAsia"/>
          <w:vertAlign w:val="superscript"/>
        </w:rPr>
        <w:t>2</w:t>
      </w:r>
      <w:r w:rsidR="005301F0" w:rsidRPr="00B45424">
        <w:rPr>
          <w:rFonts w:eastAsiaTheme="minorEastAsia"/>
        </w:rPr>
        <w:t xml:space="preserve"> - 73.7324</w:t>
      </w:r>
      <w:r w:rsidR="005301F0" w:rsidRPr="00B45424">
        <w:rPr>
          <w:rFonts w:eastAsiaTheme="minorEastAsia"/>
          <w:vertAlign w:val="superscript"/>
        </w:rPr>
        <w:t>2</w:t>
      </w:r>
      <w:r w:rsidR="005301F0" w:rsidRPr="00B45424">
        <w:rPr>
          <w:rFonts w:eastAsiaTheme="minorEastAsia"/>
        </w:rPr>
        <w:t>)</w:t>
      </w:r>
      <w:r w:rsidR="00C67E50" w:rsidRPr="00B45424">
        <w:rPr>
          <w:rFonts w:eastAsiaTheme="minorEastAsia"/>
        </w:rPr>
        <w:t>]</w:t>
      </w:r>
      <w:r w:rsidR="001740EF" w:rsidRPr="00B45424">
        <w:rPr>
          <w:rFonts w:eastAsiaTheme="minorEastAsia"/>
        </w:rPr>
        <w:t xml:space="preserve"> +</w:t>
      </w:r>
      <w:r w:rsidR="00980F10">
        <w:rPr>
          <w:rFonts w:eastAsiaTheme="minorEastAsia"/>
        </w:rPr>
        <w:t xml:space="preserve"> </w:t>
      </w:r>
      <w:r w:rsidR="00C67E50" w:rsidRPr="00B45424">
        <w:rPr>
          <w:rFonts w:eastAsiaTheme="minorEastAsia"/>
        </w:rPr>
        <w:t>[</w:t>
      </w:r>
      <w:r w:rsidR="00A27BEC" w:rsidRPr="00B45424">
        <w:rPr>
          <w:rFonts w:eastAsiaTheme="minorEastAsia"/>
        </w:rPr>
        <w:t>-0.02</w:t>
      </w:r>
      <w:r w:rsidR="007773CA">
        <w:rPr>
          <w:rFonts w:eastAsiaTheme="minorEastAsia"/>
        </w:rPr>
        <w:t>59</w:t>
      </w:r>
      <w:r w:rsidR="00980F10">
        <w:rPr>
          <w:rFonts w:eastAsiaTheme="minorEastAsia"/>
        </w:rPr>
        <w:t xml:space="preserve"> </w:t>
      </w:r>
      <w:r w:rsidR="00A27BEC" w:rsidRPr="00B45424">
        <w:rPr>
          <w:rFonts w:eastAsiaTheme="minorEastAsia"/>
        </w:rPr>
        <w:t>·</w:t>
      </w:r>
      <w:r w:rsidR="00980F10">
        <w:rPr>
          <w:rFonts w:eastAsiaTheme="minorEastAsia"/>
        </w:rPr>
        <w:t xml:space="preserve"> </w:t>
      </w:r>
      <w:r w:rsidR="00A27BEC" w:rsidRPr="00B45424">
        <w:rPr>
          <w:rFonts w:eastAsiaTheme="minorEastAsia"/>
        </w:rPr>
        <w:t>(80-73.7324)</w:t>
      </w:r>
      <w:r w:rsidR="00C67E50" w:rsidRPr="00B45424">
        <w:rPr>
          <w:rFonts w:eastAsiaTheme="minorEastAsia"/>
        </w:rPr>
        <w:t xml:space="preserve">] </w:t>
      </w:r>
      <w:r w:rsidR="00FC08B6">
        <w:rPr>
          <w:rFonts w:eastAsiaTheme="minorEastAsia"/>
        </w:rPr>
        <w:t>+</w:t>
      </w:r>
      <w:r w:rsidR="00980F10">
        <w:rPr>
          <w:rFonts w:eastAsiaTheme="minorEastAsia"/>
        </w:rPr>
        <w:t xml:space="preserve"> </w:t>
      </w:r>
      <w:r w:rsidR="00FC08B6">
        <w:rPr>
          <w:rFonts w:eastAsiaTheme="minorEastAsia"/>
        </w:rPr>
        <w:t>0.41135</w:t>
      </w:r>
      <w:r w:rsidR="00225464" w:rsidRPr="00B45424">
        <w:rPr>
          <w:rFonts w:eastAsiaTheme="minorEastAsia"/>
        </w:rPr>
        <w:t xml:space="preserve"> = </w:t>
      </w:r>
      <w:r w:rsidR="004D2E6D" w:rsidRPr="004D2E6D">
        <w:rPr>
          <w:rFonts w:eastAsiaTheme="minorEastAsia"/>
        </w:rPr>
        <w:t>-8.2016</w:t>
      </w:r>
    </w:p>
    <w:p w14:paraId="3E53B2CB" w14:textId="0D989681" w:rsidR="00A34C4E" w:rsidRPr="00B45424" w:rsidRDefault="000D6FC9" w:rsidP="00D40357">
      <w:pPr>
        <w:pStyle w:val="ListParagraph"/>
        <w:numPr>
          <w:ilvl w:val="0"/>
          <w:numId w:val="4"/>
        </w:numPr>
        <w:rPr>
          <w:rFonts w:eastAsiaTheme="minorEastAsia"/>
        </w:rPr>
      </w:pPr>
      <w:r w:rsidRPr="00B45424">
        <w:rPr>
          <w:rFonts w:eastAsiaTheme="minorEastAsia"/>
        </w:rPr>
        <w:t xml:space="preserve">From [1] </w:t>
      </w:r>
      <m:oMath>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365</m:t>
            </m:r>
          </m:sub>
        </m:sSub>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rPr>
                </m:ctrlPr>
              </m:sSupPr>
              <m:e>
                <m:r>
                  <w:rPr>
                    <w:rFonts w:ascii="Cambria Math" w:eastAsiaTheme="minorEastAsia" w:hAnsi="Cambria Math"/>
                  </w:rPr>
                  <m:t>e</m:t>
                </m:r>
              </m:e>
              <m:sup>
                <m:r>
                  <m:rPr>
                    <m:sty m:val="p"/>
                  </m:rPr>
                  <w:rPr>
                    <w:rFonts w:ascii="Cambria Math" w:eastAsiaTheme="minorEastAsia" w:hAnsi="Cambria Math"/>
                  </w:rPr>
                  <m:t>-8.2016</m:t>
                </m:r>
              </m:sup>
            </m:sSup>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e</m:t>
                </m:r>
              </m:e>
              <m:sup>
                <m:r>
                  <m:rPr>
                    <m:sty m:val="p"/>
                  </m:rPr>
                  <w:rPr>
                    <w:rFonts w:ascii="Cambria Math" w:eastAsiaTheme="minorEastAsia" w:hAnsi="Cambria Math"/>
                  </w:rPr>
                  <m:t>0.0002·365</m:t>
                </m:r>
              </m:sup>
            </m:sSup>
            <m:r>
              <m:rPr>
                <m:sty m:val="p"/>
              </m:rPr>
              <w:rPr>
                <w:rFonts w:ascii="Cambria Math" w:eastAsiaTheme="minorEastAsia" w:hAnsi="Cambria Math"/>
              </w:rPr>
              <m:t>-1)</m:t>
            </m:r>
          </m:num>
          <m:den>
            <m:r>
              <m:rPr>
                <m:sty m:val="p"/>
              </m:rPr>
              <w:rPr>
                <w:rFonts w:ascii="Cambria Math" w:eastAsiaTheme="minorEastAsia" w:hAnsi="Cambria Math"/>
              </w:rPr>
              <m:t>0.0002</m:t>
            </m:r>
          </m:den>
        </m:f>
      </m:oMath>
      <w:r w:rsidR="006818DD" w:rsidRPr="00B45424">
        <w:rPr>
          <w:rFonts w:eastAsiaTheme="minorEastAsia"/>
        </w:rPr>
        <w:t xml:space="preserve"> = </w:t>
      </w:r>
      <w:r w:rsidR="00752A00" w:rsidRPr="00752A00">
        <w:rPr>
          <w:rFonts w:eastAsiaTheme="minorEastAsia"/>
        </w:rPr>
        <w:t>0.104</w:t>
      </w:r>
      <w:r w:rsidR="00BA119F">
        <w:rPr>
          <w:rFonts w:eastAsiaTheme="minorEastAsia"/>
        </w:rPr>
        <w:t>2</w:t>
      </w:r>
    </w:p>
    <w:p w14:paraId="7573551F" w14:textId="4CE5D86F" w:rsidR="00D64ACB" w:rsidRPr="0023749B" w:rsidRDefault="007B1CD5" w:rsidP="009C46B9">
      <w:pPr>
        <w:pStyle w:val="ListParagraph"/>
        <w:numPr>
          <w:ilvl w:val="0"/>
          <w:numId w:val="4"/>
        </w:numPr>
        <w:rPr>
          <w:rFonts w:eastAsiaTheme="minorEastAsia"/>
        </w:rPr>
      </w:pPr>
      <w:r w:rsidRPr="00B45424">
        <w:rPr>
          <w:rFonts w:eastAsiaTheme="minorEastAsia"/>
        </w:rPr>
        <w:t xml:space="preserve">From [3] </w:t>
      </w:r>
      <m:oMath>
        <m:r>
          <m:rPr>
            <m:sty m:val="p"/>
          </m:rPr>
          <w:rPr>
            <w:rFonts w:ascii="Cambria Math" w:eastAsiaTheme="minorEastAsia" w:hAnsi="Cambria Math"/>
          </w:rPr>
          <m:t xml:space="preserve"> 1-</m:t>
        </m:r>
        <m:d>
          <m:dPr>
            <m:ctrlPr>
              <w:rPr>
                <w:rFonts w:ascii="Cambria Math" w:eastAsiaTheme="minorEastAsia" w:hAnsi="Cambria Math"/>
              </w:rPr>
            </m:ctrlPr>
          </m:dPr>
          <m:e>
            <m:r>
              <m:rPr>
                <m:sty m:val="p"/>
              </m:rPr>
              <w:rPr>
                <w:rFonts w:ascii="Cambria Math" w:eastAsiaTheme="minorEastAsia" w:hAnsi="Cambria Math"/>
              </w:rPr>
              <m:t>1-0.0757</m:t>
            </m:r>
          </m:e>
        </m:d>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1-0.1042</m:t>
            </m:r>
          </m:e>
        </m:d>
      </m:oMath>
      <w:r w:rsidR="00D40357" w:rsidRPr="00B45424">
        <w:rPr>
          <w:rFonts w:eastAsiaTheme="minorEastAsia"/>
        </w:rPr>
        <w:t xml:space="preserve"> = </w:t>
      </w:r>
      <w:r w:rsidR="00D40357" w:rsidRPr="00B45424">
        <w:rPr>
          <w:rFonts w:eastAsiaTheme="minorEastAsia"/>
          <w:b/>
          <w:bCs/>
        </w:rPr>
        <w:t>0.1</w:t>
      </w:r>
      <w:r w:rsidR="00E11968">
        <w:rPr>
          <w:rFonts w:eastAsiaTheme="minorEastAsia"/>
          <w:b/>
          <w:bCs/>
        </w:rPr>
        <w:t>720</w:t>
      </w:r>
    </w:p>
    <w:p w14:paraId="57CFEF7D" w14:textId="1E969799" w:rsidR="00D64ACB" w:rsidRDefault="00D64ACB" w:rsidP="009C46B9">
      <w:pPr>
        <w:rPr>
          <w:rFonts w:eastAsiaTheme="minorEastAsia"/>
        </w:rPr>
      </w:pPr>
      <w:r>
        <w:rPr>
          <w:rFonts w:eastAsiaTheme="minorEastAsia"/>
        </w:rPr>
        <w:t>And</w:t>
      </w:r>
      <w:r w:rsidR="00F85199">
        <w:rPr>
          <w:rFonts w:eastAsiaTheme="minorEastAsia"/>
        </w:rPr>
        <w:t xml:space="preserve"> her probability of </w:t>
      </w:r>
      <w:r w:rsidR="00DF2A7D">
        <w:rPr>
          <w:rFonts w:eastAsiaTheme="minorEastAsia"/>
        </w:rPr>
        <w:t>death during year three</w:t>
      </w:r>
      <w:r w:rsidR="00D2414D">
        <w:rPr>
          <w:rFonts w:eastAsiaTheme="minorEastAsia"/>
        </w:rPr>
        <w:t xml:space="preserve"> would be:</w:t>
      </w:r>
    </w:p>
    <w:p w14:paraId="329E10B7" w14:textId="0C393C2D" w:rsidR="00F929E6" w:rsidRPr="004764B3" w:rsidRDefault="00F929E6" w:rsidP="00F929E6">
      <w:pPr>
        <w:pStyle w:val="ListParagraph"/>
        <w:numPr>
          <w:ilvl w:val="0"/>
          <w:numId w:val="4"/>
        </w:numPr>
        <w:rPr>
          <w:rFonts w:eastAsiaTheme="minorEastAsia"/>
        </w:rPr>
      </w:pPr>
      <w:r w:rsidRPr="004764B3">
        <w:rPr>
          <w:rFonts w:eastAsiaTheme="minorEastAsia"/>
        </w:rPr>
        <w:t xml:space="preserve">The </w:t>
      </w:r>
      <w:proofErr w:type="spellStart"/>
      <w:r w:rsidR="008441E8" w:rsidRPr="004764B3">
        <w:rPr>
          <w:rFonts w:eastAsiaTheme="minorEastAsia"/>
        </w:rPr>
        <w:t>Gompertz</w:t>
      </w:r>
      <w:proofErr w:type="spellEnd"/>
      <w:r w:rsidR="008441E8" w:rsidRPr="004764B3">
        <w:rPr>
          <w:rFonts w:eastAsiaTheme="minorEastAsia"/>
        </w:rPr>
        <w:t xml:space="preserve"> </w:t>
      </w:r>
      <w:r w:rsidRPr="004764B3">
        <w:rPr>
          <w:rFonts w:eastAsiaTheme="minorEastAsia"/>
        </w:rPr>
        <w:t>linear estimator as above</w:t>
      </w:r>
      <w:r w:rsidR="00554DBB" w:rsidRPr="004764B3">
        <w:rPr>
          <w:rFonts w:eastAsiaTheme="minorEastAsia"/>
        </w:rPr>
        <w:t xml:space="preserve"> is</w:t>
      </w:r>
      <w:r w:rsidRPr="004764B3">
        <w:rPr>
          <w:rFonts w:eastAsiaTheme="minorEastAsia"/>
        </w:rPr>
        <w:t xml:space="preserve"> -8.3</w:t>
      </w:r>
      <w:r w:rsidR="00931101" w:rsidRPr="004764B3">
        <w:rPr>
          <w:rFonts w:eastAsiaTheme="minorEastAsia"/>
        </w:rPr>
        <w:t>595</w:t>
      </w:r>
    </w:p>
    <w:p w14:paraId="74F41CD6" w14:textId="46220B4C" w:rsidR="00F929E6" w:rsidRPr="004764B3" w:rsidRDefault="00F929E6" w:rsidP="00F929E6">
      <w:pPr>
        <w:pStyle w:val="ListParagraph"/>
        <w:numPr>
          <w:ilvl w:val="0"/>
          <w:numId w:val="4"/>
        </w:numPr>
        <w:rPr>
          <w:rFonts w:eastAsiaTheme="minorEastAsia"/>
        </w:rPr>
      </w:pPr>
      <w:r w:rsidRPr="004764B3">
        <w:rPr>
          <w:rFonts w:eastAsiaTheme="minorEastAsia"/>
        </w:rPr>
        <w:t xml:space="preserve">From [1] </w:t>
      </w:r>
      <m:oMath>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730</m:t>
            </m:r>
          </m:sub>
        </m:sSub>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rPr>
                </m:ctrlPr>
              </m:sSupPr>
              <m:e>
                <m:r>
                  <w:rPr>
                    <w:rFonts w:ascii="Cambria Math" w:eastAsiaTheme="minorEastAsia" w:hAnsi="Cambria Math"/>
                  </w:rPr>
                  <m:t>e</m:t>
                </m:r>
              </m:e>
              <m:sup>
                <m:r>
                  <m:rPr>
                    <m:sty m:val="p"/>
                  </m:rPr>
                  <w:rPr>
                    <w:rFonts w:ascii="Cambria Math" w:eastAsiaTheme="minorEastAsia" w:hAnsi="Cambria Math"/>
                  </w:rPr>
                  <m:t>-8.3595</m:t>
                </m:r>
              </m:sup>
            </m:sSup>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e</m:t>
                </m:r>
              </m:e>
              <m:sup>
                <m:r>
                  <m:rPr>
                    <m:sty m:val="p"/>
                  </m:rPr>
                  <w:rPr>
                    <w:rFonts w:ascii="Cambria Math" w:eastAsiaTheme="minorEastAsia" w:hAnsi="Cambria Math"/>
                  </w:rPr>
                  <m:t>0.0002·(2*365)</m:t>
                </m:r>
              </m:sup>
            </m:sSup>
            <m:r>
              <m:rPr>
                <m:sty m:val="p"/>
              </m:rPr>
              <w:rPr>
                <w:rFonts w:ascii="Cambria Math" w:eastAsiaTheme="minorEastAsia" w:hAnsi="Cambria Math"/>
              </w:rPr>
              <m:t>-1)</m:t>
            </m:r>
          </m:num>
          <m:den>
            <m:r>
              <m:rPr>
                <m:sty m:val="p"/>
              </m:rPr>
              <w:rPr>
                <w:rFonts w:ascii="Cambria Math" w:eastAsiaTheme="minorEastAsia" w:hAnsi="Cambria Math"/>
              </w:rPr>
              <m:t>0.0002</m:t>
            </m:r>
          </m:den>
        </m:f>
      </m:oMath>
      <w:r w:rsidRPr="004764B3">
        <w:rPr>
          <w:rFonts w:eastAsiaTheme="minorEastAsia"/>
        </w:rPr>
        <w:t xml:space="preserve"> = 0.</w:t>
      </w:r>
      <w:r w:rsidR="00A13F4F">
        <w:rPr>
          <w:rFonts w:eastAsiaTheme="minorEastAsia"/>
        </w:rPr>
        <w:t>21</w:t>
      </w:r>
      <w:r w:rsidR="00EA5D94">
        <w:rPr>
          <w:rFonts w:eastAsiaTheme="minorEastAsia"/>
        </w:rPr>
        <w:t>70</w:t>
      </w:r>
    </w:p>
    <w:p w14:paraId="54032E35" w14:textId="00E917BF" w:rsidR="00F929E6" w:rsidRPr="004764B3" w:rsidRDefault="00F929E6" w:rsidP="00F929E6">
      <w:pPr>
        <w:pStyle w:val="ListParagraph"/>
        <w:numPr>
          <w:ilvl w:val="0"/>
          <w:numId w:val="4"/>
        </w:numPr>
        <w:rPr>
          <w:rFonts w:eastAsiaTheme="minorEastAsia"/>
        </w:rPr>
      </w:pPr>
      <w:r w:rsidRPr="004764B3">
        <w:rPr>
          <w:rFonts w:eastAsiaTheme="minorEastAsia"/>
        </w:rPr>
        <w:t>From [3]</w:t>
      </w:r>
      <w:r w:rsidR="0002319D" w:rsidRPr="004764B3">
        <w:rPr>
          <w:rFonts w:eastAsiaTheme="minorEastAsia"/>
        </w:rPr>
        <w:t>, the cumulative probability of death</w:t>
      </w:r>
      <w:r w:rsidRPr="004764B3">
        <w:rPr>
          <w:rFonts w:eastAsiaTheme="minorEastAsia"/>
        </w:rPr>
        <w:t xml:space="preserve"> </w:t>
      </w:r>
      <m:oMath>
        <m:r>
          <m:rPr>
            <m:sty m:val="p"/>
          </m:rPr>
          <w:rPr>
            <w:rFonts w:ascii="Cambria Math" w:eastAsiaTheme="minorEastAsia" w:hAnsi="Cambria Math"/>
          </w:rPr>
          <m:t xml:space="preserve"> 1-</m:t>
        </m:r>
        <m:d>
          <m:dPr>
            <m:ctrlPr>
              <w:rPr>
                <w:rFonts w:ascii="Cambria Math" w:eastAsiaTheme="minorEastAsia" w:hAnsi="Cambria Math"/>
              </w:rPr>
            </m:ctrlPr>
          </m:dPr>
          <m:e>
            <m:r>
              <m:rPr>
                <m:sty m:val="p"/>
              </m:rPr>
              <w:rPr>
                <w:rFonts w:ascii="Cambria Math" w:eastAsiaTheme="minorEastAsia" w:hAnsi="Cambria Math"/>
              </w:rPr>
              <m:t>1-0.0755</m:t>
            </m:r>
          </m:e>
        </m:d>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1-0.2170</m:t>
            </m:r>
          </m:e>
        </m:d>
      </m:oMath>
      <w:r w:rsidRPr="004764B3">
        <w:rPr>
          <w:rFonts w:eastAsiaTheme="minorEastAsia"/>
        </w:rPr>
        <w:t xml:space="preserve"> = 0.</w:t>
      </w:r>
      <w:r w:rsidR="004340B3" w:rsidRPr="004764B3">
        <w:rPr>
          <w:rFonts w:eastAsiaTheme="minorEastAsia"/>
        </w:rPr>
        <w:t>2</w:t>
      </w:r>
      <w:r w:rsidR="008F33FB">
        <w:rPr>
          <w:rFonts w:eastAsiaTheme="minorEastAsia"/>
        </w:rPr>
        <w:t>762</w:t>
      </w:r>
    </w:p>
    <w:p w14:paraId="1D83E744" w14:textId="60E8B3AA" w:rsidR="00D2414D" w:rsidRPr="00B137AB" w:rsidRDefault="00030017" w:rsidP="009C46B9">
      <w:pPr>
        <w:pStyle w:val="ListParagraph"/>
        <w:numPr>
          <w:ilvl w:val="0"/>
          <w:numId w:val="4"/>
        </w:numPr>
        <w:rPr>
          <w:rFonts w:eastAsiaTheme="minorEastAsia"/>
        </w:rPr>
      </w:pPr>
      <w:r w:rsidRPr="004764B3">
        <w:rPr>
          <w:rFonts w:eastAsiaTheme="minorEastAsia"/>
        </w:rPr>
        <w:t xml:space="preserve">From [4] </w:t>
      </w:r>
      <w:r w:rsidR="00B0152C" w:rsidRPr="004764B3">
        <w:rPr>
          <w:rFonts w:eastAsiaTheme="minorEastAsia"/>
        </w:rPr>
        <w:t xml:space="preserve"> </w:t>
      </w:r>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(0.1720-0.2762)</m:t>
            </m:r>
          </m:sup>
        </m:sSup>
      </m:oMath>
      <w:r w:rsidR="001D4A0E" w:rsidRPr="004764B3">
        <w:rPr>
          <w:rFonts w:eastAsiaTheme="minorEastAsia"/>
        </w:rPr>
        <w:t xml:space="preserve"> = </w:t>
      </w:r>
      <w:r w:rsidR="001D4A0E" w:rsidRPr="004764B3">
        <w:rPr>
          <w:rFonts w:eastAsiaTheme="minorEastAsia"/>
          <w:b/>
          <w:bCs/>
        </w:rPr>
        <w:t>0.0</w:t>
      </w:r>
      <w:r w:rsidR="00E52289">
        <w:rPr>
          <w:rFonts w:eastAsiaTheme="minorEastAsia"/>
          <w:b/>
          <w:bCs/>
        </w:rPr>
        <w:t>991</w:t>
      </w:r>
    </w:p>
    <w:p w14:paraId="44235229" w14:textId="77777777" w:rsidR="00D2414D" w:rsidRDefault="00D2414D" w:rsidP="009C46B9">
      <w:pPr>
        <w:rPr>
          <w:rFonts w:eastAsiaTheme="minorEastAsia"/>
        </w:rPr>
      </w:pPr>
    </w:p>
    <w:p w14:paraId="04B7FE15" w14:textId="4A810805" w:rsidR="00D2414D" w:rsidRPr="006E6C5B" w:rsidRDefault="00F87F05" w:rsidP="009C46B9">
      <w:pPr>
        <w:rPr>
          <w:rFonts w:eastAsiaTheme="minorEastAsia"/>
        </w:rPr>
      </w:pPr>
      <w:r w:rsidRPr="006E6C5B">
        <w:rPr>
          <w:rFonts w:eastAsiaTheme="minorEastAsia"/>
        </w:rPr>
        <w:t>Similarly,</w:t>
      </w:r>
      <w:r w:rsidR="00D2414D" w:rsidRPr="006E6C5B">
        <w:rPr>
          <w:rFonts w:eastAsiaTheme="minorEastAsia"/>
        </w:rPr>
        <w:t xml:space="preserve"> </w:t>
      </w:r>
      <w:r w:rsidR="005A4C7A" w:rsidRPr="006E6C5B">
        <w:rPr>
          <w:rFonts w:eastAsiaTheme="minorEastAsia"/>
        </w:rPr>
        <w:t>a</w:t>
      </w:r>
      <w:r w:rsidR="00727049" w:rsidRPr="006E6C5B">
        <w:rPr>
          <w:rFonts w:eastAsiaTheme="minorEastAsia"/>
        </w:rPr>
        <w:t xml:space="preserve"> </w:t>
      </w:r>
      <w:r w:rsidR="00D4745A" w:rsidRPr="006E6C5B">
        <w:rPr>
          <w:rFonts w:eastAsiaTheme="minorEastAsia"/>
        </w:rPr>
        <w:t>66-year-old</w:t>
      </w:r>
      <w:r w:rsidR="00727049" w:rsidRPr="006E6C5B">
        <w:rPr>
          <w:rFonts w:eastAsiaTheme="minorEastAsia"/>
        </w:rPr>
        <w:t xml:space="preserve"> male</w:t>
      </w:r>
      <w:r w:rsidR="00B55C9E" w:rsidRPr="006E6C5B">
        <w:rPr>
          <w:rFonts w:eastAsiaTheme="minorEastAsia"/>
        </w:rPr>
        <w:t xml:space="preserve"> discharged with a modified Ra</w:t>
      </w:r>
      <w:r w:rsidRPr="006E6C5B">
        <w:rPr>
          <w:rFonts w:eastAsiaTheme="minorEastAsia"/>
        </w:rPr>
        <w:t>n</w:t>
      </w:r>
      <w:r w:rsidR="00B55C9E" w:rsidRPr="006E6C5B">
        <w:rPr>
          <w:rFonts w:eastAsiaTheme="minorEastAsia"/>
        </w:rPr>
        <w:t>kin Score of thre</w:t>
      </w:r>
      <w:r w:rsidR="009678BF" w:rsidRPr="006E6C5B">
        <w:rPr>
          <w:rFonts w:eastAsiaTheme="minorEastAsia"/>
        </w:rPr>
        <w:t xml:space="preserve">e would have the following probability of death in the 12 months following </w:t>
      </w:r>
      <w:r w:rsidRPr="006E6C5B">
        <w:rPr>
          <w:rFonts w:eastAsiaTheme="minorEastAsia"/>
        </w:rPr>
        <w:t>discharge</w:t>
      </w:r>
      <w:r w:rsidR="009678BF" w:rsidRPr="006E6C5B">
        <w:rPr>
          <w:rFonts w:eastAsiaTheme="minorEastAsia"/>
        </w:rPr>
        <w:t>:</w:t>
      </w:r>
    </w:p>
    <w:p w14:paraId="72A3DD5B" w14:textId="4EF2F9FF" w:rsidR="0063323D" w:rsidRPr="006E6C5B" w:rsidRDefault="0063323D" w:rsidP="0063323D">
      <w:pPr>
        <w:pStyle w:val="ListParagraph"/>
        <w:numPr>
          <w:ilvl w:val="0"/>
          <w:numId w:val="2"/>
        </w:numPr>
        <w:rPr>
          <w:rFonts w:eastAsiaTheme="minorEastAsia"/>
        </w:rPr>
      </w:pPr>
      <w:r w:rsidRPr="006E6C5B">
        <w:rPr>
          <w:rFonts w:eastAsiaTheme="minorEastAsia"/>
        </w:rPr>
        <w:t xml:space="preserve">The logistic linear estimator is </w:t>
      </w:r>
      <w:r w:rsidRPr="006E6C5B">
        <w:rPr>
          <w:rFonts w:ascii="Calibri" w:hAnsi="Calibri" w:cs="Calibri"/>
        </w:rPr>
        <w:t>-4.2</w:t>
      </w:r>
      <w:r w:rsidR="00F47AFD" w:rsidRPr="006E6C5B">
        <w:rPr>
          <w:rFonts w:ascii="Calibri" w:hAnsi="Calibri" w:cs="Calibri"/>
        </w:rPr>
        <w:t>354</w:t>
      </w:r>
      <w:r w:rsidRPr="006E6C5B">
        <w:rPr>
          <w:rFonts w:ascii="Calibri" w:hAnsi="Calibri" w:cs="Calibri"/>
        </w:rPr>
        <w:t xml:space="preserve"> + (</w:t>
      </w:r>
      <w:r w:rsidR="00C77A9C" w:rsidRPr="006E6C5B">
        <w:rPr>
          <w:rFonts w:ascii="Calibri" w:hAnsi="Calibri" w:cs="Calibri"/>
        </w:rPr>
        <w:t>66</w:t>
      </w:r>
      <w:r w:rsidRPr="006E6C5B">
        <w:rPr>
          <w:rFonts w:ascii="Calibri" w:hAnsi="Calibri" w:cs="Calibri"/>
        </w:rPr>
        <w:t>-</w:t>
      </w:r>
      <w:r w:rsidR="006B010E" w:rsidRPr="006E6C5B">
        <w:rPr>
          <w:rFonts w:ascii="Calibri" w:hAnsi="Calibri" w:cs="Calibri"/>
        </w:rPr>
        <w:t>76.</w:t>
      </w:r>
      <w:r w:rsidR="009B1074" w:rsidRPr="006E6C5B">
        <w:rPr>
          <w:rFonts w:ascii="Calibri" w:hAnsi="Calibri" w:cs="Calibri"/>
        </w:rPr>
        <w:t xml:space="preserve">4884) · </w:t>
      </w:r>
      <w:r w:rsidRPr="006E6C5B">
        <w:rPr>
          <w:rFonts w:ascii="Calibri" w:hAnsi="Calibri" w:cs="Calibri"/>
        </w:rPr>
        <w:t>0.066</w:t>
      </w:r>
      <w:r w:rsidR="009B4E14" w:rsidRPr="006E6C5B">
        <w:rPr>
          <w:rFonts w:ascii="Calibri" w:hAnsi="Calibri" w:cs="Calibri"/>
        </w:rPr>
        <w:t>3</w:t>
      </w:r>
      <w:r w:rsidRPr="006E6C5B">
        <w:rPr>
          <w:rFonts w:ascii="Calibri" w:hAnsi="Calibri" w:cs="Calibri"/>
        </w:rPr>
        <w:t xml:space="preserve"> + </w:t>
      </w:r>
      <w:r w:rsidR="00C77A9C" w:rsidRPr="006E6C5B">
        <w:rPr>
          <w:rFonts w:ascii="Calibri" w:hAnsi="Calibri" w:cs="Calibri"/>
        </w:rPr>
        <w:t>2.47</w:t>
      </w:r>
      <w:r w:rsidR="006E6C5B" w:rsidRPr="006E6C5B">
        <w:rPr>
          <w:rFonts w:ascii="Calibri" w:hAnsi="Calibri" w:cs="Calibri"/>
        </w:rPr>
        <w:t>73</w:t>
      </w:r>
      <w:r w:rsidR="00C77A9C" w:rsidRPr="006E6C5B">
        <w:rPr>
          <w:rFonts w:ascii="Calibri" w:hAnsi="Calibri" w:cs="Calibri"/>
        </w:rPr>
        <w:t xml:space="preserve"> +</w:t>
      </w:r>
      <w:r w:rsidR="00C03AA9" w:rsidRPr="006E6C5B">
        <w:rPr>
          <w:rFonts w:ascii="Calibri" w:hAnsi="Calibri" w:cs="Calibri"/>
        </w:rPr>
        <w:t xml:space="preserve"> 0.2636</w:t>
      </w:r>
      <w:r w:rsidRPr="006E6C5B">
        <w:rPr>
          <w:rFonts w:ascii="Calibri" w:hAnsi="Calibri" w:cs="Calibri"/>
        </w:rPr>
        <w:t xml:space="preserve"> = </w:t>
      </w:r>
      <w:r w:rsidR="00F47AFD" w:rsidRPr="006E6C5B">
        <w:rPr>
          <w:rFonts w:ascii="Calibri" w:hAnsi="Calibri" w:cs="Calibri"/>
        </w:rPr>
        <w:t>-2.1779</w:t>
      </w:r>
    </w:p>
    <w:p w14:paraId="47314385" w14:textId="604191E5" w:rsidR="00F87F05" w:rsidRPr="006E6C5B" w:rsidRDefault="0063323D" w:rsidP="009C46B9">
      <w:pPr>
        <w:pStyle w:val="ListParagraph"/>
        <w:numPr>
          <w:ilvl w:val="0"/>
          <w:numId w:val="2"/>
        </w:numPr>
        <w:rPr>
          <w:rFonts w:eastAsiaTheme="minorEastAsia"/>
        </w:rPr>
      </w:pPr>
      <w:r w:rsidRPr="006E6C5B">
        <w:rPr>
          <w:rFonts w:eastAsiaTheme="minorEastAsia"/>
        </w:rPr>
        <w:t xml:space="preserve">From [2]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cs="Calibri"/>
                  </w:rPr>
                  <m:t>2.1910</m:t>
                </m:r>
                <m:r>
                  <w:rPr>
                    <w:rFonts w:ascii="Cambria Math" w:hAnsi="Cambria Math"/>
                  </w:rPr>
                  <m:t>)</m:t>
                </m:r>
              </m:sup>
            </m:sSup>
          </m:den>
        </m:f>
      </m:oMath>
      <w:r w:rsidRPr="006E6C5B">
        <w:rPr>
          <w:rFonts w:eastAsiaTheme="minorEastAsia"/>
        </w:rPr>
        <w:t xml:space="preserve"> = </w:t>
      </w:r>
      <w:r w:rsidRPr="006E6C5B">
        <w:rPr>
          <w:rFonts w:eastAsiaTheme="minorEastAsia"/>
          <w:b/>
          <w:bCs/>
        </w:rPr>
        <w:t>0.</w:t>
      </w:r>
      <w:r w:rsidR="00863CF0" w:rsidRPr="006E6C5B">
        <w:rPr>
          <w:rFonts w:eastAsiaTheme="minorEastAsia"/>
          <w:b/>
          <w:bCs/>
        </w:rPr>
        <w:t>1</w:t>
      </w:r>
      <w:r w:rsidR="007C7713" w:rsidRPr="006E6C5B">
        <w:rPr>
          <w:rFonts w:eastAsiaTheme="minorEastAsia"/>
          <w:b/>
          <w:bCs/>
        </w:rPr>
        <w:t>0</w:t>
      </w:r>
      <w:r w:rsidR="006E6C5B" w:rsidRPr="006E6C5B">
        <w:rPr>
          <w:rFonts w:eastAsiaTheme="minorEastAsia"/>
          <w:b/>
          <w:bCs/>
        </w:rPr>
        <w:t>18</w:t>
      </w:r>
    </w:p>
    <w:p w14:paraId="15572D21" w14:textId="0B01FB8A" w:rsidR="00F87F05" w:rsidRPr="004A6033" w:rsidRDefault="006E787D" w:rsidP="009C46B9">
      <w:pPr>
        <w:rPr>
          <w:rFonts w:eastAsiaTheme="minorEastAsia"/>
        </w:rPr>
      </w:pPr>
      <w:r w:rsidRPr="004A6033">
        <w:rPr>
          <w:rFonts w:eastAsiaTheme="minorEastAsia"/>
        </w:rPr>
        <w:lastRenderedPageBreak/>
        <w:t xml:space="preserve">And </w:t>
      </w:r>
      <w:r w:rsidR="00833C91" w:rsidRPr="004A6033">
        <w:rPr>
          <w:rFonts w:eastAsiaTheme="minorEastAsia"/>
        </w:rPr>
        <w:t xml:space="preserve">the probability of death </w:t>
      </w:r>
      <w:r w:rsidR="00C52C4D" w:rsidRPr="004A6033">
        <w:rPr>
          <w:rFonts w:eastAsiaTheme="minorEastAsia"/>
        </w:rPr>
        <w:t>by the end of two years since discharge</w:t>
      </w:r>
      <w:r w:rsidR="007B3FE6" w:rsidRPr="004A6033">
        <w:rPr>
          <w:rFonts w:eastAsiaTheme="minorEastAsia"/>
        </w:rPr>
        <w:t>:</w:t>
      </w:r>
    </w:p>
    <w:p w14:paraId="0447AF4A" w14:textId="5CA24FFA" w:rsidR="006736F5" w:rsidRPr="004A6033" w:rsidRDefault="006736F5" w:rsidP="006736F5">
      <w:pPr>
        <w:pStyle w:val="ListParagraph"/>
        <w:numPr>
          <w:ilvl w:val="0"/>
          <w:numId w:val="4"/>
        </w:numPr>
        <w:rPr>
          <w:rFonts w:eastAsiaTheme="minorEastAsia"/>
        </w:rPr>
      </w:pPr>
      <w:r w:rsidRPr="004A6033">
        <w:rPr>
          <w:rFonts w:eastAsiaTheme="minorEastAsia"/>
        </w:rPr>
        <w:t xml:space="preserve">The </w:t>
      </w:r>
      <w:proofErr w:type="spellStart"/>
      <w:r w:rsidRPr="004A6033">
        <w:rPr>
          <w:rFonts w:eastAsiaTheme="minorEastAsia"/>
        </w:rPr>
        <w:t>Gompertz</w:t>
      </w:r>
      <w:proofErr w:type="spellEnd"/>
      <w:r w:rsidRPr="004A6033">
        <w:rPr>
          <w:rFonts w:eastAsiaTheme="minorEastAsia"/>
        </w:rPr>
        <w:t xml:space="preserve"> linear estimator is -9.</w:t>
      </w:r>
      <w:r w:rsidR="00F55A3C" w:rsidRPr="004A6033">
        <w:rPr>
          <w:rFonts w:eastAsiaTheme="minorEastAsia"/>
        </w:rPr>
        <w:t>067</w:t>
      </w:r>
      <w:r w:rsidRPr="004A6033">
        <w:rPr>
          <w:rFonts w:eastAsiaTheme="minorEastAsia"/>
        </w:rPr>
        <w:t xml:space="preserve"> +</w:t>
      </w:r>
      <w:r w:rsidR="00672CB5" w:rsidRPr="004A6033">
        <w:rPr>
          <w:rFonts w:eastAsiaTheme="minorEastAsia"/>
        </w:rPr>
        <w:t xml:space="preserve"> </w:t>
      </w:r>
      <w:r w:rsidRPr="004A6033">
        <w:rPr>
          <w:rFonts w:eastAsiaTheme="minorEastAsia"/>
        </w:rPr>
        <w:t>[0.00</w:t>
      </w:r>
      <w:r w:rsidR="008B2ABB" w:rsidRPr="004A6033">
        <w:rPr>
          <w:rFonts w:eastAsiaTheme="minorEastAsia"/>
        </w:rPr>
        <w:t xml:space="preserve">729 </w:t>
      </w:r>
      <w:r w:rsidRPr="004A6033">
        <w:rPr>
          <w:rFonts w:eastAsiaTheme="minorEastAsia"/>
        </w:rPr>
        <w:t>·</w:t>
      </w:r>
      <w:r w:rsidR="008B2ABB" w:rsidRPr="004A6033">
        <w:rPr>
          <w:rFonts w:eastAsiaTheme="minorEastAsia"/>
        </w:rPr>
        <w:t xml:space="preserve"> </w:t>
      </w:r>
      <w:r w:rsidRPr="004A6033">
        <w:rPr>
          <w:rFonts w:eastAsiaTheme="minorEastAsia"/>
        </w:rPr>
        <w:t>(</w:t>
      </w:r>
      <w:r w:rsidR="00734062" w:rsidRPr="004A6033">
        <w:rPr>
          <w:rFonts w:eastAsiaTheme="minorEastAsia"/>
        </w:rPr>
        <w:t>66</w:t>
      </w:r>
      <w:r w:rsidRPr="004A6033">
        <w:rPr>
          <w:rFonts w:eastAsiaTheme="minorEastAsia"/>
        </w:rPr>
        <w:t>-73.7324)] +</w:t>
      </w:r>
      <w:r w:rsidR="00672CB5" w:rsidRPr="004A6033">
        <w:rPr>
          <w:rFonts w:eastAsiaTheme="minorEastAsia"/>
        </w:rPr>
        <w:t xml:space="preserve"> </w:t>
      </w:r>
      <w:r w:rsidRPr="004A6033">
        <w:rPr>
          <w:rFonts w:eastAsiaTheme="minorEastAsia"/>
        </w:rPr>
        <w:t>[0.000</w:t>
      </w:r>
      <w:r w:rsidR="00455F74" w:rsidRPr="004A6033">
        <w:rPr>
          <w:rFonts w:eastAsiaTheme="minorEastAsia"/>
        </w:rPr>
        <w:t>59</w:t>
      </w:r>
      <w:r w:rsidR="008B2ABB" w:rsidRPr="004A6033">
        <w:rPr>
          <w:rFonts w:eastAsiaTheme="minorEastAsia"/>
        </w:rPr>
        <w:t xml:space="preserve"> </w:t>
      </w:r>
      <w:r w:rsidRPr="004A6033">
        <w:rPr>
          <w:rFonts w:eastAsiaTheme="minorEastAsia"/>
        </w:rPr>
        <w:t>·</w:t>
      </w:r>
      <w:r w:rsidR="008B2ABB" w:rsidRPr="004A6033">
        <w:rPr>
          <w:rFonts w:eastAsiaTheme="minorEastAsia"/>
        </w:rPr>
        <w:t xml:space="preserve"> </w:t>
      </w:r>
      <w:r w:rsidRPr="004A6033">
        <w:rPr>
          <w:rFonts w:eastAsiaTheme="minorEastAsia"/>
        </w:rPr>
        <w:t>(</w:t>
      </w:r>
      <w:r w:rsidR="00515741" w:rsidRPr="004A6033">
        <w:rPr>
          <w:rFonts w:eastAsiaTheme="minorEastAsia"/>
        </w:rPr>
        <w:t>66</w:t>
      </w:r>
      <w:r w:rsidRPr="004A6033">
        <w:rPr>
          <w:rFonts w:eastAsiaTheme="minorEastAsia"/>
          <w:vertAlign w:val="superscript"/>
        </w:rPr>
        <w:t>2</w:t>
      </w:r>
      <w:r w:rsidRPr="004A6033">
        <w:rPr>
          <w:rFonts w:eastAsiaTheme="minorEastAsia"/>
        </w:rPr>
        <w:t xml:space="preserve"> - 73.7324</w:t>
      </w:r>
      <w:r w:rsidRPr="004A6033">
        <w:rPr>
          <w:rFonts w:eastAsiaTheme="minorEastAsia"/>
          <w:vertAlign w:val="superscript"/>
        </w:rPr>
        <w:t>2</w:t>
      </w:r>
      <w:r w:rsidRPr="004A6033">
        <w:rPr>
          <w:rFonts w:eastAsiaTheme="minorEastAsia"/>
        </w:rPr>
        <w:t>)] +</w:t>
      </w:r>
      <w:r w:rsidR="00672CB5" w:rsidRPr="004A6033">
        <w:rPr>
          <w:rFonts w:eastAsiaTheme="minorEastAsia"/>
        </w:rPr>
        <w:t xml:space="preserve"> </w:t>
      </w:r>
      <w:r w:rsidRPr="004A6033">
        <w:rPr>
          <w:rFonts w:eastAsiaTheme="minorEastAsia"/>
        </w:rPr>
        <w:t>[-0.02</w:t>
      </w:r>
      <w:r w:rsidR="00455F74" w:rsidRPr="004A6033">
        <w:rPr>
          <w:rFonts w:eastAsiaTheme="minorEastAsia"/>
        </w:rPr>
        <w:t xml:space="preserve">56 </w:t>
      </w:r>
      <w:r w:rsidRPr="004A6033">
        <w:rPr>
          <w:rFonts w:eastAsiaTheme="minorEastAsia"/>
        </w:rPr>
        <w:t>·</w:t>
      </w:r>
      <w:r w:rsidR="00455F74" w:rsidRPr="004A6033">
        <w:rPr>
          <w:rFonts w:eastAsiaTheme="minorEastAsia"/>
        </w:rPr>
        <w:t xml:space="preserve"> </w:t>
      </w:r>
      <w:r w:rsidRPr="004A6033">
        <w:rPr>
          <w:rFonts w:eastAsiaTheme="minorEastAsia"/>
        </w:rPr>
        <w:t>(</w:t>
      </w:r>
      <w:r w:rsidR="00972468" w:rsidRPr="004A6033">
        <w:rPr>
          <w:rFonts w:eastAsiaTheme="minorEastAsia"/>
        </w:rPr>
        <w:t>66</w:t>
      </w:r>
      <w:r w:rsidRPr="004A6033">
        <w:rPr>
          <w:rFonts w:eastAsiaTheme="minorEastAsia"/>
        </w:rPr>
        <w:t>-73.7324)] + 0.</w:t>
      </w:r>
      <w:r w:rsidR="004F1A43" w:rsidRPr="004A6033">
        <w:rPr>
          <w:rFonts w:eastAsiaTheme="minorEastAsia"/>
        </w:rPr>
        <w:t>68466</w:t>
      </w:r>
      <w:r w:rsidRPr="004A6033">
        <w:rPr>
          <w:rFonts w:eastAsiaTheme="minorEastAsia"/>
        </w:rPr>
        <w:t xml:space="preserve"> </w:t>
      </w:r>
      <w:r w:rsidR="003E7305" w:rsidRPr="004A6033">
        <w:rPr>
          <w:rFonts w:eastAsiaTheme="minorEastAsia"/>
        </w:rPr>
        <w:t xml:space="preserve">+ </w:t>
      </w:r>
      <w:r w:rsidR="00421AC5" w:rsidRPr="004A6033">
        <w:rPr>
          <w:rFonts w:eastAsiaTheme="minorEastAsia"/>
        </w:rPr>
        <w:t>0.1</w:t>
      </w:r>
      <w:r w:rsidR="004F1A43" w:rsidRPr="004A6033">
        <w:rPr>
          <w:rFonts w:eastAsiaTheme="minorEastAsia"/>
        </w:rPr>
        <w:t>7827</w:t>
      </w:r>
      <w:r w:rsidRPr="004A6033">
        <w:rPr>
          <w:rFonts w:eastAsiaTheme="minorEastAsia"/>
        </w:rPr>
        <w:t>= -</w:t>
      </w:r>
      <w:r w:rsidR="0012536E" w:rsidRPr="004A6033">
        <w:rPr>
          <w:rFonts w:eastAsiaTheme="minorEastAsia"/>
        </w:rPr>
        <w:t>8.</w:t>
      </w:r>
      <w:r w:rsidR="00BF230C" w:rsidRPr="004A6033">
        <w:rPr>
          <w:rFonts w:eastAsiaTheme="minorEastAsia"/>
        </w:rPr>
        <w:t>7</w:t>
      </w:r>
      <w:r w:rsidR="004A6033" w:rsidRPr="004A6033">
        <w:rPr>
          <w:rFonts w:eastAsiaTheme="minorEastAsia"/>
        </w:rPr>
        <w:t>021</w:t>
      </w:r>
    </w:p>
    <w:p w14:paraId="4D1C64C7" w14:textId="5B154B34" w:rsidR="006736F5" w:rsidRPr="004B629D" w:rsidRDefault="006736F5" w:rsidP="006736F5">
      <w:pPr>
        <w:pStyle w:val="ListParagraph"/>
        <w:numPr>
          <w:ilvl w:val="0"/>
          <w:numId w:val="4"/>
        </w:numPr>
        <w:rPr>
          <w:rFonts w:eastAsiaTheme="minorEastAsia"/>
        </w:rPr>
      </w:pPr>
      <w:r w:rsidRPr="004B629D">
        <w:rPr>
          <w:rFonts w:eastAsiaTheme="minorEastAsia"/>
        </w:rPr>
        <w:t xml:space="preserve">From [1] </w:t>
      </w:r>
      <m:oMath>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365</m:t>
            </m:r>
          </m:sub>
        </m:sSub>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rPr>
                </m:ctrlPr>
              </m:sSupPr>
              <m:e>
                <m:r>
                  <w:rPr>
                    <w:rFonts w:ascii="Cambria Math" w:eastAsiaTheme="minorEastAsia" w:hAnsi="Cambria Math"/>
                  </w:rPr>
                  <m:t>e</m:t>
                </m:r>
              </m:e>
              <m:sup>
                <m:r>
                  <m:rPr>
                    <m:sty m:val="p"/>
                  </m:rPr>
                  <w:rPr>
                    <w:rFonts w:ascii="Cambria Math" w:eastAsiaTheme="minorEastAsia" w:hAnsi="Cambria Math"/>
                  </w:rPr>
                  <m:t>-8.7021</m:t>
                </m:r>
              </m:sup>
            </m:sSup>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e</m:t>
                </m:r>
              </m:e>
              <m:sup>
                <m:r>
                  <m:rPr>
                    <m:sty m:val="p"/>
                  </m:rPr>
                  <w:rPr>
                    <w:rFonts w:ascii="Cambria Math" w:eastAsiaTheme="minorEastAsia" w:hAnsi="Cambria Math"/>
                  </w:rPr>
                  <m:t>0.0002·365</m:t>
                </m:r>
              </m:sup>
            </m:sSup>
            <m:r>
              <m:rPr>
                <m:sty m:val="p"/>
              </m:rPr>
              <w:rPr>
                <w:rFonts w:ascii="Cambria Math" w:eastAsiaTheme="minorEastAsia" w:hAnsi="Cambria Math"/>
              </w:rPr>
              <m:t>-1)</m:t>
            </m:r>
          </m:num>
          <m:den>
            <m:r>
              <m:rPr>
                <m:sty m:val="p"/>
              </m:rPr>
              <w:rPr>
                <w:rFonts w:ascii="Cambria Math" w:eastAsiaTheme="minorEastAsia" w:hAnsi="Cambria Math"/>
              </w:rPr>
              <m:t>0.0002</m:t>
            </m:r>
          </m:den>
        </m:f>
      </m:oMath>
      <w:r w:rsidRPr="004B629D">
        <w:rPr>
          <w:rFonts w:eastAsiaTheme="minorEastAsia"/>
        </w:rPr>
        <w:t xml:space="preserve"> = 0.</w:t>
      </w:r>
      <w:r w:rsidR="00C426DE" w:rsidRPr="004B629D">
        <w:rPr>
          <w:rFonts w:eastAsiaTheme="minorEastAsia"/>
        </w:rPr>
        <w:t>0</w:t>
      </w:r>
      <w:r w:rsidR="002D2E1B" w:rsidRPr="004B629D">
        <w:rPr>
          <w:rFonts w:eastAsiaTheme="minorEastAsia"/>
        </w:rPr>
        <w:t>6</w:t>
      </w:r>
      <w:r w:rsidR="0072663B" w:rsidRPr="004B629D">
        <w:rPr>
          <w:rFonts w:eastAsiaTheme="minorEastAsia"/>
        </w:rPr>
        <w:t>32</w:t>
      </w:r>
    </w:p>
    <w:p w14:paraId="5DE8D57B" w14:textId="2DBDE05C" w:rsidR="0023749B" w:rsidRPr="004B629D" w:rsidRDefault="006736F5" w:rsidP="0023749B">
      <w:pPr>
        <w:pStyle w:val="ListParagraph"/>
        <w:numPr>
          <w:ilvl w:val="0"/>
          <w:numId w:val="4"/>
        </w:numPr>
        <w:rPr>
          <w:rFonts w:eastAsiaTheme="minorEastAsia"/>
        </w:rPr>
      </w:pPr>
      <w:r w:rsidRPr="004B629D">
        <w:rPr>
          <w:rFonts w:eastAsiaTheme="minorEastAsia"/>
        </w:rPr>
        <w:t xml:space="preserve">From [3] </w:t>
      </w:r>
      <m:oMath>
        <m:r>
          <m:rPr>
            <m:sty m:val="p"/>
          </m:rPr>
          <w:rPr>
            <w:rFonts w:ascii="Cambria Math" w:eastAsiaTheme="minorEastAsia" w:hAnsi="Cambria Math"/>
          </w:rPr>
          <m:t xml:space="preserve"> 1-</m:t>
        </m:r>
        <m:d>
          <m:dPr>
            <m:ctrlPr>
              <w:rPr>
                <w:rFonts w:ascii="Cambria Math" w:eastAsiaTheme="minorEastAsia" w:hAnsi="Cambria Math"/>
              </w:rPr>
            </m:ctrlPr>
          </m:dPr>
          <m:e>
            <m:r>
              <m:rPr>
                <m:sty m:val="p"/>
              </m:rPr>
              <w:rPr>
                <w:rFonts w:ascii="Cambria Math" w:eastAsiaTheme="minorEastAsia" w:hAnsi="Cambria Math"/>
              </w:rPr>
              <m:t>1-0.1018</m:t>
            </m:r>
          </m:e>
        </m:d>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1-0.0632</m:t>
            </m:r>
          </m:e>
        </m:d>
      </m:oMath>
      <w:r w:rsidRPr="004B629D">
        <w:rPr>
          <w:rFonts w:eastAsiaTheme="minorEastAsia"/>
        </w:rPr>
        <w:t xml:space="preserve"> = </w:t>
      </w:r>
      <w:r w:rsidRPr="004B629D">
        <w:rPr>
          <w:rFonts w:eastAsiaTheme="minorEastAsia"/>
          <w:b/>
          <w:bCs/>
        </w:rPr>
        <w:t>0.1</w:t>
      </w:r>
      <w:r w:rsidR="00B14B19" w:rsidRPr="004B629D">
        <w:rPr>
          <w:rFonts w:eastAsiaTheme="minorEastAsia"/>
          <w:b/>
          <w:bCs/>
        </w:rPr>
        <w:t>5</w:t>
      </w:r>
      <w:r w:rsidR="00847E65" w:rsidRPr="004B629D">
        <w:rPr>
          <w:rFonts w:eastAsiaTheme="minorEastAsia"/>
          <w:b/>
          <w:bCs/>
        </w:rPr>
        <w:t>85</w:t>
      </w:r>
    </w:p>
    <w:p w14:paraId="73A6C4B8" w14:textId="77777777" w:rsidR="00D76452" w:rsidRPr="00DA3867" w:rsidRDefault="00D76452" w:rsidP="00D76452">
      <w:pPr>
        <w:rPr>
          <w:rFonts w:eastAsiaTheme="minorEastAsia"/>
          <w:color w:val="FF0000"/>
        </w:rPr>
      </w:pPr>
    </w:p>
    <w:p w14:paraId="5E0B9413" w14:textId="534C338D" w:rsidR="00D76452" w:rsidRPr="000C75F9" w:rsidRDefault="00470324" w:rsidP="00470324">
      <w:pPr>
        <w:rPr>
          <w:rFonts w:eastAsiaTheme="minorEastAsia"/>
        </w:rPr>
      </w:pPr>
      <w:r w:rsidRPr="000C75F9">
        <w:rPr>
          <w:rFonts w:eastAsiaTheme="minorEastAsia"/>
        </w:rPr>
        <w:t>And during year</w:t>
      </w:r>
      <w:r w:rsidR="00D76452" w:rsidRPr="000C75F9">
        <w:rPr>
          <w:rFonts w:eastAsiaTheme="minorEastAsia"/>
        </w:rPr>
        <w:t xml:space="preserve"> two</w:t>
      </w:r>
    </w:p>
    <w:p w14:paraId="25D6D002" w14:textId="6B837F08" w:rsidR="0023749B" w:rsidRPr="000C75F9" w:rsidRDefault="00D76452" w:rsidP="00D76452">
      <w:pPr>
        <w:pStyle w:val="ListParagraph"/>
        <w:numPr>
          <w:ilvl w:val="0"/>
          <w:numId w:val="5"/>
        </w:numPr>
        <w:rPr>
          <w:rFonts w:eastAsiaTheme="minorEastAsia"/>
        </w:rPr>
      </w:pPr>
      <w:r w:rsidRPr="000C75F9">
        <w:rPr>
          <w:rFonts w:eastAsiaTheme="minorEastAsia"/>
        </w:rPr>
        <w:t xml:space="preserve">From [4] </w:t>
      </w:r>
      <w:r w:rsidR="003B1620" w:rsidRPr="000C75F9">
        <w:rPr>
          <w:rFonts w:eastAsiaTheme="minorEastAsia"/>
        </w:rPr>
        <w:t>and above</w:t>
      </w:r>
      <w:r w:rsidRPr="000C75F9">
        <w:rPr>
          <w:rFonts w:eastAsiaTheme="minorEastAsia"/>
        </w:rPr>
        <w:t xml:space="preserve"> </w:t>
      </w:r>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(0.1018-0.1585)</m:t>
            </m:r>
          </m:sup>
        </m:sSup>
      </m:oMath>
      <w:r w:rsidRPr="000C75F9">
        <w:rPr>
          <w:rFonts w:eastAsiaTheme="minorEastAsia"/>
        </w:rPr>
        <w:t xml:space="preserve"> = </w:t>
      </w:r>
      <w:r w:rsidRPr="000C75F9">
        <w:rPr>
          <w:rFonts w:eastAsiaTheme="minorEastAsia"/>
          <w:b/>
          <w:bCs/>
        </w:rPr>
        <w:t>0.0</w:t>
      </w:r>
      <w:r w:rsidR="00AA7FCA" w:rsidRPr="000C75F9">
        <w:rPr>
          <w:rFonts w:eastAsiaTheme="minorEastAsia"/>
          <w:b/>
          <w:bCs/>
        </w:rPr>
        <w:t>598</w:t>
      </w:r>
    </w:p>
    <w:p w14:paraId="49904D77" w14:textId="77777777" w:rsidR="007B3FE6" w:rsidRPr="00DA3867" w:rsidRDefault="007B3FE6" w:rsidP="009C46B9">
      <w:pPr>
        <w:rPr>
          <w:rFonts w:eastAsiaTheme="minorEastAsia"/>
          <w:color w:val="FF0000"/>
        </w:rPr>
      </w:pPr>
    </w:p>
    <w:p w14:paraId="740B604A" w14:textId="73C3563D" w:rsidR="00435A60" w:rsidRPr="00DF1695" w:rsidRDefault="007B3FE6" w:rsidP="009C46B9">
      <w:pPr>
        <w:rPr>
          <w:rFonts w:eastAsiaTheme="minorEastAsia"/>
        </w:rPr>
      </w:pPr>
      <w:r w:rsidRPr="00DF1695">
        <w:rPr>
          <w:rFonts w:eastAsiaTheme="minorEastAsia"/>
        </w:rPr>
        <w:t>And his probability of death during year three</w:t>
      </w:r>
      <w:r w:rsidR="00435A60" w:rsidRPr="00DF1695">
        <w:rPr>
          <w:rFonts w:eastAsiaTheme="minorEastAsia"/>
        </w:rPr>
        <w:t>:</w:t>
      </w:r>
      <w:r w:rsidR="00D40A20" w:rsidRPr="00DF1695">
        <w:rPr>
          <w:rFonts w:eastAsiaTheme="minorEastAsia"/>
        </w:rPr>
        <w:t xml:space="preserve"> </w:t>
      </w:r>
    </w:p>
    <w:p w14:paraId="248ABD1D" w14:textId="3307CA86" w:rsidR="0017239E" w:rsidRPr="00DF1695" w:rsidRDefault="0017239E" w:rsidP="0017239E">
      <w:pPr>
        <w:pStyle w:val="ListParagraph"/>
        <w:numPr>
          <w:ilvl w:val="0"/>
          <w:numId w:val="4"/>
        </w:numPr>
        <w:rPr>
          <w:rFonts w:eastAsiaTheme="minorEastAsia"/>
        </w:rPr>
      </w:pPr>
      <w:r w:rsidRPr="00DF1695">
        <w:rPr>
          <w:rFonts w:eastAsiaTheme="minorEastAsia"/>
        </w:rPr>
        <w:t xml:space="preserve">The </w:t>
      </w:r>
      <w:proofErr w:type="spellStart"/>
      <w:r w:rsidRPr="00DF1695">
        <w:rPr>
          <w:rFonts w:eastAsiaTheme="minorEastAsia"/>
        </w:rPr>
        <w:t>Gompertz</w:t>
      </w:r>
      <w:proofErr w:type="spellEnd"/>
      <w:r w:rsidRPr="00DF1695">
        <w:rPr>
          <w:rFonts w:eastAsiaTheme="minorEastAsia"/>
        </w:rPr>
        <w:t xml:space="preserve"> linear estimator as above </w:t>
      </w:r>
      <w:r w:rsidR="003A7AEE" w:rsidRPr="00DF1695">
        <w:rPr>
          <w:rFonts w:eastAsiaTheme="minorEastAsia"/>
        </w:rPr>
        <w:t>-8.7021</w:t>
      </w:r>
    </w:p>
    <w:p w14:paraId="7985D3E1" w14:textId="612A2850" w:rsidR="0017239E" w:rsidRPr="00F1018F" w:rsidRDefault="0017239E" w:rsidP="0017239E">
      <w:pPr>
        <w:pStyle w:val="ListParagraph"/>
        <w:numPr>
          <w:ilvl w:val="0"/>
          <w:numId w:val="4"/>
        </w:numPr>
        <w:rPr>
          <w:rFonts w:eastAsiaTheme="minorEastAsia"/>
        </w:rPr>
      </w:pPr>
      <w:r w:rsidRPr="00F1018F">
        <w:rPr>
          <w:rFonts w:eastAsiaTheme="minorEastAsia"/>
        </w:rPr>
        <w:t xml:space="preserve">From [1] </w:t>
      </w:r>
      <m:oMath>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730</m:t>
            </m:r>
          </m:sub>
        </m:sSub>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rPr>
                </m:ctrlPr>
              </m:sSupPr>
              <m:e>
                <m:r>
                  <w:rPr>
                    <w:rFonts w:ascii="Cambria Math" w:eastAsiaTheme="minorEastAsia" w:hAnsi="Cambria Math"/>
                  </w:rPr>
                  <m:t>e</m:t>
                </m:r>
              </m:e>
              <m:sup>
                <m:r>
                  <m:rPr>
                    <m:sty m:val="p"/>
                  </m:rPr>
                  <w:rPr>
                    <w:rFonts w:ascii="Cambria Math" w:eastAsiaTheme="minorEastAsia" w:hAnsi="Cambria Math"/>
                  </w:rPr>
                  <m:t>-8.7021</m:t>
                </m:r>
              </m:sup>
            </m:sSup>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e</m:t>
                </m:r>
              </m:e>
              <m:sup>
                <m:r>
                  <m:rPr>
                    <m:sty m:val="p"/>
                  </m:rPr>
                  <w:rPr>
                    <w:rFonts w:ascii="Cambria Math" w:eastAsiaTheme="minorEastAsia" w:hAnsi="Cambria Math"/>
                  </w:rPr>
                  <m:t>0.0002·(2*365)</m:t>
                </m:r>
              </m:sup>
            </m:sSup>
            <m:r>
              <m:rPr>
                <m:sty m:val="p"/>
              </m:rPr>
              <w:rPr>
                <w:rFonts w:ascii="Cambria Math" w:eastAsiaTheme="minorEastAsia" w:hAnsi="Cambria Math"/>
              </w:rPr>
              <m:t>-1)</m:t>
            </m:r>
          </m:num>
          <m:den>
            <m:r>
              <m:rPr>
                <m:sty m:val="p"/>
              </m:rPr>
              <w:rPr>
                <w:rFonts w:ascii="Cambria Math" w:eastAsiaTheme="minorEastAsia" w:hAnsi="Cambria Math"/>
              </w:rPr>
              <m:t>0.0002</m:t>
            </m:r>
          </m:den>
        </m:f>
      </m:oMath>
      <w:r w:rsidRPr="00F1018F">
        <w:rPr>
          <w:rFonts w:eastAsiaTheme="minorEastAsia"/>
        </w:rPr>
        <w:t xml:space="preserve"> = 0.</w:t>
      </w:r>
      <w:r w:rsidR="00F922FD" w:rsidRPr="00F1018F">
        <w:rPr>
          <w:rFonts w:eastAsiaTheme="minorEastAsia"/>
        </w:rPr>
        <w:t>1</w:t>
      </w:r>
      <w:r w:rsidR="003D6841" w:rsidRPr="00F1018F">
        <w:rPr>
          <w:rFonts w:eastAsiaTheme="minorEastAsia"/>
        </w:rPr>
        <w:t>316</w:t>
      </w:r>
    </w:p>
    <w:p w14:paraId="1E1E507B" w14:textId="6ACD7F85" w:rsidR="0017239E" w:rsidRPr="00F1018F" w:rsidRDefault="0017239E" w:rsidP="0017239E">
      <w:pPr>
        <w:pStyle w:val="ListParagraph"/>
        <w:numPr>
          <w:ilvl w:val="0"/>
          <w:numId w:val="4"/>
        </w:numPr>
        <w:rPr>
          <w:rFonts w:eastAsiaTheme="minorEastAsia"/>
        </w:rPr>
      </w:pPr>
      <w:r w:rsidRPr="00F1018F">
        <w:rPr>
          <w:rFonts w:eastAsiaTheme="minorEastAsia"/>
        </w:rPr>
        <w:t xml:space="preserve">From [3], the cumulative probability of death </w:t>
      </w:r>
      <m:oMath>
        <m:r>
          <m:rPr>
            <m:sty m:val="p"/>
          </m:rPr>
          <w:rPr>
            <w:rFonts w:ascii="Cambria Math" w:eastAsiaTheme="minorEastAsia" w:hAnsi="Cambria Math"/>
          </w:rPr>
          <m:t xml:space="preserve"> 1-</m:t>
        </m:r>
        <m:d>
          <m:dPr>
            <m:ctrlPr>
              <w:rPr>
                <w:rFonts w:ascii="Cambria Math" w:eastAsiaTheme="minorEastAsia" w:hAnsi="Cambria Math"/>
              </w:rPr>
            </m:ctrlPr>
          </m:dPr>
          <m:e>
            <m:r>
              <m:rPr>
                <m:sty m:val="p"/>
              </m:rPr>
              <w:rPr>
                <w:rFonts w:ascii="Cambria Math" w:eastAsiaTheme="minorEastAsia" w:hAnsi="Cambria Math"/>
              </w:rPr>
              <m:t>1-0.1081</m:t>
            </m:r>
          </m:e>
        </m:d>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1-0.1316</m:t>
            </m:r>
          </m:e>
        </m:d>
      </m:oMath>
      <w:r w:rsidRPr="00F1018F">
        <w:rPr>
          <w:rFonts w:eastAsiaTheme="minorEastAsia"/>
        </w:rPr>
        <w:t xml:space="preserve"> = </w:t>
      </w:r>
      <w:r w:rsidR="00AB3766" w:rsidRPr="00F1018F">
        <w:rPr>
          <w:rFonts w:eastAsiaTheme="minorEastAsia"/>
        </w:rPr>
        <w:t>0.</w:t>
      </w:r>
      <w:r w:rsidR="00B21FDE" w:rsidRPr="00F1018F">
        <w:rPr>
          <w:rFonts w:eastAsiaTheme="minorEastAsia"/>
        </w:rPr>
        <w:t>2</w:t>
      </w:r>
      <w:r w:rsidR="00DA679D" w:rsidRPr="00F1018F">
        <w:rPr>
          <w:rFonts w:eastAsiaTheme="minorEastAsia"/>
        </w:rPr>
        <w:t>255</w:t>
      </w:r>
    </w:p>
    <w:p w14:paraId="0C024E56" w14:textId="32B63626" w:rsidR="0017239E" w:rsidRPr="00F1018F" w:rsidRDefault="0017239E" w:rsidP="0017239E">
      <w:pPr>
        <w:pStyle w:val="ListParagraph"/>
        <w:numPr>
          <w:ilvl w:val="0"/>
          <w:numId w:val="4"/>
        </w:numPr>
        <w:rPr>
          <w:rFonts w:eastAsiaTheme="minorEastAsia"/>
        </w:rPr>
      </w:pPr>
      <w:r w:rsidRPr="00F1018F">
        <w:rPr>
          <w:rFonts w:eastAsiaTheme="minorEastAsia"/>
        </w:rPr>
        <w:t xml:space="preserve">From [4]  </w:t>
      </w:r>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(0.1585-0.2255)</m:t>
            </m:r>
          </m:sup>
        </m:sSup>
      </m:oMath>
      <w:r w:rsidRPr="00F1018F">
        <w:rPr>
          <w:rFonts w:eastAsiaTheme="minorEastAsia"/>
        </w:rPr>
        <w:t xml:space="preserve"> = </w:t>
      </w:r>
      <w:r w:rsidRPr="00F1018F">
        <w:rPr>
          <w:rFonts w:eastAsiaTheme="minorEastAsia"/>
          <w:b/>
          <w:bCs/>
        </w:rPr>
        <w:t>0.0</w:t>
      </w:r>
      <w:r w:rsidR="00F1018F" w:rsidRPr="00F1018F">
        <w:rPr>
          <w:rFonts w:eastAsiaTheme="minorEastAsia"/>
          <w:b/>
          <w:bCs/>
        </w:rPr>
        <w:t>648</w:t>
      </w:r>
    </w:p>
    <w:p w14:paraId="06A68415" w14:textId="77777777" w:rsidR="0082162B" w:rsidRPr="00DA3867" w:rsidRDefault="0082162B" w:rsidP="009C46B9">
      <w:pPr>
        <w:rPr>
          <w:rFonts w:eastAsiaTheme="minorEastAsia"/>
          <w:color w:val="FF0000"/>
        </w:rPr>
      </w:pPr>
    </w:p>
    <w:p w14:paraId="229E4227" w14:textId="16E8879C" w:rsidR="007E3C36" w:rsidRPr="008D69EF" w:rsidRDefault="0082162B" w:rsidP="009C46B9">
      <w:pPr>
        <w:rPr>
          <w:rFonts w:eastAsiaTheme="minorEastAsia"/>
        </w:rPr>
      </w:pPr>
      <w:r w:rsidRPr="008D69EF">
        <w:rPr>
          <w:rFonts w:eastAsiaTheme="minorEastAsia"/>
        </w:rPr>
        <w:t xml:space="preserve">To estimate the </w:t>
      </w:r>
      <w:r w:rsidR="007E3C36" w:rsidRPr="008D69EF">
        <w:rPr>
          <w:rFonts w:eastAsiaTheme="minorEastAsia"/>
        </w:rPr>
        <w:t xml:space="preserve">median </w:t>
      </w:r>
      <w:r w:rsidRPr="008D69EF">
        <w:rPr>
          <w:rFonts w:eastAsiaTheme="minorEastAsia"/>
        </w:rPr>
        <w:t xml:space="preserve">time that a </w:t>
      </w:r>
      <w:r w:rsidR="007E3C36" w:rsidRPr="008D69EF">
        <w:rPr>
          <w:rFonts w:eastAsiaTheme="minorEastAsia"/>
        </w:rPr>
        <w:t>65-year-old</w:t>
      </w:r>
      <w:r w:rsidRPr="008D69EF">
        <w:rPr>
          <w:rFonts w:eastAsiaTheme="minorEastAsia"/>
        </w:rPr>
        <w:t xml:space="preserve"> man, discharged with a modified Rankin score of two</w:t>
      </w:r>
      <w:r w:rsidR="007E3C36" w:rsidRPr="008D69EF">
        <w:rPr>
          <w:rFonts w:eastAsiaTheme="minorEastAsia"/>
        </w:rPr>
        <w:t xml:space="preserve"> will </w:t>
      </w:r>
      <w:r w:rsidR="00F46E75">
        <w:rPr>
          <w:rFonts w:eastAsiaTheme="minorEastAsia"/>
        </w:rPr>
        <w:t>survive</w:t>
      </w:r>
      <w:r w:rsidR="007E3C36" w:rsidRPr="008D69EF">
        <w:rPr>
          <w:rFonts w:eastAsiaTheme="minorEastAsia"/>
        </w:rPr>
        <w:t xml:space="preserve"> </w:t>
      </w:r>
      <w:r w:rsidRPr="008D69EF">
        <w:rPr>
          <w:rFonts w:eastAsiaTheme="minorEastAsia"/>
        </w:rPr>
        <w:t>is</w:t>
      </w:r>
      <w:r w:rsidR="007E3C36" w:rsidRPr="008D69EF">
        <w:rPr>
          <w:rFonts w:eastAsiaTheme="minorEastAsia"/>
        </w:rPr>
        <w:t>:</w:t>
      </w:r>
    </w:p>
    <w:p w14:paraId="6E0637EB" w14:textId="269063ED" w:rsidR="006B03EF" w:rsidRPr="008D69EF" w:rsidRDefault="006B03EF" w:rsidP="006B03EF">
      <w:pPr>
        <w:pStyle w:val="ListParagraph"/>
        <w:numPr>
          <w:ilvl w:val="0"/>
          <w:numId w:val="5"/>
        </w:numPr>
        <w:rPr>
          <w:rFonts w:eastAsiaTheme="minorEastAsia"/>
        </w:rPr>
      </w:pPr>
      <w:r w:rsidRPr="008D69EF">
        <w:rPr>
          <w:rFonts w:eastAsiaTheme="minorEastAsia"/>
        </w:rPr>
        <w:t>From [2] check if death more than 50% probability in yea</w:t>
      </w:r>
      <w:r w:rsidR="00454B05" w:rsidRPr="008D69EF">
        <w:rPr>
          <w:rFonts w:eastAsiaTheme="minorEastAsia"/>
        </w:rPr>
        <w:t>r 1</w:t>
      </w:r>
    </w:p>
    <w:p w14:paraId="61766CE0" w14:textId="2B061DE0" w:rsidR="00454B05" w:rsidRPr="000B7F4B" w:rsidRDefault="00454B05" w:rsidP="00454B05">
      <w:pPr>
        <w:pStyle w:val="ListParagraph"/>
        <w:numPr>
          <w:ilvl w:val="0"/>
          <w:numId w:val="5"/>
        </w:numPr>
        <w:rPr>
          <w:rFonts w:eastAsiaTheme="minorEastAsia"/>
        </w:rPr>
      </w:pPr>
      <w:r w:rsidRPr="000B7F4B">
        <w:rPr>
          <w:rFonts w:eastAsiaTheme="minorEastAsia"/>
        </w:rPr>
        <w:t xml:space="preserve">The logistic linear estimator is </w:t>
      </w:r>
      <w:r w:rsidRPr="000B7F4B">
        <w:rPr>
          <w:rFonts w:ascii="Calibri" w:hAnsi="Calibri" w:cs="Calibri"/>
        </w:rPr>
        <w:t>-4.2</w:t>
      </w:r>
      <w:r w:rsidR="00104353" w:rsidRPr="000B7F4B">
        <w:rPr>
          <w:rFonts w:ascii="Calibri" w:hAnsi="Calibri" w:cs="Calibri"/>
        </w:rPr>
        <w:t>354</w:t>
      </w:r>
      <w:r w:rsidRPr="000B7F4B">
        <w:rPr>
          <w:rFonts w:ascii="Calibri" w:hAnsi="Calibri" w:cs="Calibri"/>
        </w:rPr>
        <w:t xml:space="preserve"> + (65-72.8575) · 0.066</w:t>
      </w:r>
      <w:r w:rsidR="00104353" w:rsidRPr="000B7F4B">
        <w:rPr>
          <w:rFonts w:ascii="Calibri" w:hAnsi="Calibri" w:cs="Calibri"/>
        </w:rPr>
        <w:t>3</w:t>
      </w:r>
      <w:r w:rsidRPr="000B7F4B">
        <w:rPr>
          <w:rFonts w:ascii="Calibri" w:hAnsi="Calibri" w:cs="Calibri"/>
        </w:rPr>
        <w:t xml:space="preserve"> + 1.</w:t>
      </w:r>
      <w:r w:rsidR="00DE0D7A" w:rsidRPr="000B7F4B">
        <w:rPr>
          <w:rFonts w:ascii="Calibri" w:hAnsi="Calibri" w:cs="Calibri"/>
        </w:rPr>
        <w:t>2590</w:t>
      </w:r>
      <w:r w:rsidR="00641F65" w:rsidRPr="000B7F4B">
        <w:rPr>
          <w:rFonts w:ascii="Calibri" w:hAnsi="Calibri" w:cs="Calibri"/>
        </w:rPr>
        <w:t xml:space="preserve"> + 0.</w:t>
      </w:r>
      <w:r w:rsidR="00FA63B6" w:rsidRPr="000B7F4B">
        <w:rPr>
          <w:rFonts w:ascii="Calibri" w:hAnsi="Calibri" w:cs="Calibri"/>
        </w:rPr>
        <w:t>2636</w:t>
      </w:r>
      <w:r w:rsidRPr="000B7F4B">
        <w:rPr>
          <w:rFonts w:ascii="Calibri" w:hAnsi="Calibri" w:cs="Calibri"/>
        </w:rPr>
        <w:t xml:space="preserve"> = -</w:t>
      </w:r>
      <w:r w:rsidR="000310E2" w:rsidRPr="000B7F4B">
        <w:rPr>
          <w:rFonts w:ascii="Calibri" w:hAnsi="Calibri" w:cs="Calibri"/>
        </w:rPr>
        <w:t>3.</w:t>
      </w:r>
      <w:r w:rsidR="000B7F4B" w:rsidRPr="000B7F4B">
        <w:rPr>
          <w:rFonts w:ascii="Calibri" w:hAnsi="Calibri" w:cs="Calibri"/>
        </w:rPr>
        <w:t>2</w:t>
      </w:r>
      <w:r w:rsidR="005B3963" w:rsidRPr="000B7F4B">
        <w:rPr>
          <w:rFonts w:ascii="Calibri" w:hAnsi="Calibri" w:cs="Calibri"/>
        </w:rPr>
        <w:t>2</w:t>
      </w:r>
      <w:r w:rsidR="00C40ADF" w:rsidRPr="000B7F4B">
        <w:rPr>
          <w:rFonts w:ascii="Calibri" w:hAnsi="Calibri" w:cs="Calibri"/>
        </w:rPr>
        <w:t>17</w:t>
      </w:r>
    </w:p>
    <w:p w14:paraId="173BAD70" w14:textId="509802AE" w:rsidR="00454B05" w:rsidRPr="000B7F4B" w:rsidRDefault="00454B05" w:rsidP="00454B05">
      <w:pPr>
        <w:pStyle w:val="ListParagraph"/>
        <w:numPr>
          <w:ilvl w:val="0"/>
          <w:numId w:val="5"/>
        </w:numPr>
        <w:rPr>
          <w:rFonts w:eastAsiaTheme="minorEastAsia"/>
        </w:rPr>
      </w:pPr>
      <w:r w:rsidRPr="000B7F4B">
        <w:rPr>
          <w:rFonts w:eastAsiaTheme="minorEastAsia"/>
        </w:rPr>
        <w:t xml:space="preserve">From [2]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cs="Calibri"/>
                  </w:rPr>
                  <m:t>3.2332</m:t>
                </m:r>
                <m:r>
                  <w:rPr>
                    <w:rFonts w:ascii="Cambria Math" w:hAnsi="Cambria Math"/>
                  </w:rPr>
                  <m:t>)</m:t>
                </m:r>
              </m:sup>
            </m:sSup>
          </m:den>
        </m:f>
      </m:oMath>
      <w:r w:rsidRPr="000B7F4B">
        <w:rPr>
          <w:rFonts w:eastAsiaTheme="minorEastAsia"/>
        </w:rPr>
        <w:t xml:space="preserve"> = </w:t>
      </w:r>
      <w:r w:rsidRPr="000B7F4B">
        <w:rPr>
          <w:rFonts w:eastAsiaTheme="minorEastAsia"/>
          <w:b/>
          <w:bCs/>
        </w:rPr>
        <w:t>0.0</w:t>
      </w:r>
      <w:r w:rsidR="00FD5B37" w:rsidRPr="000B7F4B">
        <w:rPr>
          <w:rFonts w:eastAsiaTheme="minorEastAsia"/>
          <w:b/>
          <w:bCs/>
        </w:rPr>
        <w:t>3</w:t>
      </w:r>
      <w:r w:rsidR="000B7F4B" w:rsidRPr="000B7F4B">
        <w:rPr>
          <w:rFonts w:eastAsiaTheme="minorEastAsia"/>
          <w:b/>
          <w:bCs/>
        </w:rPr>
        <w:t>84</w:t>
      </w:r>
      <w:r w:rsidR="00FD5B37" w:rsidRPr="000B7F4B">
        <w:rPr>
          <w:rFonts w:eastAsiaTheme="minorEastAsia"/>
          <w:b/>
          <w:bCs/>
        </w:rPr>
        <w:t xml:space="preserve"> </w:t>
      </w:r>
      <w:r w:rsidR="00BE02B4" w:rsidRPr="000B7F4B">
        <w:rPr>
          <w:rFonts w:eastAsiaTheme="minorEastAsia"/>
        </w:rPr>
        <w:t xml:space="preserve">which is less than </w:t>
      </w:r>
      <w:r w:rsidR="00FD5B37" w:rsidRPr="000B7F4B">
        <w:rPr>
          <w:rFonts w:eastAsiaTheme="minorEastAsia"/>
        </w:rPr>
        <w:t xml:space="preserve">the modelled </w:t>
      </w:r>
      <w:r w:rsidR="00BE02B4" w:rsidRPr="000B7F4B">
        <w:rPr>
          <w:rFonts w:eastAsiaTheme="minorEastAsia"/>
        </w:rPr>
        <w:t>0.5</w:t>
      </w:r>
    </w:p>
    <w:p w14:paraId="0C562FDA" w14:textId="369111EB" w:rsidR="00454B05" w:rsidRPr="000B7F4B" w:rsidRDefault="00561FE4" w:rsidP="001C10C4">
      <w:pPr>
        <w:pStyle w:val="ListParagraph"/>
        <w:numPr>
          <w:ilvl w:val="0"/>
          <w:numId w:val="5"/>
        </w:numPr>
        <w:rPr>
          <w:rFonts w:eastAsiaTheme="minorEastAsia"/>
        </w:rPr>
      </w:pPr>
      <w:r w:rsidRPr="000B7F4B">
        <w:rPr>
          <w:rFonts w:eastAsiaTheme="minorEastAsia"/>
        </w:rPr>
        <w:t xml:space="preserve">From [7] with </w:t>
      </w:r>
      <w:r w:rsidR="00E34ED1" w:rsidRPr="000B7F4B">
        <w:rPr>
          <w:rFonts w:eastAsiaTheme="minorEastAsia"/>
          <w:i/>
          <w:iCs/>
        </w:rPr>
        <w:t xml:space="preserve">p </w:t>
      </w:r>
      <w:r w:rsidR="00E34ED1" w:rsidRPr="000B7F4B">
        <w:t>= 0.5</w:t>
      </w:r>
    </w:p>
    <w:p w14:paraId="0CF0BE96" w14:textId="02126E33" w:rsidR="00E34ED1" w:rsidRPr="001F19C2" w:rsidRDefault="00254598" w:rsidP="006B03EF">
      <w:pPr>
        <w:pStyle w:val="ListParagraph"/>
        <w:numPr>
          <w:ilvl w:val="0"/>
          <w:numId w:val="5"/>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1+0.5</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1+0.0384</m:t>
                    </m:r>
                  </m:e>
                </m:d>
              </m:e>
              <m:sup>
                <m:r>
                  <w:rPr>
                    <w:rFonts w:ascii="Cambria Math" w:eastAsiaTheme="minorEastAsia" w:hAnsi="Cambria Math"/>
                  </w:rPr>
                  <m:t>-1</m:t>
                </m:r>
              </m:sup>
            </m:sSup>
          </m:e>
        </m:d>
        <m:r>
          <w:rPr>
            <w:rFonts w:ascii="Cambria Math" w:eastAsiaTheme="minorEastAsia" w:hAnsi="Cambria Math"/>
          </w:rPr>
          <m:t>-1</m:t>
        </m:r>
      </m:oMath>
      <w:r w:rsidR="001C10C4" w:rsidRPr="001F19C2">
        <w:rPr>
          <w:rFonts w:eastAsiaTheme="minorEastAsia"/>
        </w:rPr>
        <w:t xml:space="preserve">  </w:t>
      </w:r>
      <w:r w:rsidR="00BF75F0" w:rsidRPr="001F19C2">
        <w:rPr>
          <w:rFonts w:eastAsiaTheme="minorEastAsia"/>
        </w:rPr>
        <w:t>= 0.</w:t>
      </w:r>
      <w:r w:rsidR="0083255A" w:rsidRPr="001F19C2">
        <w:rPr>
          <w:rFonts w:eastAsiaTheme="minorEastAsia"/>
        </w:rPr>
        <w:t>4</w:t>
      </w:r>
      <w:r w:rsidR="00E930EF" w:rsidRPr="001F19C2">
        <w:rPr>
          <w:rFonts w:eastAsiaTheme="minorEastAsia"/>
        </w:rPr>
        <w:t>4</w:t>
      </w:r>
      <w:r w:rsidR="007F6224" w:rsidRPr="001F19C2">
        <w:rPr>
          <w:rFonts w:eastAsiaTheme="minorEastAsia"/>
        </w:rPr>
        <w:t>45</w:t>
      </w:r>
    </w:p>
    <w:p w14:paraId="40D334C6" w14:textId="365EF0AD" w:rsidR="00686C69" w:rsidRPr="001F19C2" w:rsidRDefault="00E0796C" w:rsidP="008114CF">
      <w:pPr>
        <w:pStyle w:val="ListParagraph"/>
        <w:numPr>
          <w:ilvl w:val="0"/>
          <w:numId w:val="4"/>
        </w:numPr>
        <w:rPr>
          <w:rFonts w:eastAsiaTheme="minorEastAsia"/>
        </w:rPr>
      </w:pPr>
      <m:oMath>
        <m:r>
          <m:rPr>
            <m:sty m:val="p"/>
          </m:rPr>
          <w:rPr>
            <w:rFonts w:ascii="Cambria Math" w:eastAsiaTheme="minorEastAsia" w:hAnsi="Cambria Math"/>
          </w:rPr>
          <m:t>Using</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 xml:space="preserve">' </m:t>
            </m:r>
          </m:sup>
        </m:sSup>
        <m:r>
          <m:rPr>
            <m:sty m:val="p"/>
          </m:rPr>
          <w:rPr>
            <w:rFonts w:ascii="Cambria Math" w:eastAsiaTheme="minorEastAsia" w:hAnsi="Cambria Math"/>
          </w:rPr>
          <m:t xml:space="preserve">from </m:t>
        </m:r>
        <m:d>
          <m:dPr>
            <m:begChr m:val="["/>
            <m:endChr m:val="]"/>
            <m:ctrlPr>
              <w:rPr>
                <w:rFonts w:ascii="Cambria Math" w:eastAsiaTheme="minorEastAsia" w:hAnsi="Cambria Math"/>
              </w:rPr>
            </m:ctrlPr>
          </m:dPr>
          <m:e>
            <m:r>
              <m:rPr>
                <m:sty m:val="p"/>
              </m:rPr>
              <w:rPr>
                <w:rFonts w:ascii="Cambria Math" w:eastAsiaTheme="minorEastAsia" w:hAnsi="Cambria Math"/>
              </w:rPr>
              <m:t>6</m:t>
            </m:r>
          </m:e>
        </m:d>
        <m:r>
          <m:rPr>
            <m:sty m:val="p"/>
          </m:rPr>
          <w:rPr>
            <w:rFonts w:ascii="Cambria Math" w:eastAsiaTheme="minorEastAsia" w:hAnsi="Cambria Math"/>
          </w:rPr>
          <m:t xml:space="preserve"> in place of</m:t>
        </m:r>
        <m:r>
          <w:rPr>
            <w:rFonts w:ascii="Cambria Math" w:eastAsiaTheme="minorEastAsia" w:hAnsi="Cambria Math"/>
          </w:rPr>
          <m:t xml:space="preserve"> p </m:t>
        </m:r>
        <m:r>
          <m:rPr>
            <m:sty m:val="p"/>
          </m:rPr>
          <w:rPr>
            <w:rFonts w:ascii="Cambria Math" w:eastAsiaTheme="minorEastAsia" w:hAnsi="Cambria Math"/>
          </w:rPr>
          <m:t>in [5a]</m:t>
        </m:r>
      </m:oMath>
      <w:r w:rsidR="00E73F47" w:rsidRPr="001F19C2">
        <w:rPr>
          <w:rFonts w:eastAsiaTheme="minorEastAsia"/>
          <w:iCs/>
        </w:rPr>
        <w:t xml:space="preserve"> with a Gompertz linear predictor </w:t>
      </w:r>
      <w:r w:rsidR="00A95998" w:rsidRPr="001F19C2">
        <w:rPr>
          <w:rFonts w:eastAsiaTheme="minorEastAsia"/>
          <w:iCs/>
        </w:rPr>
        <w:t>of</w:t>
      </w:r>
      <w:r w:rsidR="00E73F47" w:rsidRPr="001F19C2">
        <w:rPr>
          <w:rFonts w:eastAsiaTheme="minorEastAsia"/>
        </w:rPr>
        <w:t xml:space="preserve"> </w:t>
      </w:r>
      <w:r w:rsidR="00922C46" w:rsidRPr="001F19C2">
        <w:rPr>
          <w:rFonts w:eastAsiaTheme="minorEastAsia"/>
        </w:rPr>
        <w:t>-9.0</w:t>
      </w:r>
      <w:r w:rsidR="005F506E" w:rsidRPr="001F19C2">
        <w:rPr>
          <w:rFonts w:eastAsiaTheme="minorEastAsia"/>
        </w:rPr>
        <w:t>67</w:t>
      </w:r>
      <w:r w:rsidR="00922C46" w:rsidRPr="001F19C2">
        <w:rPr>
          <w:rFonts w:eastAsiaTheme="minorEastAsia"/>
        </w:rPr>
        <w:t xml:space="preserve"> + [0.00</w:t>
      </w:r>
      <w:r w:rsidR="005D75B7" w:rsidRPr="001F19C2">
        <w:rPr>
          <w:rFonts w:eastAsiaTheme="minorEastAsia"/>
        </w:rPr>
        <w:t>729</w:t>
      </w:r>
      <w:proofErr w:type="gramStart"/>
      <w:r w:rsidR="00922C46" w:rsidRPr="001F19C2">
        <w:rPr>
          <w:rFonts w:eastAsiaTheme="minorEastAsia"/>
        </w:rPr>
        <w:t>·(</w:t>
      </w:r>
      <w:proofErr w:type="gramEnd"/>
      <w:r w:rsidR="00922C46" w:rsidRPr="001F19C2">
        <w:rPr>
          <w:rFonts w:eastAsiaTheme="minorEastAsia"/>
        </w:rPr>
        <w:t>6</w:t>
      </w:r>
      <w:r w:rsidR="009D4AA6" w:rsidRPr="001F19C2">
        <w:rPr>
          <w:rFonts w:eastAsiaTheme="minorEastAsia"/>
        </w:rPr>
        <w:t>5</w:t>
      </w:r>
      <w:r w:rsidR="00922C46" w:rsidRPr="001F19C2">
        <w:rPr>
          <w:rFonts w:eastAsiaTheme="minorEastAsia"/>
        </w:rPr>
        <w:t>-73.7324)] + [0.000</w:t>
      </w:r>
      <w:r w:rsidR="005F506E" w:rsidRPr="001F19C2">
        <w:rPr>
          <w:rFonts w:eastAsiaTheme="minorEastAsia"/>
        </w:rPr>
        <w:t>59</w:t>
      </w:r>
      <w:r w:rsidR="001261C4" w:rsidRPr="001F19C2">
        <w:rPr>
          <w:rFonts w:eastAsiaTheme="minorEastAsia"/>
        </w:rPr>
        <w:t xml:space="preserve"> </w:t>
      </w:r>
      <w:r w:rsidR="00922C46" w:rsidRPr="001F19C2">
        <w:rPr>
          <w:rFonts w:eastAsiaTheme="minorEastAsia"/>
        </w:rPr>
        <w:t>·</w:t>
      </w:r>
      <w:r w:rsidR="001261C4" w:rsidRPr="001F19C2">
        <w:rPr>
          <w:rFonts w:eastAsiaTheme="minorEastAsia"/>
        </w:rPr>
        <w:t xml:space="preserve"> </w:t>
      </w:r>
      <w:r w:rsidR="00922C46" w:rsidRPr="001F19C2">
        <w:rPr>
          <w:rFonts w:eastAsiaTheme="minorEastAsia"/>
        </w:rPr>
        <w:t>(</w:t>
      </w:r>
      <w:r w:rsidR="0038376D" w:rsidRPr="001F19C2">
        <w:rPr>
          <w:rFonts w:eastAsiaTheme="minorEastAsia"/>
        </w:rPr>
        <w:t>65</w:t>
      </w:r>
      <w:r w:rsidR="00922C46" w:rsidRPr="001F19C2">
        <w:rPr>
          <w:rFonts w:eastAsiaTheme="minorEastAsia"/>
          <w:vertAlign w:val="superscript"/>
        </w:rPr>
        <w:t>2</w:t>
      </w:r>
      <w:r w:rsidR="00922C46" w:rsidRPr="001F19C2">
        <w:rPr>
          <w:rFonts w:eastAsiaTheme="minorEastAsia"/>
        </w:rPr>
        <w:t xml:space="preserve"> - 73.7324</w:t>
      </w:r>
      <w:r w:rsidR="00922C46" w:rsidRPr="001F19C2">
        <w:rPr>
          <w:rFonts w:eastAsiaTheme="minorEastAsia"/>
          <w:vertAlign w:val="superscript"/>
        </w:rPr>
        <w:t>2</w:t>
      </w:r>
      <w:r w:rsidR="00922C46" w:rsidRPr="001F19C2">
        <w:rPr>
          <w:rFonts w:eastAsiaTheme="minorEastAsia"/>
        </w:rPr>
        <w:t>)] + [-0.0</w:t>
      </w:r>
      <w:r w:rsidR="001261C4" w:rsidRPr="001F19C2">
        <w:rPr>
          <w:rFonts w:eastAsiaTheme="minorEastAsia"/>
        </w:rPr>
        <w:t xml:space="preserve">259 </w:t>
      </w:r>
      <w:r w:rsidR="00922C46" w:rsidRPr="001F19C2">
        <w:rPr>
          <w:rFonts w:eastAsiaTheme="minorEastAsia"/>
        </w:rPr>
        <w:t>·</w:t>
      </w:r>
      <w:r w:rsidR="001261C4" w:rsidRPr="001F19C2">
        <w:rPr>
          <w:rFonts w:eastAsiaTheme="minorEastAsia"/>
        </w:rPr>
        <w:t xml:space="preserve"> </w:t>
      </w:r>
      <w:r w:rsidR="00922C46" w:rsidRPr="001F19C2">
        <w:rPr>
          <w:rFonts w:eastAsiaTheme="minorEastAsia"/>
        </w:rPr>
        <w:t>(6</w:t>
      </w:r>
      <w:r w:rsidR="0038376D" w:rsidRPr="001F19C2">
        <w:rPr>
          <w:rFonts w:eastAsiaTheme="minorEastAsia"/>
        </w:rPr>
        <w:t>5</w:t>
      </w:r>
      <w:r w:rsidR="00922C46" w:rsidRPr="001F19C2">
        <w:rPr>
          <w:rFonts w:eastAsiaTheme="minorEastAsia"/>
        </w:rPr>
        <w:t>-73.7324)] + 0.</w:t>
      </w:r>
      <w:r w:rsidR="00175DA5" w:rsidRPr="001F19C2">
        <w:rPr>
          <w:rFonts w:eastAsiaTheme="minorEastAsia"/>
        </w:rPr>
        <w:t>41135</w:t>
      </w:r>
      <w:r w:rsidR="00B766FB" w:rsidRPr="001F19C2">
        <w:rPr>
          <w:rFonts w:eastAsiaTheme="minorEastAsia"/>
        </w:rPr>
        <w:t xml:space="preserve"> +</w:t>
      </w:r>
      <w:r w:rsidR="001261C4" w:rsidRPr="001F19C2">
        <w:rPr>
          <w:rFonts w:eastAsiaTheme="minorEastAsia"/>
        </w:rPr>
        <w:t xml:space="preserve"> </w:t>
      </w:r>
      <w:r w:rsidR="00B766FB" w:rsidRPr="001F19C2">
        <w:rPr>
          <w:rFonts w:eastAsiaTheme="minorEastAsia"/>
        </w:rPr>
        <w:t>0.1</w:t>
      </w:r>
      <w:r w:rsidR="00175DA5" w:rsidRPr="001F19C2">
        <w:rPr>
          <w:rFonts w:eastAsiaTheme="minorEastAsia"/>
        </w:rPr>
        <w:t>782</w:t>
      </w:r>
      <w:r w:rsidR="00922C46" w:rsidRPr="001F19C2">
        <w:rPr>
          <w:rFonts w:eastAsiaTheme="minorEastAsia"/>
        </w:rPr>
        <w:t xml:space="preserve">= </w:t>
      </w:r>
      <w:r w:rsidR="00C3324C" w:rsidRPr="001F19C2">
        <w:rPr>
          <w:rFonts w:eastAsiaTheme="minorEastAsia"/>
        </w:rPr>
        <w:t>-9.</w:t>
      </w:r>
      <w:r w:rsidR="00702D55" w:rsidRPr="001F19C2">
        <w:rPr>
          <w:rFonts w:eastAsiaTheme="minorEastAsia"/>
        </w:rPr>
        <w:t>0323</w:t>
      </w:r>
    </w:p>
    <w:p w14:paraId="6013EADD" w14:textId="7343E84C" w:rsidR="005A7B65" w:rsidRPr="001F19C2" w:rsidRDefault="00254598" w:rsidP="005A7B65">
      <w:pPr>
        <w:pStyle w:val="ListParagraph"/>
        <w:numPr>
          <w:ilvl w:val="0"/>
          <w:numId w:val="5"/>
        </w:numPr>
        <w:rPr>
          <w:rFonts w:eastAsiaTheme="minorEastAsia"/>
        </w:rPr>
      </w:pPr>
      <m:oMath>
        <m:func>
          <m:funcPr>
            <m:ctrlPr>
              <w:rPr>
                <w:rFonts w:ascii="Cambria Math" w:eastAsiaTheme="minorEastAsia" w:hAnsi="Cambria Math"/>
                <w:i/>
              </w:rPr>
            </m:ctrlPr>
          </m:funcPr>
          <m:fName>
            <m:r>
              <w:rPr>
                <w:rFonts w:ascii="Cambria Math" w:eastAsiaTheme="minorEastAsia" w:hAnsi="Cambria Math"/>
              </w:rPr>
              <m:t xml:space="preserve"> </m:t>
            </m:r>
            <m:d>
              <m:dPr>
                <m:begChr m:val="["/>
                <m:endChr m:val="]"/>
                <m:ctrlPr>
                  <w:rPr>
                    <w:rFonts w:ascii="Cambria Math" w:hAnsi="Cambria Math"/>
                  </w:rPr>
                </m:ctrlPr>
              </m:dPr>
              <m:e>
                <m:r>
                  <m:rPr>
                    <m:sty m:val="p"/>
                  </m:rPr>
                  <w:rPr>
                    <w:rFonts w:ascii="Cambria Math" w:hAnsi="Cambria Math"/>
                  </w:rPr>
                  <m:t>5a</m:t>
                </m:r>
              </m:e>
            </m:d>
            <m:r>
              <m:rPr>
                <m:sty m:val="p"/>
              </m:rPr>
              <w:rPr>
                <w:rFonts w:ascii="Cambria Math" w:hAnsi="Cambria Math"/>
              </w:rPr>
              <m:t xml:space="preserve">  ln</m:t>
            </m:r>
          </m:fName>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0.0002∙</m:t>
                    </m:r>
                    <m:sSup>
                      <m:sSupPr>
                        <m:ctrlPr>
                          <w:rPr>
                            <w:rFonts w:ascii="Cambria Math" w:eastAsiaTheme="minorEastAsia" w:hAnsi="Cambria Math"/>
                            <w:i/>
                          </w:rPr>
                        </m:ctrlPr>
                      </m:sSupPr>
                      <m:e>
                        <m:r>
                          <w:rPr>
                            <w:rFonts w:ascii="Cambria Math" w:eastAsiaTheme="minorEastAsia" w:hAnsi="Cambria Math"/>
                          </w:rPr>
                          <m:t>0.4452∙e</m:t>
                        </m:r>
                      </m:e>
                      <m:sup>
                        <m:r>
                          <w:rPr>
                            <w:rFonts w:ascii="Cambria Math" w:eastAsiaTheme="minorEastAsia" w:hAnsi="Cambria Math"/>
                          </w:rPr>
                          <m:t>--9.0323</m:t>
                        </m:r>
                      </m:sup>
                    </m:sSup>
                  </m:e>
                </m:d>
                <m:r>
                  <w:rPr>
                    <w:rFonts w:ascii="Cambria Math" w:eastAsiaTheme="minorEastAsia" w:hAnsi="Cambria Math"/>
                  </w:rPr>
                  <m:t>+1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0.0002</m:t>
                </m:r>
              </m:e>
              <m:sup>
                <m:r>
                  <w:rPr>
                    <w:rFonts w:ascii="Cambria Math" w:eastAsiaTheme="minorEastAsia" w:hAnsi="Cambria Math"/>
                  </w:rPr>
                  <m:t>-1</m:t>
                </m:r>
              </m:sup>
            </m:sSup>
          </m:e>
        </m:func>
      </m:oMath>
      <w:r w:rsidR="008C3493" w:rsidRPr="001F19C2">
        <w:rPr>
          <w:rFonts w:eastAsiaTheme="minorEastAsia"/>
        </w:rPr>
        <w:t xml:space="preserve"> = </w:t>
      </w:r>
      <w:r w:rsidR="006D5C37" w:rsidRPr="001F19C2">
        <w:rPr>
          <w:rFonts w:eastAsiaTheme="minorEastAsia"/>
        </w:rPr>
        <w:t>2724</w:t>
      </w:r>
    </w:p>
    <w:p w14:paraId="1740BCDF" w14:textId="16D688BD" w:rsidR="008C3493" w:rsidRPr="001F19C2" w:rsidRDefault="008C3493" w:rsidP="005A7B65">
      <w:pPr>
        <w:pStyle w:val="ListParagraph"/>
        <w:numPr>
          <w:ilvl w:val="0"/>
          <w:numId w:val="5"/>
        </w:numPr>
        <w:rPr>
          <w:rFonts w:eastAsiaTheme="minorEastAsia"/>
        </w:rPr>
      </w:pPr>
      <w:r w:rsidRPr="001F19C2">
        <w:rPr>
          <w:rFonts w:eastAsiaTheme="minorEastAsia"/>
        </w:rPr>
        <w:t>To this add 365 as median survival is after year on</w:t>
      </w:r>
      <w:r w:rsidR="00D158CA" w:rsidRPr="001F19C2">
        <w:rPr>
          <w:rFonts w:eastAsiaTheme="minorEastAsia"/>
        </w:rPr>
        <w:t xml:space="preserve"> and divide by 365 to give survival in years</w:t>
      </w:r>
    </w:p>
    <w:p w14:paraId="1B3A7C30" w14:textId="1B077A81" w:rsidR="005A7B65" w:rsidRPr="001F19C2" w:rsidRDefault="006D5C37" w:rsidP="006B03EF">
      <w:pPr>
        <w:pStyle w:val="ListParagraph"/>
        <w:numPr>
          <w:ilvl w:val="0"/>
          <w:numId w:val="5"/>
        </w:numPr>
        <w:rPr>
          <w:rFonts w:eastAsiaTheme="minorEastAsia"/>
        </w:rPr>
      </w:pPr>
      <w:r w:rsidRPr="001F19C2">
        <w:rPr>
          <w:rFonts w:eastAsiaTheme="minorEastAsia"/>
        </w:rPr>
        <w:t>272</w:t>
      </w:r>
      <w:r w:rsidR="008A6851" w:rsidRPr="001F19C2">
        <w:rPr>
          <w:rFonts w:eastAsiaTheme="minorEastAsia"/>
        </w:rPr>
        <w:t>4</w:t>
      </w:r>
      <w:r w:rsidR="00197586" w:rsidRPr="001F19C2">
        <w:rPr>
          <w:rFonts w:eastAsiaTheme="minorEastAsia"/>
        </w:rPr>
        <w:t xml:space="preserve"> </w:t>
      </w:r>
      <w:r w:rsidR="00B555E6" w:rsidRPr="001F19C2">
        <w:rPr>
          <w:rFonts w:eastAsiaTheme="minorEastAsia"/>
        </w:rPr>
        <w:t>+</w:t>
      </w:r>
      <w:r w:rsidR="00197586" w:rsidRPr="001F19C2">
        <w:rPr>
          <w:rFonts w:eastAsiaTheme="minorEastAsia"/>
        </w:rPr>
        <w:t xml:space="preserve"> </w:t>
      </w:r>
      <w:r w:rsidR="00B555E6" w:rsidRPr="001F19C2">
        <w:rPr>
          <w:rFonts w:eastAsiaTheme="minorEastAsia"/>
        </w:rPr>
        <w:t xml:space="preserve">365 = </w:t>
      </w:r>
      <w:r w:rsidR="008A6851" w:rsidRPr="001F19C2">
        <w:rPr>
          <w:rFonts w:eastAsiaTheme="minorEastAsia"/>
        </w:rPr>
        <w:t>3089</w:t>
      </w:r>
      <w:r w:rsidR="00330BD0" w:rsidRPr="001F19C2">
        <w:rPr>
          <w:rFonts w:eastAsiaTheme="minorEastAsia"/>
        </w:rPr>
        <w:t xml:space="preserve">.   </w:t>
      </w:r>
      <w:r w:rsidR="00C511C3" w:rsidRPr="001F19C2">
        <w:rPr>
          <w:rFonts w:eastAsiaTheme="minorEastAsia"/>
        </w:rPr>
        <w:t xml:space="preserve">  3</w:t>
      </w:r>
      <w:r w:rsidR="008A6851" w:rsidRPr="001F19C2">
        <w:rPr>
          <w:rFonts w:eastAsiaTheme="minorEastAsia"/>
        </w:rPr>
        <w:t>089</w:t>
      </w:r>
      <w:r w:rsidR="00C511C3" w:rsidRPr="001F19C2">
        <w:rPr>
          <w:rFonts w:eastAsiaTheme="minorEastAsia"/>
        </w:rPr>
        <w:t>/365</w:t>
      </w:r>
      <w:r w:rsidR="00B127C5" w:rsidRPr="001F19C2">
        <w:rPr>
          <w:rFonts w:eastAsiaTheme="minorEastAsia"/>
        </w:rPr>
        <w:t>.25</w:t>
      </w:r>
      <w:r w:rsidR="00C511C3" w:rsidRPr="001F19C2">
        <w:rPr>
          <w:rFonts w:eastAsiaTheme="minorEastAsia"/>
        </w:rPr>
        <w:t xml:space="preserve"> = </w:t>
      </w:r>
      <w:r w:rsidR="00B127C5" w:rsidRPr="001F19C2">
        <w:rPr>
          <w:rFonts w:eastAsiaTheme="minorEastAsia"/>
          <w:b/>
          <w:bCs/>
        </w:rPr>
        <w:t>8.46</w:t>
      </w:r>
      <w:r w:rsidR="00C511C3" w:rsidRPr="001F19C2">
        <w:rPr>
          <w:rFonts w:eastAsiaTheme="minorEastAsia"/>
          <w:b/>
          <w:bCs/>
        </w:rPr>
        <w:t xml:space="preserve"> years</w:t>
      </w:r>
    </w:p>
    <w:p w14:paraId="008C77DC" w14:textId="77777777" w:rsidR="007E3C36" w:rsidRPr="00DA3867" w:rsidRDefault="007E3C36" w:rsidP="009C46B9">
      <w:pPr>
        <w:rPr>
          <w:rFonts w:eastAsiaTheme="minorEastAsia"/>
          <w:color w:val="FF0000"/>
        </w:rPr>
      </w:pPr>
    </w:p>
    <w:p w14:paraId="31917131" w14:textId="33B039B2" w:rsidR="001821B6" w:rsidRPr="00D520FB" w:rsidRDefault="001821B6" w:rsidP="00015F42">
      <w:pPr>
        <w:rPr>
          <w:rFonts w:eastAsiaTheme="minorEastAsia"/>
        </w:rPr>
      </w:pPr>
    </w:p>
    <w:p w14:paraId="2CCEAF8A" w14:textId="77777777" w:rsidR="0021769D" w:rsidRDefault="001821B6" w:rsidP="001821B6">
      <w:pPr>
        <w:rPr>
          <w:rFonts w:eastAsiaTheme="minorEastAsia"/>
        </w:rPr>
      </w:pPr>
      <w:r w:rsidRPr="00D520FB">
        <w:rPr>
          <w:rFonts w:eastAsiaTheme="minorEastAsia"/>
        </w:rPr>
        <w:t>For a 71-year-old woman, discharged with a modified Rankin score of five</w:t>
      </w:r>
      <w:r w:rsidR="0021769D">
        <w:rPr>
          <w:rFonts w:eastAsiaTheme="minorEastAsia"/>
        </w:rPr>
        <w:t>, to estimate at what point she will have a 50% chance of still being alive:</w:t>
      </w:r>
    </w:p>
    <w:p w14:paraId="4C954598" w14:textId="1E361CD7" w:rsidR="009B1CD7" w:rsidRPr="0021769D" w:rsidRDefault="0021769D" w:rsidP="00941C37">
      <w:pPr>
        <w:pStyle w:val="ListParagraph"/>
        <w:numPr>
          <w:ilvl w:val="0"/>
          <w:numId w:val="7"/>
        </w:numPr>
        <w:ind w:left="675"/>
        <w:rPr>
          <w:rFonts w:eastAsiaTheme="minorEastAsia"/>
        </w:rPr>
      </w:pPr>
      <w:r>
        <w:rPr>
          <w:rFonts w:eastAsiaTheme="minorEastAsia"/>
        </w:rPr>
        <w:t>H</w:t>
      </w:r>
      <w:r w:rsidR="001821B6" w:rsidRPr="0021769D">
        <w:rPr>
          <w:rFonts w:eastAsiaTheme="minorEastAsia"/>
        </w:rPr>
        <w:t>er probability of death in year one is</w:t>
      </w:r>
      <w:r w:rsidR="009B1CD7" w:rsidRPr="0021769D">
        <w:rPr>
          <w:rFonts w:eastAsiaTheme="minorEastAsia"/>
        </w:rPr>
        <w:t>:</w:t>
      </w:r>
    </w:p>
    <w:p w14:paraId="71956E7E" w14:textId="4D01363A" w:rsidR="009F4B74" w:rsidRDefault="009B1CD7" w:rsidP="00941C37">
      <w:pPr>
        <w:pStyle w:val="ListParagraph"/>
        <w:numPr>
          <w:ilvl w:val="0"/>
          <w:numId w:val="6"/>
        </w:numPr>
        <w:ind w:left="720"/>
        <w:rPr>
          <w:rFonts w:eastAsiaTheme="minorEastAsia"/>
        </w:rPr>
      </w:pPr>
      <w:r w:rsidRPr="00D520FB">
        <w:rPr>
          <w:rFonts w:eastAsiaTheme="minorEastAsia"/>
        </w:rPr>
        <w:t xml:space="preserve">From </w:t>
      </w:r>
      <w:r w:rsidR="009F4B74" w:rsidRPr="00D520FB">
        <w:rPr>
          <w:rFonts w:eastAsiaTheme="minorEastAsia"/>
        </w:rPr>
        <w:t>[</w:t>
      </w:r>
      <w:r w:rsidRPr="00D520FB">
        <w:rPr>
          <w:rFonts w:eastAsiaTheme="minorEastAsia"/>
        </w:rPr>
        <w:t>2</w:t>
      </w:r>
      <w:r w:rsidR="009F4B74" w:rsidRPr="00D520FB">
        <w:rPr>
          <w:rFonts w:eastAsiaTheme="minorEastAsia"/>
        </w:rPr>
        <w:t>]</w:t>
      </w:r>
      <w:r w:rsidRPr="00D520FB">
        <w:rPr>
          <w:rFonts w:eastAsiaTheme="minorEastAsia"/>
        </w:rPr>
        <w:t xml:space="preserve"> 0.5128153</w:t>
      </w:r>
      <w:r w:rsidR="009F4B74" w:rsidRPr="00D520FB">
        <w:rPr>
          <w:rFonts w:eastAsiaTheme="minorEastAsia"/>
        </w:rPr>
        <w:t xml:space="preserve"> which is greater than 0.5 so use [</w:t>
      </w:r>
      <w:r w:rsidR="00BA2ACB">
        <w:rPr>
          <w:rFonts w:eastAsiaTheme="minorEastAsia"/>
        </w:rPr>
        <w:t>7</w:t>
      </w:r>
      <w:r w:rsidR="009F4B74" w:rsidRPr="00D520FB">
        <w:rPr>
          <w:rFonts w:eastAsiaTheme="minorEastAsia"/>
        </w:rPr>
        <w:t>]</w:t>
      </w:r>
      <w:r w:rsidR="001D3227">
        <w:rPr>
          <w:rFonts w:eastAsiaTheme="minorEastAsia"/>
        </w:rPr>
        <w:t>, with linear predictor</w:t>
      </w:r>
      <w:r w:rsidR="00952626">
        <w:rPr>
          <w:rFonts w:eastAsiaTheme="minorEastAsia"/>
        </w:rPr>
        <w:t>:</w:t>
      </w:r>
    </w:p>
    <w:p w14:paraId="46FE87C2" w14:textId="285967A6" w:rsidR="00952626" w:rsidRPr="00907F61" w:rsidRDefault="00952626" w:rsidP="00941C37">
      <w:pPr>
        <w:pStyle w:val="ListParagraph"/>
        <w:numPr>
          <w:ilvl w:val="0"/>
          <w:numId w:val="6"/>
        </w:numPr>
        <w:ind w:left="720"/>
        <w:rPr>
          <w:rFonts w:eastAsiaTheme="minorEastAsia"/>
        </w:rPr>
      </w:pPr>
      <w:r w:rsidRPr="00907F61">
        <w:rPr>
          <w:rFonts w:eastAsiaTheme="minorEastAsia"/>
        </w:rPr>
        <w:t>-4.2354 +</w:t>
      </w:r>
      <w:r w:rsidR="00E3664D" w:rsidRPr="00907F61">
        <w:rPr>
          <w:rFonts w:eastAsiaTheme="minorEastAsia"/>
        </w:rPr>
        <w:t xml:space="preserve"> [0.0663 </w:t>
      </w:r>
      <m:oMath>
        <m:r>
          <w:rPr>
            <w:rFonts w:ascii="Cambria Math" w:eastAsiaTheme="minorEastAsia" w:hAnsi="Cambria Math"/>
          </w:rPr>
          <m:t>∙</m:t>
        </m:r>
      </m:oMath>
      <w:r w:rsidR="00E3664D" w:rsidRPr="00907F61">
        <w:rPr>
          <w:rFonts w:eastAsiaTheme="minorEastAsia"/>
        </w:rPr>
        <w:t xml:space="preserve"> (</w:t>
      </w:r>
      <w:r w:rsidR="001B6B73" w:rsidRPr="00907F61">
        <w:rPr>
          <w:rFonts w:eastAsiaTheme="minorEastAsia"/>
        </w:rPr>
        <w:t>71-80.91837)]</w:t>
      </w:r>
      <w:r w:rsidR="00DF4A47" w:rsidRPr="00907F61">
        <w:rPr>
          <w:rFonts w:eastAsiaTheme="minorEastAsia"/>
        </w:rPr>
        <w:t xml:space="preserve"> </w:t>
      </w:r>
      <w:r w:rsidR="001B6B73" w:rsidRPr="00907F61">
        <w:rPr>
          <w:rFonts w:eastAsiaTheme="minorEastAsia"/>
        </w:rPr>
        <w:t>+</w:t>
      </w:r>
      <w:r w:rsidR="00DF4A47" w:rsidRPr="00907F61">
        <w:rPr>
          <w:rFonts w:eastAsiaTheme="minorEastAsia"/>
        </w:rPr>
        <w:t xml:space="preserve"> 4.9444</w:t>
      </w:r>
      <w:r w:rsidR="003E04B5" w:rsidRPr="00907F61">
        <w:rPr>
          <w:rFonts w:eastAsiaTheme="minorEastAsia"/>
        </w:rPr>
        <w:t xml:space="preserve"> </w:t>
      </w:r>
      <w:r w:rsidR="00907F61" w:rsidRPr="00907F61">
        <w:rPr>
          <w:rFonts w:eastAsiaTheme="minorEastAsia"/>
        </w:rPr>
        <w:t>= 0.0513</w:t>
      </w:r>
    </w:p>
    <w:p w14:paraId="010DE76D" w14:textId="3F926E79" w:rsidR="001821B6" w:rsidRDefault="009F4B74" w:rsidP="00941C37">
      <w:pPr>
        <w:pStyle w:val="ListParagraph"/>
        <w:numPr>
          <w:ilvl w:val="0"/>
          <w:numId w:val="6"/>
        </w:numPr>
        <w:ind w:left="720"/>
        <w:rPr>
          <w:rFonts w:eastAsiaTheme="minorEastAsia"/>
        </w:rPr>
      </w:pPr>
      <w:r w:rsidRPr="00907F61">
        <w:rPr>
          <w:rFonts w:eastAsiaTheme="minorEastAsia"/>
        </w:rPr>
        <w:t xml:space="preserve"> </w:t>
      </w:r>
      <m:oMath>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r>
                  <w:rPr>
                    <w:rFonts w:ascii="Cambria Math" w:eastAsiaTheme="minorEastAsia" w:hAnsi="Cambria Math"/>
                  </w:rPr>
                  <m:t>1-0.5</m:t>
                </m:r>
              </m:e>
            </m:d>
            <m:r>
              <w:rPr>
                <w:rFonts w:ascii="Cambria Math" w:eastAsiaTheme="minorEastAsia" w:hAnsi="Cambria Math"/>
              </w:rPr>
              <m:t>∙</m:t>
            </m:r>
            <m:sSup>
              <m:sSupPr>
                <m:ctrlPr>
                  <w:rPr>
                    <w:rFonts w:ascii="Cambria Math" w:eastAsiaTheme="minorEastAsia" w:hAnsi="Cambria Math"/>
                    <w:i/>
                  </w:rPr>
                </m:ctrlPr>
              </m:sSupPr>
              <m:e>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m:t>
                    </m:r>
                    <m:r>
                      <w:rPr>
                        <w:rFonts w:ascii="Cambria Math" w:hAnsi="Cambria Math"/>
                      </w:rPr>
                      <m:t>1-0.5128153</m:t>
                    </m:r>
                    <m:r>
                      <w:rPr>
                        <w:rFonts w:ascii="Cambria Math" w:eastAsiaTheme="minorEastAsia" w:hAnsi="Cambria Math"/>
                      </w:rPr>
                      <m:t>)/365</m:t>
                    </m:r>
                  </m:e>
                </m:func>
                <m:r>
                  <w:rPr>
                    <w:rFonts w:ascii="Cambria Math" w:eastAsiaTheme="minorEastAsia" w:hAnsi="Cambria Math"/>
                  </w:rPr>
                  <m:t>)</m:t>
                </m:r>
              </m:e>
              <m:sup>
                <m:r>
                  <w:rPr>
                    <w:rFonts w:ascii="Cambria Math" w:eastAsiaTheme="minorEastAsia" w:hAnsi="Cambria Math"/>
                  </w:rPr>
                  <m:t>-1</m:t>
                </m:r>
              </m:sup>
            </m:sSup>
          </m:e>
        </m:func>
      </m:oMath>
      <w:r w:rsidR="007A684E" w:rsidRPr="00907F61">
        <w:rPr>
          <w:rFonts w:eastAsiaTheme="minorEastAsia"/>
        </w:rPr>
        <w:t xml:space="preserve">  </w:t>
      </w:r>
      <w:r w:rsidR="00981F90" w:rsidRPr="00907F61">
        <w:rPr>
          <w:rFonts w:eastAsiaTheme="minorEastAsia"/>
        </w:rPr>
        <w:t>= 352 days or</w:t>
      </w:r>
      <w:r w:rsidR="004D1263" w:rsidRPr="00907F61">
        <w:rPr>
          <w:rFonts w:eastAsiaTheme="minorEastAsia"/>
        </w:rPr>
        <w:t xml:space="preserve"> 0.96 years</w:t>
      </w:r>
    </w:p>
    <w:p w14:paraId="0B8C0D6C" w14:textId="35905B9A" w:rsidR="008F7E3C" w:rsidRDefault="009E10A2" w:rsidP="00941C37">
      <w:pPr>
        <w:pStyle w:val="ListParagraph"/>
        <w:numPr>
          <w:ilvl w:val="0"/>
          <w:numId w:val="6"/>
        </w:numPr>
        <w:ind w:left="720"/>
        <w:rPr>
          <w:rFonts w:eastAsiaTheme="minorEastAsia"/>
        </w:rPr>
      </w:pPr>
      <w:r>
        <w:rPr>
          <w:rFonts w:eastAsiaTheme="minorEastAsia"/>
        </w:rPr>
        <w:t xml:space="preserve">To identify at what point in time there will be a </w:t>
      </w:r>
      <w:r w:rsidR="008969D4">
        <w:rPr>
          <w:rFonts w:eastAsiaTheme="minorEastAsia"/>
        </w:rPr>
        <w:t>40% change of her being dead</w:t>
      </w:r>
    </w:p>
    <w:p w14:paraId="5F89C3AB" w14:textId="77777777" w:rsidR="007F7BB0" w:rsidRDefault="00254598" w:rsidP="57E345E3">
      <w:pPr>
        <w:pStyle w:val="ListParagraph"/>
        <w:numPr>
          <w:ilvl w:val="0"/>
          <w:numId w:val="6"/>
        </w:numPr>
        <w:ind w:left="720"/>
        <w:rPr>
          <w:rFonts w:eastAsiaTheme="minorEastAsia"/>
        </w:rPr>
      </w:pPr>
      <m:oMath>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r>
                  <w:rPr>
                    <w:rFonts w:ascii="Cambria Math" w:eastAsiaTheme="minorEastAsia" w:hAnsi="Cambria Math"/>
                  </w:rPr>
                  <m:t>1-0.4</m:t>
                </m:r>
              </m:e>
            </m:d>
            <m:r>
              <w:rPr>
                <w:rFonts w:ascii="Cambria Math" w:eastAsiaTheme="minorEastAsia" w:hAnsi="Cambria Math"/>
              </w:rPr>
              <m:t>∙</m:t>
            </m:r>
            <m:sSup>
              <m:sSupPr>
                <m:ctrlPr>
                  <w:rPr>
                    <w:rFonts w:ascii="Cambria Math" w:eastAsiaTheme="minorEastAsia" w:hAnsi="Cambria Math"/>
                    <w:i/>
                  </w:rPr>
                </m:ctrlPr>
              </m:sSupPr>
              <m:e>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m:t>
                    </m:r>
                    <m:r>
                      <w:rPr>
                        <w:rFonts w:ascii="Cambria Math" w:hAnsi="Cambria Math"/>
                      </w:rPr>
                      <m:t>1-0.5128153</m:t>
                    </m:r>
                    <m:r>
                      <w:rPr>
                        <w:rFonts w:ascii="Cambria Math" w:eastAsiaTheme="minorEastAsia" w:hAnsi="Cambria Math"/>
                      </w:rPr>
                      <m:t>)/365</m:t>
                    </m:r>
                  </m:e>
                </m:func>
                <m:r>
                  <w:rPr>
                    <w:rFonts w:ascii="Cambria Math" w:eastAsiaTheme="minorEastAsia" w:hAnsi="Cambria Math"/>
                  </w:rPr>
                  <m:t>)</m:t>
                </m:r>
              </m:e>
              <m:sup>
                <m:r>
                  <w:rPr>
                    <w:rFonts w:ascii="Cambria Math" w:eastAsiaTheme="minorEastAsia" w:hAnsi="Cambria Math"/>
                  </w:rPr>
                  <m:t>-1</m:t>
                </m:r>
              </m:sup>
            </m:sSup>
          </m:e>
        </m:func>
      </m:oMath>
      <w:r w:rsidR="007331AF" w:rsidRPr="57E345E3">
        <w:rPr>
          <w:rFonts w:eastAsiaTheme="minorEastAsia"/>
        </w:rPr>
        <w:t xml:space="preserve">  = </w:t>
      </w:r>
      <w:r w:rsidR="00093DFD" w:rsidRPr="57E345E3">
        <w:rPr>
          <w:rFonts w:eastAsiaTheme="minorEastAsia"/>
        </w:rPr>
        <w:t>259</w:t>
      </w:r>
      <w:r w:rsidR="007331AF" w:rsidRPr="57E345E3">
        <w:rPr>
          <w:rFonts w:eastAsiaTheme="minorEastAsia"/>
        </w:rPr>
        <w:t xml:space="preserve"> days or 0.</w:t>
      </w:r>
      <w:r w:rsidR="003D1FF4" w:rsidRPr="57E345E3">
        <w:rPr>
          <w:rFonts w:eastAsiaTheme="minorEastAsia"/>
        </w:rPr>
        <w:t>71</w:t>
      </w:r>
      <w:r w:rsidR="007331AF" w:rsidRPr="57E345E3">
        <w:rPr>
          <w:rFonts w:eastAsiaTheme="minorEastAsia"/>
        </w:rPr>
        <w:t xml:space="preserve"> years</w:t>
      </w:r>
    </w:p>
    <w:p w14:paraId="6FC144E4" w14:textId="7A95CA96" w:rsidR="0082162B" w:rsidRPr="007F7BB0" w:rsidRDefault="57E345E3" w:rsidP="007F7BB0">
      <w:pPr>
        <w:rPr>
          <w:rFonts w:eastAsiaTheme="minorEastAsia"/>
        </w:rPr>
      </w:pPr>
      <w:r w:rsidRPr="007F7BB0">
        <w:rPr>
          <w:rFonts w:eastAsiaTheme="minorEastAsia"/>
          <w:b/>
          <w:bCs/>
        </w:rPr>
        <w:lastRenderedPageBreak/>
        <w:t>Resource use prediction</w:t>
      </w:r>
    </w:p>
    <w:p w14:paraId="1D394E41" w14:textId="77777777" w:rsidR="000E14EB" w:rsidRDefault="000E14EB" w:rsidP="000E14EB">
      <w:pPr>
        <w:rPr>
          <w:b/>
          <w:bCs/>
        </w:rPr>
      </w:pPr>
      <w:r>
        <w:rPr>
          <w:b/>
          <w:bCs/>
        </w:rPr>
        <w:t>Non-elective and elective bed days</w:t>
      </w:r>
    </w:p>
    <w:p w14:paraId="3A7BD34E" w14:textId="77777777" w:rsidR="000E14EB" w:rsidRDefault="000E14EB" w:rsidP="000E14EB">
      <w:r>
        <w:t>The estimates of the non-elective and elective bed days uses a loglogistic survival model, where the expected number of bed days is:</w:t>
      </w:r>
    </w:p>
    <w:p w14:paraId="3B6619F3" w14:textId="77777777" w:rsidR="000E14EB" w:rsidRDefault="000E14EB" w:rsidP="000E14EB">
      <w:pPr>
        <w:rPr>
          <w:rFonts w:eastAsiaTheme="minorEastAsia"/>
        </w:rPr>
      </w:pPr>
      <m:oMathPara>
        <m:oMath>
          <m:r>
            <w:rPr>
              <w:rFonts w:ascii="Cambria Math" w:hAnsi="Cambria Math"/>
            </w:rPr>
            <m:t>Count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r>
            <m:rPr>
              <m:sty m:val="p"/>
            </m:rPr>
            <w:rPr>
              <w:rFonts w:ascii="Cambria Math" w:hAnsi="Cambria Math"/>
            </w:rPr>
            <m:t>ln⁡</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m:t>
                              </m:r>
                              <w:bookmarkStart w:id="0" w:name="_Hlk118382111"/>
                              <m:sSup>
                                <m:sSupPr>
                                  <m:ctrlPr>
                                    <w:rPr>
                                      <w:rFonts w:ascii="Cambria Math" w:hAnsi="Cambria Math"/>
                                    </w:rPr>
                                  </m:ctrlPr>
                                </m:sSupPr>
                                <m:e>
                                  <m:r>
                                    <w:rPr>
                                      <w:rFonts w:ascii="Cambria Math" w:hAnsi="Cambria Math"/>
                                    </w:rPr>
                                    <m:t>e</m:t>
                                  </m:r>
                                </m:e>
                                <m:sup>
                                  <m:r>
                                    <w:rPr>
                                      <w:rFonts w:ascii="Cambria Math" w:hAnsi="Cambria Math"/>
                                    </w:rPr>
                                    <m:t>-(</m:t>
                                  </m:r>
                                  <m:nary>
                                    <m:naryPr>
                                      <m:chr m:val="∑"/>
                                      <m:limLoc m:val="subSup"/>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e>
                                  </m:nary>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w:bookmarkEnd w:id="0"/>
                            </m:e>
                          </m:d>
                        </m:e>
                        <m:sup>
                          <m:r>
                            <w:rPr>
                              <w:rFonts w:ascii="Cambria Math" w:hAnsi="Cambria Math"/>
                            </w:rPr>
                            <m:t>1/γ</m:t>
                          </m:r>
                        </m:sup>
                      </m:sSup>
                    </m:e>
                  </m:d>
                </m:e>
                <m:sup>
                  <m:r>
                    <w:rPr>
                      <w:rFonts w:ascii="Cambria Math" w:hAnsi="Cambria Math"/>
                    </w:rPr>
                    <m:t>-1</m:t>
                  </m:r>
                </m:sup>
              </m:sSup>
            </m:e>
          </m:d>
        </m:oMath>
      </m:oMathPara>
    </w:p>
    <w:p w14:paraId="56FE451C" w14:textId="77777777" w:rsidR="000E14EB" w:rsidRDefault="000E14EB" w:rsidP="000E14EB">
      <w:pPr>
        <w:rPr>
          <w:rFonts w:eastAsiaTheme="minorEastAsia"/>
        </w:rPr>
      </w:pPr>
      <w:proofErr w:type="gramStart"/>
      <w:r>
        <w:rPr>
          <w:rFonts w:eastAsiaTheme="minorEastAsia"/>
        </w:rPr>
        <w:t>Where</w:t>
      </w:r>
      <w:proofErr w:type="gramEnd"/>
      <w:r>
        <w:rPr>
          <w:rFonts w:eastAsiaTheme="minorEastAsia"/>
        </w:rPr>
        <w:t>,</w:t>
      </w:r>
    </w:p>
    <w:p w14:paraId="73AE2819" w14:textId="77777777" w:rsidR="000E14EB" w:rsidRDefault="000E14EB" w:rsidP="000E14EB">
      <w:pPr>
        <w:rPr>
          <w:rFonts w:eastAsiaTheme="minorEastAsia"/>
        </w:rPr>
      </w:pPr>
      <w:proofErr w:type="spellStart"/>
      <w:r>
        <w:rPr>
          <w:rFonts w:eastAsiaTheme="minorEastAsia"/>
        </w:rPr>
        <w:t>t</w:t>
      </w:r>
      <w:r>
        <w:rPr>
          <w:rFonts w:eastAsiaTheme="minorEastAsia"/>
          <w:vertAlign w:val="subscript"/>
        </w:rPr>
        <w:t>i</w:t>
      </w:r>
      <w:proofErr w:type="spellEnd"/>
      <w:r>
        <w:rPr>
          <w:rFonts w:eastAsiaTheme="minorEastAsia"/>
        </w:rPr>
        <w:t xml:space="preserve"> is the median survival</w:t>
      </w:r>
    </w:p>
    <w:p w14:paraId="7B453A9E" w14:textId="77777777" w:rsidR="000E14EB" w:rsidRDefault="000E14EB" w:rsidP="000E14EB">
      <w:pPr>
        <w:rPr>
          <w:rFonts w:eastAsiaTheme="minorEastAsia"/>
        </w:rPr>
      </w:pPr>
      <w:r>
        <w:rPr>
          <w:rFonts w:eastAsiaTheme="minorEastAsia" w:cstheme="minorHAnsi"/>
        </w:rPr>
        <w:t>γ</w:t>
      </w:r>
      <w:r>
        <w:rPr>
          <w:rFonts w:eastAsiaTheme="minorEastAsia"/>
        </w:rPr>
        <w:t xml:space="preserve"> is the ancillary parameter</w:t>
      </w:r>
    </w:p>
    <w:p w14:paraId="29E6C333" w14:textId="77777777" w:rsidR="000E14EB" w:rsidRDefault="00254598" w:rsidP="000E14EB">
      <w:pPr>
        <w:rPr>
          <w:rFonts w:eastAsiaTheme="minorEastAsia"/>
        </w:rPr>
      </w:pPr>
      <m:oMath>
        <m:nary>
          <m:naryPr>
            <m:chr m:val="∑"/>
            <m:limLoc m:val="subSup"/>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e>
        </m:nary>
      </m:oMath>
      <w:r w:rsidR="000E14EB">
        <w:rPr>
          <w:rFonts w:eastAsiaTheme="minorEastAsia"/>
        </w:rPr>
        <w:t>is the linear predictor</w:t>
      </w:r>
    </w:p>
    <w:p w14:paraId="14DB427D" w14:textId="77777777" w:rsidR="000E14EB" w:rsidRDefault="000E14EB" w:rsidP="000E14EB">
      <w:pPr>
        <w:rPr>
          <w:rFonts w:eastAsiaTheme="minorEastAsia"/>
        </w:rPr>
      </w:pPr>
    </w:p>
    <w:p w14:paraId="3A926969" w14:textId="77777777" w:rsidR="000E14EB" w:rsidRDefault="000E14EB" w:rsidP="000E14EB">
      <w:pPr>
        <w:rPr>
          <w:rFonts w:eastAsiaTheme="minorEastAsia"/>
        </w:rPr>
      </w:pPr>
      <w:r>
        <w:rPr>
          <w:rFonts w:eastAsiaTheme="minorEastAsia"/>
        </w:rPr>
        <w:t>Examples:</w:t>
      </w:r>
    </w:p>
    <w:p w14:paraId="1DE2BD3C" w14:textId="77777777" w:rsidR="000E14EB" w:rsidRDefault="000E14EB" w:rsidP="000E14EB">
      <w:pPr>
        <w:rPr>
          <w:rFonts w:eastAsiaTheme="minorEastAsia"/>
          <w:i/>
          <w:iCs/>
        </w:rPr>
      </w:pPr>
      <w:r>
        <w:rPr>
          <w:rFonts w:eastAsiaTheme="minorEastAsia"/>
          <w:i/>
          <w:iCs/>
        </w:rPr>
        <w:t xml:space="preserve">Each example uses the coefficients to four decimal places from Table X.  As such estimates may be affected by rounding. Full coefficients are reported in the supporting materials. </w:t>
      </w:r>
    </w:p>
    <w:p w14:paraId="1E826357" w14:textId="77777777" w:rsidR="000E14EB" w:rsidRDefault="000E14EB" w:rsidP="000E14EB">
      <w:pPr>
        <w:rPr>
          <w:rFonts w:eastAsiaTheme="minorEastAsia"/>
        </w:rPr>
      </w:pPr>
      <w:r>
        <w:rPr>
          <w:rFonts w:eastAsiaTheme="minorEastAsia"/>
        </w:rPr>
        <w:t>For an 80-year-old woman discharged from hospital with a modified Rankin Score of two, her median survival is 4.43 years.  To calculate her expected number of non-elective admission bed days, the linear predictor would be:</w:t>
      </w:r>
    </w:p>
    <w:p w14:paraId="0B29D175" w14:textId="77777777" w:rsidR="000E14EB" w:rsidRDefault="000E14EB" w:rsidP="000E14EB">
      <w:pPr>
        <w:pStyle w:val="ListParagraph"/>
        <w:numPr>
          <w:ilvl w:val="0"/>
          <w:numId w:val="8"/>
        </w:numPr>
        <w:spacing w:line="256" w:lineRule="auto"/>
        <w:rPr>
          <w:rFonts w:eastAsiaTheme="minorEastAsia"/>
        </w:rPr>
      </w:pPr>
      <w:r>
        <w:rPr>
          <w:rFonts w:eastAsiaTheme="minorEastAsia"/>
        </w:rPr>
        <w:t>-1.334+(-0.0248*7.</w:t>
      </w:r>
      <w:proofErr w:type="gramStart"/>
      <w:r>
        <w:rPr>
          <w:rFonts w:eastAsiaTheme="minorEastAsia"/>
        </w:rPr>
        <w:t>1425)+(</w:t>
      </w:r>
      <w:proofErr w:type="gramEnd"/>
      <w:r>
        <w:rPr>
          <w:rFonts w:eastAsiaTheme="minorEastAsia"/>
        </w:rPr>
        <w:t>0.2966*1)+(-0.4900) = 1.7048 (to four decimal places)</w:t>
      </w:r>
    </w:p>
    <w:p w14:paraId="5E55289A" w14:textId="77777777" w:rsidR="000E14EB" w:rsidRDefault="000E14EB" w:rsidP="000E14EB">
      <w:pPr>
        <w:rPr>
          <w:rFonts w:eastAsiaTheme="minorEastAsia"/>
        </w:rPr>
      </w:pPr>
      <w:r>
        <w:rPr>
          <w:rFonts w:eastAsiaTheme="minorEastAsia"/>
        </w:rPr>
        <w:t>Therefore, her count of non-elective bed days would be:</w:t>
      </w:r>
    </w:p>
    <w:p w14:paraId="04039782" w14:textId="77777777" w:rsidR="000E14EB" w:rsidRDefault="000E14EB" w:rsidP="000E14EB">
      <w:pPr>
        <w:pStyle w:val="ListParagraph"/>
        <w:numPr>
          <w:ilvl w:val="0"/>
          <w:numId w:val="8"/>
        </w:numPr>
        <w:spacing w:line="256" w:lineRule="auto"/>
        <w:rPr>
          <w:rFonts w:eastAsiaTheme="minorEastAsia"/>
        </w:rPr>
      </w:pPr>
      <m:oMath>
        <m:r>
          <w:rPr>
            <w:rFonts w:ascii="Cambria Math" w:hAnsi="Cambria Math"/>
          </w:rPr>
          <m:t>Count</m:t>
        </m:r>
        <m:d>
          <m:dPr>
            <m:begChr m:val="["/>
            <m:endChr m:val="]"/>
            <m:ctrlPr>
              <w:rPr>
                <w:rFonts w:ascii="Cambria Math" w:hAnsi="Cambria Math"/>
                <w:i/>
              </w:rPr>
            </m:ctrlPr>
          </m:dPr>
          <m:e>
            <m:r>
              <w:rPr>
                <w:rFonts w:ascii="Cambria Math" w:hAnsi="Cambria Math"/>
              </w:rPr>
              <m:t>4.43</m:t>
            </m:r>
          </m:e>
        </m:d>
        <m:r>
          <w:rPr>
            <w:rFonts w:ascii="Cambria Math" w:hAnsi="Cambria Math"/>
          </w:rPr>
          <m:t>=-</m:t>
        </m:r>
        <m:r>
          <m:rPr>
            <m:sty m:val="p"/>
          </m:rPr>
          <w:rPr>
            <w:rFonts w:ascii="Cambria Math" w:hAnsi="Cambria Math"/>
          </w:rPr>
          <m:t>ln⁡</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1.7048</m:t>
                                </m:r>
                              </m:sup>
                            </m:sSup>
                            <m:r>
                              <w:rPr>
                                <w:rFonts w:ascii="Cambria Math" w:hAnsi="Cambria Math"/>
                              </w:rPr>
                              <m:t>)×4.43)</m:t>
                            </m:r>
                          </m:e>
                        </m:d>
                      </m:e>
                      <m:sup>
                        <m:r>
                          <w:rPr>
                            <w:rFonts w:ascii="Cambria Math" w:hAnsi="Cambria Math"/>
                          </w:rPr>
                          <m:t>1/0.1617</m:t>
                        </m:r>
                      </m:sup>
                    </m:sSup>
                  </m:e>
                </m:d>
              </m:e>
              <m:sup>
                <m:r>
                  <w:rPr>
                    <w:rFonts w:ascii="Cambria Math" w:hAnsi="Cambria Math"/>
                  </w:rPr>
                  <m:t>-1</m:t>
                </m:r>
              </m:sup>
            </m:sSup>
          </m:e>
        </m:d>
      </m:oMath>
    </w:p>
    <w:p w14:paraId="18D7F77F" w14:textId="77777777" w:rsidR="000E14EB" w:rsidRDefault="000E14EB" w:rsidP="000E14EB">
      <w:pPr>
        <w:pStyle w:val="ListParagraph"/>
        <w:rPr>
          <w:rFonts w:eastAsiaTheme="minorEastAsia"/>
        </w:rPr>
      </w:pPr>
    </w:p>
    <w:p w14:paraId="303E8F7D" w14:textId="77777777" w:rsidR="000E14EB" w:rsidRDefault="000E14EB" w:rsidP="000E14EB">
      <w:pPr>
        <w:rPr>
          <w:rFonts w:eastAsiaTheme="minorEastAsia"/>
        </w:rPr>
      </w:pPr>
      <w:r>
        <w:rPr>
          <w:rFonts w:eastAsiaTheme="minorEastAsia"/>
        </w:rPr>
        <w:t>Which equals 19.7477 non-elective bed days (to four decimal places)</w:t>
      </w:r>
    </w:p>
    <w:p w14:paraId="6B138BC5" w14:textId="77777777" w:rsidR="000E14EB" w:rsidRDefault="000E14EB" w:rsidP="000E14EB">
      <w:pPr>
        <w:rPr>
          <w:rFonts w:eastAsiaTheme="minorEastAsia"/>
        </w:rPr>
      </w:pPr>
    </w:p>
    <w:p w14:paraId="67E5EAD7" w14:textId="77777777" w:rsidR="000E14EB" w:rsidRDefault="000E14EB" w:rsidP="000E14EB">
      <w:pPr>
        <w:rPr>
          <w:rFonts w:eastAsiaTheme="minorEastAsia"/>
        </w:rPr>
      </w:pPr>
      <w:r>
        <w:rPr>
          <w:rFonts w:eastAsiaTheme="minorEastAsia"/>
        </w:rPr>
        <w:t>Similarly, a 66-year-old male discharged with a modified Ranking score of three would have a median survival of 5.88 years.  To calculate his expected number of elective admission bed days, the linear predictor would be:</w:t>
      </w:r>
    </w:p>
    <w:p w14:paraId="7A6F380F" w14:textId="77777777" w:rsidR="000E14EB" w:rsidRDefault="000E14EB" w:rsidP="000E14EB">
      <w:pPr>
        <w:pStyle w:val="ListParagraph"/>
        <w:numPr>
          <w:ilvl w:val="0"/>
          <w:numId w:val="8"/>
        </w:numPr>
        <w:spacing w:line="256" w:lineRule="auto"/>
        <w:rPr>
          <w:rFonts w:eastAsiaTheme="minorEastAsia"/>
        </w:rPr>
      </w:pPr>
      <w:r>
        <w:rPr>
          <w:rFonts w:eastAsiaTheme="minorEastAsia"/>
        </w:rPr>
        <w:t>1.2735+(-0.0081*-10.</w:t>
      </w:r>
      <w:proofErr w:type="gramStart"/>
      <w:r>
        <w:rPr>
          <w:rFonts w:eastAsiaTheme="minorEastAsia"/>
        </w:rPr>
        <w:t>4884)+(</w:t>
      </w:r>
      <w:proofErr w:type="gramEnd"/>
      <w:r>
        <w:rPr>
          <w:rFonts w:eastAsiaTheme="minorEastAsia"/>
        </w:rPr>
        <w:t>-0.0774*1)+(-0.1613) = 1.1198 (to four decimal places)</w:t>
      </w:r>
    </w:p>
    <w:p w14:paraId="17C67E41" w14:textId="77777777" w:rsidR="000E14EB" w:rsidRDefault="000E14EB" w:rsidP="000E14EB">
      <w:pPr>
        <w:rPr>
          <w:rFonts w:eastAsiaTheme="minorEastAsia"/>
        </w:rPr>
      </w:pPr>
      <w:r>
        <w:rPr>
          <w:rFonts w:eastAsiaTheme="minorEastAsia"/>
        </w:rPr>
        <w:t>Therefore, his count of elective bed days would be:</w:t>
      </w:r>
    </w:p>
    <w:p w14:paraId="34E63F2F" w14:textId="77777777" w:rsidR="000E14EB" w:rsidRDefault="000E14EB" w:rsidP="000E14EB">
      <w:pPr>
        <w:pStyle w:val="ListParagraph"/>
        <w:numPr>
          <w:ilvl w:val="0"/>
          <w:numId w:val="8"/>
        </w:numPr>
        <w:spacing w:line="256" w:lineRule="auto"/>
        <w:rPr>
          <w:rFonts w:eastAsiaTheme="minorEastAsia"/>
        </w:rPr>
      </w:pPr>
      <m:oMath>
        <m:r>
          <w:rPr>
            <w:rFonts w:ascii="Cambria Math" w:hAnsi="Cambria Math"/>
          </w:rPr>
          <m:t>Count</m:t>
        </m:r>
        <m:d>
          <m:dPr>
            <m:begChr m:val="["/>
            <m:endChr m:val="]"/>
            <m:ctrlPr>
              <w:rPr>
                <w:rFonts w:ascii="Cambria Math" w:hAnsi="Cambria Math"/>
                <w:i/>
              </w:rPr>
            </m:ctrlPr>
          </m:dPr>
          <m:e>
            <m:r>
              <w:rPr>
                <w:rFonts w:ascii="Cambria Math" w:hAnsi="Cambria Math"/>
              </w:rPr>
              <m:t>5.88</m:t>
            </m:r>
          </m:e>
        </m:d>
        <m:r>
          <w:rPr>
            <w:rFonts w:ascii="Cambria Math" w:hAnsi="Cambria Math"/>
          </w:rPr>
          <m:t>=-</m:t>
        </m:r>
        <m:r>
          <m:rPr>
            <m:sty m:val="p"/>
          </m:rPr>
          <w:rPr>
            <w:rFonts w:ascii="Cambria Math" w:hAnsi="Cambria Math"/>
          </w:rPr>
          <m:t>ln⁡</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1.1198</m:t>
                                </m:r>
                              </m:sup>
                            </m:sSup>
                            <m:r>
                              <w:rPr>
                                <w:rFonts w:ascii="Cambria Math" w:hAnsi="Cambria Math"/>
                              </w:rPr>
                              <m:t>)×5.88)</m:t>
                            </m:r>
                          </m:e>
                        </m:d>
                      </m:e>
                      <m:sup>
                        <m:r>
                          <w:rPr>
                            <w:rFonts w:ascii="Cambria Math" w:hAnsi="Cambria Math"/>
                          </w:rPr>
                          <m:t>1/0.8516</m:t>
                        </m:r>
                      </m:sup>
                    </m:sSup>
                  </m:e>
                </m:d>
              </m:e>
              <m:sup>
                <m:r>
                  <w:rPr>
                    <w:rFonts w:ascii="Cambria Math" w:hAnsi="Cambria Math"/>
                  </w:rPr>
                  <m:t>-1</m:t>
                </m:r>
              </m:sup>
            </m:sSup>
          </m:e>
        </m:d>
      </m:oMath>
    </w:p>
    <w:p w14:paraId="0012B110" w14:textId="77777777" w:rsidR="000E14EB" w:rsidRDefault="000E14EB" w:rsidP="000E14EB">
      <w:pPr>
        <w:rPr>
          <w:rFonts w:eastAsiaTheme="minorEastAsia"/>
        </w:rPr>
      </w:pPr>
      <w:r>
        <w:rPr>
          <w:rFonts w:eastAsiaTheme="minorEastAsia"/>
        </w:rPr>
        <w:t>Which equals 3.4282 elective bed days (to four decimal places)</w:t>
      </w:r>
    </w:p>
    <w:p w14:paraId="681F751F" w14:textId="77777777" w:rsidR="000E14EB" w:rsidRDefault="000E14EB" w:rsidP="000E14EB">
      <w:pPr>
        <w:rPr>
          <w:rFonts w:eastAsiaTheme="minorEastAsia"/>
          <w:b/>
          <w:bCs/>
        </w:rPr>
      </w:pPr>
      <w:r>
        <w:rPr>
          <w:rFonts w:eastAsiaTheme="minorEastAsia"/>
          <w:b/>
          <w:bCs/>
        </w:rPr>
        <w:t>A&amp;E Admissions</w:t>
      </w:r>
    </w:p>
    <w:p w14:paraId="19DD1CF4" w14:textId="77777777" w:rsidR="000E14EB" w:rsidRDefault="000E14EB" w:rsidP="000E14EB">
      <w:r>
        <w:t>The estimates of the number of A&amp;E admissions uses a Weibull accelerated failure-time survival model, where the expected number of A&amp;E admissions is:</w:t>
      </w:r>
    </w:p>
    <w:p w14:paraId="52AC72F6" w14:textId="77777777" w:rsidR="000E14EB" w:rsidRDefault="000E14EB" w:rsidP="000E14EB">
      <w:pPr>
        <w:rPr>
          <w:rFonts w:eastAsiaTheme="minorEastAsia"/>
        </w:rPr>
      </w:pPr>
      <m:oMathPara>
        <m:oMath>
          <m:r>
            <w:rPr>
              <w:rFonts w:ascii="Cambria Math" w:hAnsi="Cambria Math"/>
            </w:rPr>
            <w:lastRenderedPageBreak/>
            <m:t>Count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r>
            <m:rPr>
              <m:sty m:val="p"/>
            </m:rPr>
            <w:rPr>
              <w:rFonts w:ascii="Cambria Math" w:hAnsi="Cambria Math"/>
            </w:rPr>
            <m:t>ln⁡</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γ</m:t>
                      </m:r>
                    </m:sup>
                  </m:sSubSup>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-[(γ)×(</m:t>
                      </m:r>
                      <m:nary>
                        <m:naryPr>
                          <m:chr m:val="∑"/>
                          <m:limLoc m:val="subSup"/>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e>
                      </m:nary>
                    </m:sup>
                  </m:sSup>
                  <m:r>
                    <w:rPr>
                      <w:rFonts w:ascii="Cambria Math" w:hAnsi="Cambria Math"/>
                    </w:rPr>
                    <m:t>)</m:t>
                  </m:r>
                </m:sup>
              </m:sSup>
              <m:r>
                <w:rPr>
                  <w:rFonts w:ascii="Cambria Math" w:hAnsi="Cambria Math"/>
                </w:rPr>
                <m:t xml:space="preserve"> </m:t>
              </m:r>
            </m:e>
          </m:d>
        </m:oMath>
      </m:oMathPara>
    </w:p>
    <w:p w14:paraId="3CC33BA8" w14:textId="77777777" w:rsidR="000E14EB" w:rsidRDefault="000E14EB" w:rsidP="000E14EB">
      <w:pPr>
        <w:rPr>
          <w:rFonts w:eastAsiaTheme="minorEastAsia"/>
        </w:rPr>
      </w:pPr>
      <w:proofErr w:type="gramStart"/>
      <w:r>
        <w:rPr>
          <w:rFonts w:eastAsiaTheme="minorEastAsia"/>
        </w:rPr>
        <w:t>Where</w:t>
      </w:r>
      <w:proofErr w:type="gramEnd"/>
      <w:r>
        <w:rPr>
          <w:rFonts w:eastAsiaTheme="minorEastAsia"/>
        </w:rPr>
        <w:t>,</w:t>
      </w:r>
    </w:p>
    <w:p w14:paraId="28D47247" w14:textId="77777777" w:rsidR="000E14EB" w:rsidRDefault="000E14EB" w:rsidP="000E14EB">
      <w:pPr>
        <w:rPr>
          <w:rFonts w:eastAsiaTheme="minorEastAsia"/>
        </w:rPr>
      </w:pPr>
      <w:proofErr w:type="spellStart"/>
      <w:r>
        <w:rPr>
          <w:rFonts w:eastAsiaTheme="minorEastAsia"/>
        </w:rPr>
        <w:t>t</w:t>
      </w:r>
      <w:r>
        <w:rPr>
          <w:rFonts w:eastAsiaTheme="minorEastAsia"/>
          <w:vertAlign w:val="subscript"/>
        </w:rPr>
        <w:t>i</w:t>
      </w:r>
      <w:proofErr w:type="spellEnd"/>
      <w:r>
        <w:rPr>
          <w:rFonts w:eastAsiaTheme="minorEastAsia"/>
        </w:rPr>
        <w:t xml:space="preserve"> is the median survival</w:t>
      </w:r>
    </w:p>
    <w:p w14:paraId="7930C3E3" w14:textId="77777777" w:rsidR="000E14EB" w:rsidRDefault="000E14EB" w:rsidP="000E14EB">
      <w:pPr>
        <w:rPr>
          <w:rFonts w:eastAsiaTheme="minorEastAsia"/>
        </w:rPr>
      </w:pPr>
      <w:r>
        <w:rPr>
          <w:rFonts w:eastAsiaTheme="minorEastAsia" w:cstheme="minorHAnsi"/>
        </w:rPr>
        <w:t>γ</w:t>
      </w:r>
      <w:r>
        <w:rPr>
          <w:rFonts w:eastAsiaTheme="minorEastAsia"/>
        </w:rPr>
        <w:t xml:space="preserve"> is the ancillary parameter</w:t>
      </w:r>
    </w:p>
    <w:p w14:paraId="5ED7E136" w14:textId="77777777" w:rsidR="000E14EB" w:rsidRDefault="00254598" w:rsidP="000E14EB">
      <w:pPr>
        <w:rPr>
          <w:rFonts w:eastAsiaTheme="minorEastAsia"/>
        </w:rPr>
      </w:pPr>
      <m:oMath>
        <m:nary>
          <m:naryPr>
            <m:chr m:val="∑"/>
            <m:limLoc m:val="subSup"/>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e>
        </m:nary>
      </m:oMath>
      <w:r w:rsidR="000E14EB">
        <w:rPr>
          <w:rFonts w:eastAsiaTheme="minorEastAsia"/>
        </w:rPr>
        <w:t>is the linear predictor</w:t>
      </w:r>
    </w:p>
    <w:p w14:paraId="1AE7B74D" w14:textId="77777777" w:rsidR="000E14EB" w:rsidRDefault="000E14EB" w:rsidP="000E14EB">
      <w:pPr>
        <w:rPr>
          <w:rFonts w:eastAsiaTheme="minorEastAsia"/>
        </w:rPr>
      </w:pPr>
    </w:p>
    <w:p w14:paraId="466FC0EA" w14:textId="77777777" w:rsidR="000E14EB" w:rsidRDefault="000E14EB" w:rsidP="000E14EB">
      <w:pPr>
        <w:rPr>
          <w:rFonts w:eastAsiaTheme="minorEastAsia"/>
        </w:rPr>
      </w:pPr>
      <w:r>
        <w:rPr>
          <w:rFonts w:eastAsiaTheme="minorEastAsia"/>
        </w:rPr>
        <w:t>Examples:</w:t>
      </w:r>
    </w:p>
    <w:p w14:paraId="4848B6D6" w14:textId="77777777" w:rsidR="000E14EB" w:rsidRDefault="000E14EB" w:rsidP="000E14EB">
      <w:pPr>
        <w:rPr>
          <w:rFonts w:eastAsiaTheme="minorEastAsia"/>
          <w:i/>
          <w:iCs/>
        </w:rPr>
      </w:pPr>
      <w:r>
        <w:rPr>
          <w:rFonts w:eastAsiaTheme="minorEastAsia"/>
          <w:i/>
          <w:iCs/>
        </w:rPr>
        <w:t xml:space="preserve">Each example uses the coefficients to four decimal places from Table X.  As such estimates may be affected by rounding. Full coefficients are reported in the supporting materials. </w:t>
      </w:r>
    </w:p>
    <w:p w14:paraId="289B03D0" w14:textId="77777777" w:rsidR="000E14EB" w:rsidRDefault="000E14EB" w:rsidP="000E14EB">
      <w:pPr>
        <w:rPr>
          <w:rFonts w:eastAsiaTheme="minorEastAsia"/>
        </w:rPr>
      </w:pPr>
      <w:r>
        <w:rPr>
          <w:rFonts w:eastAsiaTheme="minorEastAsia"/>
        </w:rPr>
        <w:t>For a 65-year-old male discharged with a modified Ranking score of two, his median survival time is 8.46 years.  To calculate his expected number of A&amp;E admissions, the linear predictor is:</w:t>
      </w:r>
    </w:p>
    <w:p w14:paraId="5DEE14C2" w14:textId="77777777" w:rsidR="000E14EB" w:rsidRDefault="000E14EB" w:rsidP="000E14EB">
      <w:pPr>
        <w:pStyle w:val="ListParagraph"/>
        <w:numPr>
          <w:ilvl w:val="0"/>
          <w:numId w:val="8"/>
        </w:numPr>
        <w:spacing w:line="256" w:lineRule="auto"/>
        <w:rPr>
          <w:rFonts w:eastAsiaTheme="minorEastAsia"/>
        </w:rPr>
      </w:pPr>
      <w:r>
        <w:rPr>
          <w:rFonts w:eastAsiaTheme="minorEastAsia"/>
        </w:rPr>
        <w:t>-0.0692+(-0.0050*-7.</w:t>
      </w:r>
      <w:proofErr w:type="gramStart"/>
      <w:r>
        <w:rPr>
          <w:rFonts w:eastAsiaTheme="minorEastAsia"/>
        </w:rPr>
        <w:t>8575)+(</w:t>
      </w:r>
      <w:proofErr w:type="gramEnd"/>
      <w:r>
        <w:rPr>
          <w:rFonts w:eastAsiaTheme="minorEastAsia"/>
        </w:rPr>
        <w:t>0.0791*1)+(-0.1126) = 0.0832 to four decimal places.</w:t>
      </w:r>
    </w:p>
    <w:p w14:paraId="119F3A49" w14:textId="77777777" w:rsidR="000E14EB" w:rsidRDefault="000E14EB" w:rsidP="000E14EB">
      <w:pPr>
        <w:rPr>
          <w:rFonts w:eastAsiaTheme="minorEastAsia"/>
        </w:rPr>
      </w:pPr>
      <w:r>
        <w:rPr>
          <w:rFonts w:eastAsiaTheme="minorEastAsia"/>
        </w:rPr>
        <w:t>Therefore, his expected count of A&amp;E admissions is:</w:t>
      </w:r>
    </w:p>
    <w:p w14:paraId="248BB3E6" w14:textId="77777777" w:rsidR="000E14EB" w:rsidRDefault="000E14EB" w:rsidP="000E14EB">
      <w:pPr>
        <w:pStyle w:val="ListParagraph"/>
        <w:numPr>
          <w:ilvl w:val="0"/>
          <w:numId w:val="8"/>
        </w:numPr>
        <w:spacing w:line="256" w:lineRule="auto"/>
        <w:rPr>
          <w:rFonts w:eastAsiaTheme="minorEastAsia"/>
        </w:rPr>
      </w:pPr>
      <m:oMath>
        <m:r>
          <w:rPr>
            <w:rFonts w:ascii="Cambria Math" w:hAnsi="Cambria Math"/>
          </w:rPr>
          <m:t>Count</m:t>
        </m:r>
        <m:d>
          <m:dPr>
            <m:begChr m:val="["/>
            <m:endChr m:val="]"/>
            <m:ctrlPr>
              <w:rPr>
                <w:rFonts w:ascii="Cambria Math" w:hAnsi="Cambria Math"/>
                <w:i/>
              </w:rPr>
            </m:ctrlPr>
          </m:dPr>
          <m:e>
            <m:r>
              <w:rPr>
                <w:rFonts w:ascii="Cambria Math" w:hAnsi="Cambria Math"/>
              </w:rPr>
              <m:t>8.46</m:t>
            </m:r>
          </m:e>
        </m:d>
        <m:r>
          <w:rPr>
            <w:rFonts w:ascii="Cambria Math" w:hAnsi="Cambria Math"/>
          </w:rPr>
          <m:t>=-</m:t>
        </m:r>
        <m:r>
          <m:rPr>
            <m:sty m:val="p"/>
          </m:rPr>
          <w:rPr>
            <w:rFonts w:ascii="Cambria Math" w:hAnsi="Cambria Math"/>
          </w:rPr>
          <m:t>ln⁡</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8.46</m:t>
                    </m:r>
                  </m:e>
                  <m:sup>
                    <m:r>
                      <w:rPr>
                        <w:rFonts w:ascii="Cambria Math" w:hAnsi="Cambria Math"/>
                      </w:rPr>
                      <m:t>0.8167</m:t>
                    </m:r>
                  </m:sup>
                </m:sSup>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m:rPr>
                            <m:sty m:val="p"/>
                          </m:rPr>
                          <w:rPr>
                            <w:rFonts w:ascii="Cambria Math" w:eastAsiaTheme="minorEastAsia" w:hAnsi="Cambria Math" w:cstheme="minorHAnsi"/>
                          </w:rPr>
                          <m:t>0.8167</m:t>
                        </m:r>
                        <m:ctrlPr>
                          <w:rPr>
                            <w:rFonts w:ascii="Cambria Math" w:eastAsiaTheme="minorEastAsia" w:hAnsi="Cambria Math" w:cstheme="minorHAnsi"/>
                          </w:rPr>
                        </m:ctrlPr>
                      </m:e>
                    </m:d>
                    <m:r>
                      <w:rPr>
                        <w:rFonts w:ascii="Cambria Math" w:hAnsi="Cambria Math"/>
                      </w:rPr>
                      <m:t>×</m:t>
                    </m:r>
                    <m:d>
                      <m:dPr>
                        <m:ctrlPr>
                          <w:rPr>
                            <w:rFonts w:ascii="Cambria Math" w:hAnsi="Cambria Math"/>
                            <w:i/>
                          </w:rPr>
                        </m:ctrlPr>
                      </m:dPr>
                      <m:e>
                        <m:r>
                          <w:rPr>
                            <w:rFonts w:ascii="Cambria Math" w:hAnsi="Cambria Math"/>
                          </w:rPr>
                          <m:t>0.0832</m:t>
                        </m:r>
                      </m:e>
                    </m:d>
                    <m:r>
                      <w:rPr>
                        <w:rFonts w:ascii="Cambria Math" w:hAnsi="Cambria Math"/>
                      </w:rPr>
                      <m:t>]</m:t>
                    </m:r>
                  </m:sup>
                </m:sSup>
                <m:r>
                  <w:rPr>
                    <w:rFonts w:ascii="Cambria Math" w:hAnsi="Cambria Math"/>
                  </w:rPr>
                  <m:t>)</m:t>
                </m:r>
              </m:sup>
            </m:sSup>
            <m:r>
              <w:rPr>
                <w:rFonts w:ascii="Cambria Math" w:hAnsi="Cambria Math"/>
              </w:rPr>
              <m:t xml:space="preserve"> </m:t>
            </m:r>
          </m:e>
        </m:d>
      </m:oMath>
    </w:p>
    <w:p w14:paraId="1E814CEF" w14:textId="77777777" w:rsidR="000E14EB" w:rsidRDefault="000E14EB" w:rsidP="000E14EB">
      <w:pPr>
        <w:rPr>
          <w:rFonts w:eastAsiaTheme="minorEastAsia"/>
        </w:rPr>
      </w:pPr>
      <w:r>
        <w:rPr>
          <w:rFonts w:eastAsiaTheme="minorEastAsia"/>
        </w:rPr>
        <w:t>Which gives an expected count of A&amp;E admissions of 5.3441 (to four decimal places)</w:t>
      </w:r>
    </w:p>
    <w:p w14:paraId="0EEC9C94" w14:textId="29BBEC2A" w:rsidR="57E345E3" w:rsidRDefault="57E345E3" w:rsidP="57E345E3">
      <w:pPr>
        <w:rPr>
          <w:rFonts w:eastAsiaTheme="minorEastAsia"/>
        </w:rPr>
      </w:pPr>
    </w:p>
    <w:p w14:paraId="73ABF511" w14:textId="77777777" w:rsidR="0082162B" w:rsidRDefault="0082162B" w:rsidP="009C46B9">
      <w:pPr>
        <w:rPr>
          <w:rFonts w:eastAsiaTheme="minorEastAsia"/>
        </w:rPr>
      </w:pPr>
    </w:p>
    <w:p w14:paraId="3034FA22" w14:textId="77777777" w:rsidR="00D40A20" w:rsidRDefault="00D40A20" w:rsidP="009C46B9">
      <w:pPr>
        <w:rPr>
          <w:rFonts w:eastAsiaTheme="minorEastAsia"/>
        </w:rPr>
      </w:pPr>
    </w:p>
    <w:p w14:paraId="16F45A5F" w14:textId="77777777" w:rsidR="00D40A20" w:rsidRDefault="00D40A20" w:rsidP="009C46B9">
      <w:pPr>
        <w:rPr>
          <w:rFonts w:eastAsiaTheme="minorEastAsia"/>
        </w:rPr>
      </w:pPr>
    </w:p>
    <w:p w14:paraId="068FA12D" w14:textId="77777777" w:rsidR="009678BF" w:rsidRDefault="009678BF" w:rsidP="009C46B9">
      <w:pPr>
        <w:rPr>
          <w:rFonts w:eastAsiaTheme="minorEastAsia"/>
        </w:rPr>
      </w:pPr>
    </w:p>
    <w:p w14:paraId="21EFF9FC" w14:textId="77777777" w:rsidR="009678BF" w:rsidRDefault="009678BF" w:rsidP="009C46B9">
      <w:pPr>
        <w:rPr>
          <w:rFonts w:eastAsiaTheme="minorEastAsia"/>
        </w:rPr>
      </w:pPr>
    </w:p>
    <w:p w14:paraId="4EBAB212" w14:textId="77777777" w:rsidR="00B4794C" w:rsidRDefault="00B4794C" w:rsidP="009C46B9">
      <w:pPr>
        <w:rPr>
          <w:rFonts w:eastAsiaTheme="minorEastAsia"/>
        </w:rPr>
      </w:pPr>
    </w:p>
    <w:p w14:paraId="35887662" w14:textId="77777777" w:rsidR="00B4794C" w:rsidRPr="00EB5515" w:rsidRDefault="00B4794C" w:rsidP="009C46B9">
      <w:pPr>
        <w:rPr>
          <w:rFonts w:eastAsiaTheme="minorEastAsia"/>
          <w:b/>
          <w:bCs/>
        </w:rPr>
      </w:pPr>
    </w:p>
    <w:p w14:paraId="2CABC384" w14:textId="77777777" w:rsidR="00EB5515" w:rsidRPr="00EB5515" w:rsidRDefault="00EB5515">
      <w:pPr>
        <w:rPr>
          <w:rFonts w:eastAsiaTheme="minorEastAsia"/>
          <w:b/>
          <w:bCs/>
        </w:rPr>
      </w:pPr>
    </w:p>
    <w:p w14:paraId="45C9C87F" w14:textId="77777777" w:rsidR="00194905" w:rsidRDefault="00194905">
      <w:pPr>
        <w:rPr>
          <w:rFonts w:eastAsiaTheme="minorEastAsia"/>
          <w:b/>
          <w:bCs/>
        </w:rPr>
      </w:pPr>
    </w:p>
    <w:p w14:paraId="16BE72D6" w14:textId="309610CE" w:rsidR="006F6818" w:rsidRDefault="006F6818">
      <w:pPr>
        <w:rPr>
          <w:rFonts w:eastAsiaTheme="minorEastAsia"/>
          <w:b/>
          <w:bCs/>
        </w:rPr>
      </w:pPr>
    </w:p>
    <w:p w14:paraId="669CA6FD" w14:textId="4E43989F" w:rsidR="009D018A" w:rsidRDefault="009D018A">
      <w:pPr>
        <w:rPr>
          <w:rFonts w:eastAsiaTheme="minorEastAsia"/>
          <w:b/>
          <w:bCs/>
        </w:rPr>
      </w:pPr>
    </w:p>
    <w:p w14:paraId="366C3BA6" w14:textId="77777777" w:rsidR="000D55D6" w:rsidRPr="00E65685" w:rsidRDefault="000D55D6">
      <w:pPr>
        <w:rPr>
          <w:b/>
          <w:bCs/>
        </w:rPr>
      </w:pPr>
    </w:p>
    <w:sectPr w:rsidR="000D55D6" w:rsidRPr="00E656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7FB20" w14:textId="77777777" w:rsidR="001B5065" w:rsidRDefault="001B5065" w:rsidP="00BC22CE">
      <w:pPr>
        <w:spacing w:after="0" w:line="240" w:lineRule="auto"/>
      </w:pPr>
      <w:r>
        <w:separator/>
      </w:r>
    </w:p>
  </w:endnote>
  <w:endnote w:type="continuationSeparator" w:id="0">
    <w:p w14:paraId="70373A17" w14:textId="77777777" w:rsidR="001B5065" w:rsidRDefault="001B5065" w:rsidP="00BC22CE">
      <w:pPr>
        <w:spacing w:after="0" w:line="240" w:lineRule="auto"/>
      </w:pPr>
      <w:r>
        <w:continuationSeparator/>
      </w:r>
    </w:p>
  </w:endnote>
  <w:endnote w:id="1">
    <w:p w14:paraId="72934855" w14:textId="4F9D109A" w:rsidR="00AC5AC0" w:rsidRDefault="00AC5AC0">
      <w:pPr>
        <w:pStyle w:val="EndnoteText"/>
      </w:pPr>
      <w:r>
        <w:rPr>
          <w:rStyle w:val="EndnoteReference"/>
        </w:rPr>
        <w:endnoteRef/>
      </w:r>
      <w:r>
        <w:t xml:space="preserve"> </w:t>
      </w:r>
      <w:r w:rsidRPr="00AC5AC0">
        <w:t xml:space="preserve">Cadilhac DA, Kim J, Wilson A, Berge E, Patel A, Ali M, Saver J, Christensen H, </w:t>
      </w:r>
      <w:proofErr w:type="spellStart"/>
      <w:r w:rsidRPr="00AC5AC0">
        <w:t>Cuche</w:t>
      </w:r>
      <w:proofErr w:type="spellEnd"/>
      <w:r w:rsidRPr="00AC5AC0">
        <w:t xml:space="preserve"> M, Crews S, Wu O, </w:t>
      </w:r>
      <w:proofErr w:type="spellStart"/>
      <w:r w:rsidRPr="00AC5AC0">
        <w:t>Provoyeur</w:t>
      </w:r>
      <w:proofErr w:type="spellEnd"/>
      <w:r w:rsidRPr="00AC5AC0">
        <w:t xml:space="preserve"> M, McMeekin P, Durand-Zaleski I, Ford GA, </w:t>
      </w:r>
      <w:proofErr w:type="spellStart"/>
      <w:r w:rsidRPr="00AC5AC0">
        <w:t>Muhlemann</w:t>
      </w:r>
      <w:proofErr w:type="spellEnd"/>
      <w:r w:rsidRPr="00AC5AC0">
        <w:t xml:space="preserve"> N, Bath PM, Abdul-Rahim AH, </w:t>
      </w:r>
      <w:proofErr w:type="spellStart"/>
      <w:r w:rsidRPr="00AC5AC0">
        <w:t>Sunnerhagen</w:t>
      </w:r>
      <w:proofErr w:type="spellEnd"/>
      <w:r w:rsidRPr="00AC5AC0">
        <w:t xml:space="preserve"> K, </w:t>
      </w:r>
      <w:proofErr w:type="spellStart"/>
      <w:r w:rsidRPr="00AC5AC0">
        <w:t>Meretoja</w:t>
      </w:r>
      <w:proofErr w:type="spellEnd"/>
      <w:r w:rsidRPr="00AC5AC0">
        <w:t xml:space="preserve"> A, Thijs V, Weimar C, Massaro A, Ranta A, Lees KR; ESO Health Economics Working group. Improving economic evaluations in stroke: A report from the ESO Health Economics Working Group. Eur Stroke J. 2020 Jun;5(2):184-192. </w:t>
      </w:r>
      <w:proofErr w:type="spellStart"/>
      <w:r w:rsidRPr="00AC5AC0">
        <w:t>doi</w:t>
      </w:r>
      <w:proofErr w:type="spellEnd"/>
      <w:r w:rsidRPr="00AC5AC0">
        <w:t xml:space="preserve">: 10.1177/2396987319897466. </w:t>
      </w:r>
      <w:proofErr w:type="spellStart"/>
      <w:r w:rsidRPr="00AC5AC0">
        <w:t>Epub</w:t>
      </w:r>
      <w:proofErr w:type="spellEnd"/>
      <w:r w:rsidRPr="00AC5AC0">
        <w:t xml:space="preserve"> 2020 Jan 27. PMID: 32637652; PMCID: PMC7313366.</w:t>
      </w:r>
    </w:p>
  </w:endnote>
  <w:endnote w:id="2">
    <w:p w14:paraId="1F009A69" w14:textId="76D96B99" w:rsidR="000B2CDA" w:rsidRDefault="000B2CDA">
      <w:pPr>
        <w:pStyle w:val="EndnoteText"/>
      </w:pPr>
      <w:r>
        <w:rPr>
          <w:rStyle w:val="EndnoteReference"/>
        </w:rPr>
        <w:endnoteRef/>
      </w:r>
      <w:r>
        <w:t xml:space="preserve"> </w:t>
      </w:r>
      <w:r w:rsidRPr="000B2CDA">
        <w:t xml:space="preserve">Hayes AJ, Leal J, Gray AM, Holman RR, Clarke PM. UKPDS outcomes model 2: a new version of a model to simulate lifetime health outcomes of patients with type 2 diabetes mellitus using data from the </w:t>
      </w:r>
      <w:proofErr w:type="gramStart"/>
      <w:r w:rsidRPr="000B2CDA">
        <w:t>30 year</w:t>
      </w:r>
      <w:proofErr w:type="gramEnd"/>
      <w:r w:rsidRPr="000B2CDA">
        <w:t xml:space="preserve"> United Kingdom Prospective Diabetes Study: UKPDS 82. </w:t>
      </w:r>
      <w:proofErr w:type="spellStart"/>
      <w:r w:rsidRPr="000B2CDA">
        <w:t>Diabetologia</w:t>
      </w:r>
      <w:proofErr w:type="spellEnd"/>
      <w:r w:rsidRPr="000B2CDA">
        <w:t>. 2013 Sep;56(9):1925-33.</w:t>
      </w:r>
    </w:p>
  </w:endnote>
  <w:endnote w:id="3">
    <w:p w14:paraId="2C9A3E44" w14:textId="682D6BA9" w:rsidR="004B716F" w:rsidRDefault="004B716F">
      <w:pPr>
        <w:pStyle w:val="EndnoteText"/>
      </w:pPr>
      <w:r>
        <w:rPr>
          <w:rStyle w:val="EndnoteReference"/>
        </w:rPr>
        <w:endnoteRef/>
      </w:r>
      <w:r>
        <w:t xml:space="preserve"> </w:t>
      </w:r>
      <w:proofErr w:type="spellStart"/>
      <w:r>
        <w:t>Borislava</w:t>
      </w:r>
      <w:proofErr w:type="spellEnd"/>
      <w:r>
        <w:t xml:space="preserve"> </w:t>
      </w:r>
      <w:proofErr w:type="spellStart"/>
      <w:r>
        <w:t>Mihaylova</w:t>
      </w:r>
      <w:proofErr w:type="spellEnd"/>
      <w:r>
        <w:t xml:space="preserve">, Andrew </w:t>
      </w:r>
      <w:proofErr w:type="gramStart"/>
      <w:r>
        <w:t>Briggs ,</w:t>
      </w:r>
      <w:proofErr w:type="gramEnd"/>
      <w:r>
        <w:t xml:space="preserve"> Anthony </w:t>
      </w:r>
      <w:proofErr w:type="spellStart"/>
      <w:r>
        <w:t>O’hagan</w:t>
      </w:r>
      <w:proofErr w:type="spellEnd"/>
      <w:r>
        <w:t xml:space="preserve"> And Simon G. Thompson. Review Of Statistical Methods </w:t>
      </w:r>
      <w:proofErr w:type="gramStart"/>
      <w:r>
        <w:t>For</w:t>
      </w:r>
      <w:proofErr w:type="gramEnd"/>
      <w:r>
        <w:t xml:space="preserve"> Analysing Healthcare Resources And Costs. Health Econ. 20: 897–916 (2011)</w:t>
      </w:r>
    </w:p>
  </w:endnote>
  <w:endnote w:id="4">
    <w:p w14:paraId="78CB24A3" w14:textId="2A6B027B" w:rsidR="001C2EE2" w:rsidRDefault="001C2EE2">
      <w:pPr>
        <w:pStyle w:val="EndnoteText"/>
        <w:rPr>
          <w:rFonts w:ascii="Segoe UI" w:hAnsi="Segoe UI" w:cs="Segoe UI"/>
          <w:color w:val="212121"/>
          <w:shd w:val="clear" w:color="auto" w:fill="FFFFFF"/>
        </w:rPr>
      </w:pPr>
      <w:r>
        <w:rPr>
          <w:rStyle w:val="EndnoteReference"/>
        </w:rPr>
        <w:endnoteRef/>
      </w:r>
      <w:r>
        <w:t xml:space="preserve"> </w:t>
      </w:r>
      <w:proofErr w:type="spellStart"/>
      <w:r>
        <w:rPr>
          <w:rFonts w:ascii="Segoe UI" w:hAnsi="Segoe UI" w:cs="Segoe UI"/>
          <w:color w:val="212121"/>
          <w:shd w:val="clear" w:color="auto" w:fill="FFFFFF"/>
        </w:rPr>
        <w:t>Dijkland</w:t>
      </w:r>
      <w:proofErr w:type="spellEnd"/>
      <w:r>
        <w:rPr>
          <w:rFonts w:ascii="Segoe UI" w:hAnsi="Segoe UI" w:cs="Segoe UI"/>
          <w:color w:val="212121"/>
          <w:shd w:val="clear" w:color="auto" w:fill="FFFFFF"/>
        </w:rPr>
        <w:t xml:space="preserve"> SA, </w:t>
      </w:r>
      <w:proofErr w:type="spellStart"/>
      <w:r>
        <w:rPr>
          <w:rFonts w:ascii="Segoe UI" w:hAnsi="Segoe UI" w:cs="Segoe UI"/>
          <w:color w:val="212121"/>
          <w:shd w:val="clear" w:color="auto" w:fill="FFFFFF"/>
        </w:rPr>
        <w:t>Voormolen</w:t>
      </w:r>
      <w:proofErr w:type="spellEnd"/>
      <w:r>
        <w:rPr>
          <w:rFonts w:ascii="Segoe UI" w:hAnsi="Segoe UI" w:cs="Segoe UI"/>
          <w:color w:val="212121"/>
          <w:shd w:val="clear" w:color="auto" w:fill="FFFFFF"/>
        </w:rPr>
        <w:t xml:space="preserve"> DC, </w:t>
      </w:r>
      <w:proofErr w:type="spellStart"/>
      <w:r>
        <w:rPr>
          <w:rFonts w:ascii="Segoe UI" w:hAnsi="Segoe UI" w:cs="Segoe UI"/>
          <w:color w:val="212121"/>
          <w:shd w:val="clear" w:color="auto" w:fill="FFFFFF"/>
        </w:rPr>
        <w:t>Venema</w:t>
      </w:r>
      <w:proofErr w:type="spellEnd"/>
      <w:r>
        <w:rPr>
          <w:rFonts w:ascii="Segoe UI" w:hAnsi="Segoe UI" w:cs="Segoe UI"/>
          <w:color w:val="212121"/>
          <w:shd w:val="clear" w:color="auto" w:fill="FFFFFF"/>
        </w:rPr>
        <w:t xml:space="preserve"> E, </w:t>
      </w:r>
      <w:proofErr w:type="spellStart"/>
      <w:r>
        <w:rPr>
          <w:rFonts w:ascii="Segoe UI" w:hAnsi="Segoe UI" w:cs="Segoe UI"/>
          <w:color w:val="212121"/>
          <w:shd w:val="clear" w:color="auto" w:fill="FFFFFF"/>
        </w:rPr>
        <w:t>Roozenbeek</w:t>
      </w:r>
      <w:proofErr w:type="spellEnd"/>
      <w:r>
        <w:rPr>
          <w:rFonts w:ascii="Segoe UI" w:hAnsi="Segoe UI" w:cs="Segoe UI"/>
          <w:color w:val="212121"/>
          <w:shd w:val="clear" w:color="auto" w:fill="FFFFFF"/>
        </w:rPr>
        <w:t xml:space="preserve"> B, </w:t>
      </w:r>
      <w:proofErr w:type="spellStart"/>
      <w:r>
        <w:rPr>
          <w:rFonts w:ascii="Segoe UI" w:hAnsi="Segoe UI" w:cs="Segoe UI"/>
          <w:color w:val="212121"/>
          <w:shd w:val="clear" w:color="auto" w:fill="FFFFFF"/>
        </w:rPr>
        <w:t>Polinder</w:t>
      </w:r>
      <w:proofErr w:type="spellEnd"/>
      <w:r>
        <w:rPr>
          <w:rFonts w:ascii="Segoe UI" w:hAnsi="Segoe UI" w:cs="Segoe UI"/>
          <w:color w:val="212121"/>
          <w:shd w:val="clear" w:color="auto" w:fill="FFFFFF"/>
        </w:rPr>
        <w:t xml:space="preserve"> S, </w:t>
      </w:r>
      <w:proofErr w:type="spellStart"/>
      <w:r>
        <w:rPr>
          <w:rFonts w:ascii="Segoe UI" w:hAnsi="Segoe UI" w:cs="Segoe UI"/>
          <w:color w:val="212121"/>
          <w:shd w:val="clear" w:color="auto" w:fill="FFFFFF"/>
        </w:rPr>
        <w:t>Haagsma</w:t>
      </w:r>
      <w:proofErr w:type="spellEnd"/>
      <w:r>
        <w:rPr>
          <w:rFonts w:ascii="Segoe UI" w:hAnsi="Segoe UI" w:cs="Segoe UI"/>
          <w:color w:val="212121"/>
          <w:shd w:val="clear" w:color="auto" w:fill="FFFFFF"/>
        </w:rPr>
        <w:t xml:space="preserve"> JA, </w:t>
      </w:r>
      <w:proofErr w:type="spellStart"/>
      <w:r>
        <w:rPr>
          <w:rFonts w:ascii="Segoe UI" w:hAnsi="Segoe UI" w:cs="Segoe UI"/>
          <w:color w:val="212121"/>
          <w:shd w:val="clear" w:color="auto" w:fill="FFFFFF"/>
        </w:rPr>
        <w:t>Nieboer</w:t>
      </w:r>
      <w:proofErr w:type="spellEnd"/>
      <w:r>
        <w:rPr>
          <w:rFonts w:ascii="Segoe UI" w:hAnsi="Segoe UI" w:cs="Segoe UI"/>
          <w:color w:val="212121"/>
          <w:shd w:val="clear" w:color="auto" w:fill="FFFFFF"/>
        </w:rPr>
        <w:t xml:space="preserve"> D, </w:t>
      </w:r>
      <w:proofErr w:type="spellStart"/>
      <w:r>
        <w:rPr>
          <w:rFonts w:ascii="Segoe UI" w:hAnsi="Segoe UI" w:cs="Segoe UI"/>
          <w:color w:val="212121"/>
          <w:shd w:val="clear" w:color="auto" w:fill="FFFFFF"/>
        </w:rPr>
        <w:t>Chalos</w:t>
      </w:r>
      <w:proofErr w:type="spellEnd"/>
      <w:r>
        <w:rPr>
          <w:rFonts w:ascii="Segoe UI" w:hAnsi="Segoe UI" w:cs="Segoe UI"/>
          <w:color w:val="212121"/>
          <w:shd w:val="clear" w:color="auto" w:fill="FFFFFF"/>
        </w:rPr>
        <w:t xml:space="preserve"> V, </w:t>
      </w:r>
      <w:proofErr w:type="spellStart"/>
      <w:r>
        <w:rPr>
          <w:rFonts w:ascii="Segoe UI" w:hAnsi="Segoe UI" w:cs="Segoe UI"/>
          <w:color w:val="212121"/>
          <w:shd w:val="clear" w:color="auto" w:fill="FFFFFF"/>
        </w:rPr>
        <w:t>Yoo</w:t>
      </w:r>
      <w:proofErr w:type="spellEnd"/>
      <w:r>
        <w:rPr>
          <w:rFonts w:ascii="Segoe UI" w:hAnsi="Segoe UI" w:cs="Segoe UI"/>
          <w:color w:val="212121"/>
          <w:shd w:val="clear" w:color="auto" w:fill="FFFFFF"/>
        </w:rPr>
        <w:t xml:space="preserve"> AJ, Schreuders J, van der </w:t>
      </w:r>
      <w:proofErr w:type="spellStart"/>
      <w:r>
        <w:rPr>
          <w:rFonts w:ascii="Segoe UI" w:hAnsi="Segoe UI" w:cs="Segoe UI"/>
          <w:color w:val="212121"/>
          <w:shd w:val="clear" w:color="auto" w:fill="FFFFFF"/>
        </w:rPr>
        <w:t>Lugt</w:t>
      </w:r>
      <w:proofErr w:type="spellEnd"/>
      <w:r>
        <w:rPr>
          <w:rFonts w:ascii="Segoe UI" w:hAnsi="Segoe UI" w:cs="Segoe UI"/>
          <w:color w:val="212121"/>
          <w:shd w:val="clear" w:color="auto" w:fill="FFFFFF"/>
        </w:rPr>
        <w:t xml:space="preserve"> A, </w:t>
      </w:r>
      <w:proofErr w:type="spellStart"/>
      <w:r>
        <w:rPr>
          <w:rFonts w:ascii="Segoe UI" w:hAnsi="Segoe UI" w:cs="Segoe UI"/>
          <w:color w:val="212121"/>
          <w:shd w:val="clear" w:color="auto" w:fill="FFFFFF"/>
        </w:rPr>
        <w:t>Majoie</w:t>
      </w:r>
      <w:proofErr w:type="spellEnd"/>
      <w:r>
        <w:rPr>
          <w:rFonts w:ascii="Segoe UI" w:hAnsi="Segoe UI" w:cs="Segoe UI"/>
          <w:color w:val="212121"/>
          <w:shd w:val="clear" w:color="auto" w:fill="FFFFFF"/>
        </w:rPr>
        <w:t xml:space="preserve"> CBLM, </w:t>
      </w:r>
      <w:proofErr w:type="spellStart"/>
      <w:r>
        <w:rPr>
          <w:rFonts w:ascii="Segoe UI" w:hAnsi="Segoe UI" w:cs="Segoe UI"/>
          <w:color w:val="212121"/>
          <w:shd w:val="clear" w:color="auto" w:fill="FFFFFF"/>
        </w:rPr>
        <w:t>Roos</w:t>
      </w:r>
      <w:proofErr w:type="spellEnd"/>
      <w:r>
        <w:rPr>
          <w:rFonts w:ascii="Segoe UI" w:hAnsi="Segoe UI" w:cs="Segoe UI"/>
          <w:color w:val="212121"/>
          <w:shd w:val="clear" w:color="auto" w:fill="FFFFFF"/>
        </w:rPr>
        <w:t xml:space="preserve"> YBWEM, van </w:t>
      </w:r>
      <w:proofErr w:type="spellStart"/>
      <w:r>
        <w:rPr>
          <w:rFonts w:ascii="Segoe UI" w:hAnsi="Segoe UI" w:cs="Segoe UI"/>
          <w:color w:val="212121"/>
          <w:shd w:val="clear" w:color="auto" w:fill="FFFFFF"/>
        </w:rPr>
        <w:t>Zwam</w:t>
      </w:r>
      <w:proofErr w:type="spellEnd"/>
      <w:r>
        <w:rPr>
          <w:rFonts w:ascii="Segoe UI" w:hAnsi="Segoe UI" w:cs="Segoe UI"/>
          <w:color w:val="212121"/>
          <w:shd w:val="clear" w:color="auto" w:fill="FFFFFF"/>
        </w:rPr>
        <w:t xml:space="preserve"> WH, van </w:t>
      </w:r>
      <w:proofErr w:type="spellStart"/>
      <w:r>
        <w:rPr>
          <w:rFonts w:ascii="Segoe UI" w:hAnsi="Segoe UI" w:cs="Segoe UI"/>
          <w:color w:val="212121"/>
          <w:shd w:val="clear" w:color="auto" w:fill="FFFFFF"/>
        </w:rPr>
        <w:t>Oostenbrugge</w:t>
      </w:r>
      <w:proofErr w:type="spellEnd"/>
      <w:r>
        <w:rPr>
          <w:rFonts w:ascii="Segoe UI" w:hAnsi="Segoe UI" w:cs="Segoe UI"/>
          <w:color w:val="212121"/>
          <w:shd w:val="clear" w:color="auto" w:fill="FFFFFF"/>
        </w:rPr>
        <w:t xml:space="preserve"> RJ, </w:t>
      </w:r>
      <w:proofErr w:type="spellStart"/>
      <w:r>
        <w:rPr>
          <w:rFonts w:ascii="Segoe UI" w:hAnsi="Segoe UI" w:cs="Segoe UI"/>
          <w:color w:val="212121"/>
          <w:shd w:val="clear" w:color="auto" w:fill="FFFFFF"/>
        </w:rPr>
        <w:t>Steyerberg</w:t>
      </w:r>
      <w:proofErr w:type="spellEnd"/>
      <w:r>
        <w:rPr>
          <w:rFonts w:ascii="Segoe UI" w:hAnsi="Segoe UI" w:cs="Segoe UI"/>
          <w:color w:val="212121"/>
          <w:shd w:val="clear" w:color="auto" w:fill="FFFFFF"/>
        </w:rPr>
        <w:t xml:space="preserve"> EW, </w:t>
      </w:r>
      <w:proofErr w:type="spellStart"/>
      <w:r>
        <w:rPr>
          <w:rFonts w:ascii="Segoe UI" w:hAnsi="Segoe UI" w:cs="Segoe UI"/>
          <w:color w:val="212121"/>
          <w:shd w:val="clear" w:color="auto" w:fill="FFFFFF"/>
        </w:rPr>
        <w:t>Dippel</w:t>
      </w:r>
      <w:proofErr w:type="spellEnd"/>
      <w:r>
        <w:rPr>
          <w:rFonts w:ascii="Segoe UI" w:hAnsi="Segoe UI" w:cs="Segoe UI"/>
          <w:color w:val="212121"/>
          <w:shd w:val="clear" w:color="auto" w:fill="FFFFFF"/>
        </w:rPr>
        <w:t xml:space="preserve"> DWJ, </w:t>
      </w:r>
      <w:proofErr w:type="spellStart"/>
      <w:r>
        <w:rPr>
          <w:rFonts w:ascii="Segoe UI" w:hAnsi="Segoe UI" w:cs="Segoe UI"/>
          <w:color w:val="212121"/>
          <w:shd w:val="clear" w:color="auto" w:fill="FFFFFF"/>
        </w:rPr>
        <w:t>Lingsma</w:t>
      </w:r>
      <w:proofErr w:type="spellEnd"/>
      <w:r>
        <w:rPr>
          <w:rFonts w:ascii="Segoe UI" w:hAnsi="Segoe UI" w:cs="Segoe UI"/>
          <w:color w:val="212121"/>
          <w:shd w:val="clear" w:color="auto" w:fill="FFFFFF"/>
        </w:rPr>
        <w:t xml:space="preserve"> HF; MR CLEAN Investigators. Utility-Weighted Modified Rankin Scale as Primary Outcome in Stroke Trials: A Simulation Study. Stroke. 2018 Apr;49(4):965-971. </w:t>
      </w:r>
      <w:proofErr w:type="spellStart"/>
      <w:r>
        <w:rPr>
          <w:rFonts w:ascii="Segoe UI" w:hAnsi="Segoe UI" w:cs="Segoe UI"/>
          <w:color w:val="212121"/>
          <w:shd w:val="clear" w:color="auto" w:fill="FFFFFF"/>
        </w:rPr>
        <w:t>doi</w:t>
      </w:r>
      <w:proofErr w:type="spellEnd"/>
      <w:r>
        <w:rPr>
          <w:rFonts w:ascii="Segoe UI" w:hAnsi="Segoe UI" w:cs="Segoe UI"/>
          <w:color w:val="212121"/>
          <w:shd w:val="clear" w:color="auto" w:fill="FFFFFF"/>
        </w:rPr>
        <w:t xml:space="preserve">: 10.1161/STROKEAHA.117.020194. </w:t>
      </w:r>
      <w:proofErr w:type="spellStart"/>
      <w:r>
        <w:rPr>
          <w:rFonts w:ascii="Segoe UI" w:hAnsi="Segoe UI" w:cs="Segoe UI"/>
          <w:color w:val="212121"/>
          <w:shd w:val="clear" w:color="auto" w:fill="FFFFFF"/>
        </w:rPr>
        <w:t>Epub</w:t>
      </w:r>
      <w:proofErr w:type="spellEnd"/>
      <w:r>
        <w:rPr>
          <w:rFonts w:ascii="Segoe UI" w:hAnsi="Segoe UI" w:cs="Segoe UI"/>
          <w:color w:val="212121"/>
          <w:shd w:val="clear" w:color="auto" w:fill="FFFFFF"/>
        </w:rPr>
        <w:t xml:space="preserve"> 2018 Mar 13. PMID: 29535271; PMCID: PMC5895119.</w:t>
      </w:r>
    </w:p>
    <w:p w14:paraId="664B012C" w14:textId="0F1C8D8C" w:rsidR="007B2CA6" w:rsidRPr="00572A18" w:rsidRDefault="007B2CA6">
      <w:pPr>
        <w:pStyle w:val="EndnoteText"/>
        <w:rPr>
          <w:rFonts w:ascii="Segoe UI" w:hAnsi="Segoe UI" w:cs="Segoe UI"/>
          <w:color w:val="212121"/>
          <w:shd w:val="clear" w:color="auto" w:fill="FFFFFF"/>
        </w:rPr>
      </w:pPr>
      <w:r w:rsidRPr="007B2CA6">
        <w:rPr>
          <w:rFonts w:ascii="Segoe UI" w:hAnsi="Segoe UI" w:cs="Segoe UI"/>
          <w:color w:val="212121"/>
          <w:shd w:val="clear" w:color="auto" w:fill="FFFFFF"/>
          <w:vertAlign w:val="superscript"/>
        </w:rPr>
        <w:t>v</w:t>
      </w:r>
      <w:r w:rsidR="00572A18">
        <w:rPr>
          <w:rFonts w:ascii="Segoe UI" w:hAnsi="Segoe UI" w:cs="Segoe UI"/>
          <w:color w:val="212121"/>
          <w:shd w:val="clear" w:color="auto" w:fill="FFFFFF"/>
          <w:vertAlign w:val="superscript"/>
        </w:rPr>
        <w:t xml:space="preserve"> </w:t>
      </w:r>
      <w:r w:rsidR="00572A18" w:rsidRPr="00572A18">
        <w:rPr>
          <w:rFonts w:ascii="Segoe UI" w:hAnsi="Segoe UI" w:cs="Segoe UI"/>
          <w:color w:val="212121"/>
          <w:shd w:val="clear" w:color="auto" w:fill="FFFFFF"/>
        </w:rPr>
        <w:t xml:space="preserve">Care DoHaS. NHS Reference Costs </w:t>
      </w:r>
      <w:r w:rsidR="00572A18">
        <w:rPr>
          <w:rFonts w:ascii="Segoe UI" w:hAnsi="Segoe UI" w:cs="Segoe UI"/>
          <w:color w:val="212121"/>
          <w:shd w:val="clear" w:color="auto" w:fill="FFFFFF"/>
        </w:rPr>
        <w:t>2020 to 2021</w:t>
      </w:r>
      <w:r w:rsidR="00572A18" w:rsidRPr="00572A18">
        <w:rPr>
          <w:rFonts w:ascii="Segoe UI" w:hAnsi="Segoe UI" w:cs="Segoe UI"/>
          <w:color w:val="212121"/>
          <w:shd w:val="clear" w:color="auto" w:fill="FFFFFF"/>
        </w:rPr>
        <w:t xml:space="preserve">. In: Care DoHaS, editor. </w:t>
      </w:r>
      <w:r w:rsidR="00572A18" w:rsidRPr="00572A18">
        <w:rPr>
          <w:rFonts w:ascii="Segoe UI" w:hAnsi="Segoe UI" w:cs="Segoe UI"/>
          <w:color w:val="212121"/>
          <w:shd w:val="clear" w:color="auto" w:fill="FFFFFF"/>
        </w:rPr>
        <w:t>London</w:t>
      </w:r>
      <w:r w:rsidR="00572A18">
        <w:rPr>
          <w:rFonts w:ascii="Segoe UI" w:hAnsi="Segoe UI" w:cs="Segoe UI"/>
          <w:color w:val="212121"/>
          <w:shd w:val="clear" w:color="auto" w:fill="FFFFFF"/>
        </w:rPr>
        <w:t xml:space="preserve"> 2021 </w:t>
      </w:r>
      <w:r w:rsidR="00572A18" w:rsidRPr="00572A18">
        <w:rPr>
          <w:rFonts w:ascii="Segoe UI" w:hAnsi="Segoe UI" w:cs="Segoe UI"/>
          <w:color w:val="212121"/>
          <w:shd w:val="clear" w:color="auto" w:fill="FFFFFF"/>
        </w:rPr>
        <w:t>.</w:t>
      </w:r>
    </w:p>
    <w:p w14:paraId="10B15492" w14:textId="5B9CE85E" w:rsidR="007B2CA6" w:rsidRPr="00572A18" w:rsidRDefault="007B2CA6">
      <w:pPr>
        <w:pStyle w:val="EndnoteText"/>
        <w:rPr>
          <w:rFonts w:ascii="Segoe UI" w:hAnsi="Segoe UI" w:cs="Segoe UI"/>
          <w:color w:val="212121"/>
          <w:shd w:val="clear" w:color="auto" w:fill="FFFFFF"/>
        </w:rPr>
      </w:pPr>
      <w:r>
        <w:rPr>
          <w:rFonts w:ascii="Segoe UI" w:hAnsi="Segoe UI" w:cs="Segoe UI"/>
          <w:color w:val="212121"/>
          <w:shd w:val="clear" w:color="auto" w:fill="FFFFFF"/>
          <w:vertAlign w:val="superscript"/>
        </w:rPr>
        <w:t>vi</w:t>
      </w:r>
      <w:r w:rsidR="00572A18">
        <w:rPr>
          <w:rFonts w:ascii="Segoe UI" w:hAnsi="Segoe UI" w:cs="Segoe UI"/>
          <w:color w:val="212121"/>
          <w:shd w:val="clear" w:color="auto" w:fill="FFFFFF"/>
          <w:vertAlign w:val="superscript"/>
        </w:rPr>
        <w:t xml:space="preserve"> </w:t>
      </w:r>
      <w:r w:rsidR="00572A18" w:rsidRPr="00572A18">
        <w:rPr>
          <w:rFonts w:ascii="Segoe UI" w:hAnsi="Segoe UI" w:cs="Segoe UI"/>
          <w:color w:val="212121"/>
          <w:shd w:val="clear" w:color="auto" w:fill="FFFFFF"/>
        </w:rPr>
        <w:t>National Institute for Health and Care Excellence. Perioperative care in adults. 2019. Available at: https://www.nice.org.uk/guidance/GID-NG10072/documents/evidence-review-12. Accessed 23 Mar 2022.</w:t>
      </w:r>
    </w:p>
    <w:p w14:paraId="3B717DCB" w14:textId="04D23329" w:rsidR="007B2CA6" w:rsidRPr="007B2CA6" w:rsidRDefault="007B2CA6" w:rsidP="007B2CA6">
      <w:pPr>
        <w:pStyle w:val="EndnoteText"/>
        <w:rPr>
          <w:rFonts w:ascii="Segoe UI" w:hAnsi="Segoe UI" w:cs="Segoe UI"/>
          <w:color w:val="212121"/>
          <w:shd w:val="clear" w:color="auto" w:fill="FFFFFF"/>
        </w:rPr>
      </w:pPr>
      <w:r>
        <w:rPr>
          <w:rFonts w:ascii="Segoe UI" w:hAnsi="Segoe UI" w:cs="Segoe UI"/>
          <w:color w:val="212121"/>
          <w:shd w:val="clear" w:color="auto" w:fill="FFFFFF"/>
          <w:vertAlign w:val="superscript"/>
        </w:rPr>
        <w:t xml:space="preserve">vii </w:t>
      </w:r>
      <w:r w:rsidRPr="007B2CA6">
        <w:rPr>
          <w:rFonts w:ascii="Segoe UI" w:hAnsi="Segoe UI" w:cs="Segoe UI"/>
          <w:color w:val="212121"/>
          <w:shd w:val="clear" w:color="auto" w:fill="FFFFFF"/>
        </w:rPr>
        <w:t>Jones, K. &amp; Burns, A. (2021) Unit Costs of Health and Social Care 2021, Personal Social Services Research Unit, University of Kent, Canterbury.</w:t>
      </w:r>
      <w:r>
        <w:rPr>
          <w:rFonts w:ascii="Segoe UI" w:hAnsi="Segoe UI" w:cs="Segoe UI"/>
          <w:color w:val="212121"/>
          <w:shd w:val="clear" w:color="auto" w:fill="FFFFFF"/>
        </w:rPr>
        <w:t xml:space="preserve"> </w:t>
      </w:r>
      <w:r w:rsidRPr="007B2CA6">
        <w:rPr>
          <w:rFonts w:ascii="Segoe UI" w:hAnsi="Segoe UI" w:cs="Segoe UI"/>
          <w:color w:val="212121"/>
          <w:shd w:val="clear" w:color="auto" w:fill="FFFFFF"/>
        </w:rPr>
        <w:t>DOI: 10.22024/</w:t>
      </w:r>
      <w:proofErr w:type="spellStart"/>
      <w:r w:rsidRPr="007B2CA6">
        <w:rPr>
          <w:rFonts w:ascii="Segoe UI" w:hAnsi="Segoe UI" w:cs="Segoe UI"/>
          <w:color w:val="212121"/>
          <w:shd w:val="clear" w:color="auto" w:fill="FFFFFF"/>
        </w:rPr>
        <w:t>UniKent</w:t>
      </w:r>
      <w:proofErr w:type="spellEnd"/>
      <w:r w:rsidRPr="007B2CA6">
        <w:rPr>
          <w:rFonts w:ascii="Segoe UI" w:hAnsi="Segoe UI" w:cs="Segoe UI"/>
          <w:color w:val="212121"/>
          <w:shd w:val="clear" w:color="auto" w:fill="FFFFFF"/>
        </w:rPr>
        <w:t>/01.02.92342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C310C" w14:textId="77777777" w:rsidR="001B5065" w:rsidRDefault="001B5065" w:rsidP="00BC22CE">
      <w:pPr>
        <w:spacing w:after="0" w:line="240" w:lineRule="auto"/>
      </w:pPr>
      <w:r>
        <w:separator/>
      </w:r>
    </w:p>
  </w:footnote>
  <w:footnote w:type="continuationSeparator" w:id="0">
    <w:p w14:paraId="0CB415F6" w14:textId="77777777" w:rsidR="001B5065" w:rsidRDefault="001B5065" w:rsidP="00BC22CE">
      <w:pPr>
        <w:spacing w:after="0" w:line="240" w:lineRule="auto"/>
      </w:pPr>
      <w:r>
        <w:continuationSeparator/>
      </w:r>
    </w:p>
  </w:footnote>
  <w:footnote w:id="1">
    <w:p w14:paraId="66AC3D2D" w14:textId="44985B4F" w:rsidR="0096184E" w:rsidRDefault="0096184E">
      <w:pPr>
        <w:pStyle w:val="FootnoteText"/>
      </w:pPr>
      <w:r>
        <w:rPr>
          <w:rStyle w:val="FootnoteReference"/>
        </w:rPr>
        <w:footnoteRef/>
      </w:r>
      <w:r>
        <w:t xml:space="preserve"> Andrew Briggs, Karl </w:t>
      </w:r>
      <w:proofErr w:type="gramStart"/>
      <w:r>
        <w:t>Claxton</w:t>
      </w:r>
      <w:proofErr w:type="gramEnd"/>
      <w:r>
        <w:t xml:space="preserve"> and Mark </w:t>
      </w:r>
      <w:proofErr w:type="spellStart"/>
      <w:r>
        <w:t>Sculpher</w:t>
      </w:r>
      <w:proofErr w:type="spellEnd"/>
      <w:r w:rsidR="00D9170C">
        <w:t>.  Decision Modelling for Health Economic Evaluations. Chapter 3.</w:t>
      </w:r>
      <w:r w:rsidR="00316B80">
        <w:t xml:space="preserve"> Oxford University Press.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241D6"/>
    <w:multiLevelType w:val="hybridMultilevel"/>
    <w:tmpl w:val="823A93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030461D"/>
    <w:multiLevelType w:val="hybridMultilevel"/>
    <w:tmpl w:val="22300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9B13DE"/>
    <w:multiLevelType w:val="hybridMultilevel"/>
    <w:tmpl w:val="E210359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2BFE6C17"/>
    <w:multiLevelType w:val="hybridMultilevel"/>
    <w:tmpl w:val="DD0CD6A4"/>
    <w:lvl w:ilvl="0" w:tplc="B7A85652">
      <w:numFmt w:val="bullet"/>
      <w:lvlText w:val=""/>
      <w:lvlJc w:val="left"/>
      <w:pPr>
        <w:ind w:left="720" w:hanging="360"/>
      </w:pPr>
      <w:rPr>
        <w:rFonts w:ascii="Symbol" w:eastAsiaTheme="minorHAns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5D5327"/>
    <w:multiLevelType w:val="hybridMultilevel"/>
    <w:tmpl w:val="FF364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F22FF7"/>
    <w:multiLevelType w:val="hybridMultilevel"/>
    <w:tmpl w:val="F3F48564"/>
    <w:lvl w:ilvl="0" w:tplc="B7A85652">
      <w:numFmt w:val="bullet"/>
      <w:lvlText w:val=""/>
      <w:lvlJc w:val="left"/>
      <w:pPr>
        <w:ind w:left="720" w:hanging="360"/>
      </w:pPr>
      <w:rPr>
        <w:rFonts w:ascii="Symbol" w:eastAsiaTheme="minorHAns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E0639B"/>
    <w:multiLevelType w:val="hybridMultilevel"/>
    <w:tmpl w:val="1AB8843C"/>
    <w:lvl w:ilvl="0" w:tplc="B7A85652">
      <w:numFmt w:val="bullet"/>
      <w:lvlText w:val=""/>
      <w:lvlJc w:val="left"/>
      <w:pPr>
        <w:ind w:left="720" w:hanging="360"/>
      </w:pPr>
      <w:rPr>
        <w:rFonts w:ascii="Symbol" w:eastAsiaTheme="minorHAns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B74C0E"/>
    <w:multiLevelType w:val="hybridMultilevel"/>
    <w:tmpl w:val="45CC1210"/>
    <w:lvl w:ilvl="0" w:tplc="B7A85652">
      <w:numFmt w:val="bullet"/>
      <w:lvlText w:val=""/>
      <w:lvlJc w:val="left"/>
      <w:pPr>
        <w:ind w:left="720" w:hanging="360"/>
      </w:pPr>
      <w:rPr>
        <w:rFonts w:ascii="Symbol" w:eastAsiaTheme="minorHAns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50653346">
    <w:abstractNumId w:val="5"/>
  </w:num>
  <w:num w:numId="2" w16cid:durableId="2025205739">
    <w:abstractNumId w:val="7"/>
  </w:num>
  <w:num w:numId="3" w16cid:durableId="490029253">
    <w:abstractNumId w:val="3"/>
  </w:num>
  <w:num w:numId="4" w16cid:durableId="152376025">
    <w:abstractNumId w:val="6"/>
  </w:num>
  <w:num w:numId="5" w16cid:durableId="1122573286">
    <w:abstractNumId w:val="4"/>
  </w:num>
  <w:num w:numId="6" w16cid:durableId="1006981275">
    <w:abstractNumId w:val="2"/>
  </w:num>
  <w:num w:numId="7" w16cid:durableId="454562817">
    <w:abstractNumId w:val="1"/>
  </w:num>
  <w:num w:numId="8" w16cid:durableId="821434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CFF"/>
    <w:rsid w:val="00001DD8"/>
    <w:rsid w:val="000024FA"/>
    <w:rsid w:val="00003106"/>
    <w:rsid w:val="00005D66"/>
    <w:rsid w:val="00010DC6"/>
    <w:rsid w:val="00012E7A"/>
    <w:rsid w:val="00013F45"/>
    <w:rsid w:val="00014616"/>
    <w:rsid w:val="00015F42"/>
    <w:rsid w:val="000177EA"/>
    <w:rsid w:val="000219B7"/>
    <w:rsid w:val="0002319D"/>
    <w:rsid w:val="00023EEE"/>
    <w:rsid w:val="00024013"/>
    <w:rsid w:val="00024739"/>
    <w:rsid w:val="00025E19"/>
    <w:rsid w:val="00030017"/>
    <w:rsid w:val="000310E2"/>
    <w:rsid w:val="00040820"/>
    <w:rsid w:val="00056B48"/>
    <w:rsid w:val="00061C73"/>
    <w:rsid w:val="00065F8E"/>
    <w:rsid w:val="00070909"/>
    <w:rsid w:val="00070F57"/>
    <w:rsid w:val="00071967"/>
    <w:rsid w:val="000722C3"/>
    <w:rsid w:val="00072B86"/>
    <w:rsid w:val="00072BCF"/>
    <w:rsid w:val="0007514A"/>
    <w:rsid w:val="00075E88"/>
    <w:rsid w:val="00077C44"/>
    <w:rsid w:val="00083DC5"/>
    <w:rsid w:val="000849B0"/>
    <w:rsid w:val="00086D1E"/>
    <w:rsid w:val="000877C4"/>
    <w:rsid w:val="000937F1"/>
    <w:rsid w:val="00093DFD"/>
    <w:rsid w:val="00094287"/>
    <w:rsid w:val="0009708B"/>
    <w:rsid w:val="00097241"/>
    <w:rsid w:val="00097C7D"/>
    <w:rsid w:val="000A0425"/>
    <w:rsid w:val="000A0574"/>
    <w:rsid w:val="000A10D0"/>
    <w:rsid w:val="000A12C9"/>
    <w:rsid w:val="000A1999"/>
    <w:rsid w:val="000A33C2"/>
    <w:rsid w:val="000A33F4"/>
    <w:rsid w:val="000A7032"/>
    <w:rsid w:val="000B2CDA"/>
    <w:rsid w:val="000B2EB2"/>
    <w:rsid w:val="000B3DB6"/>
    <w:rsid w:val="000B4BF0"/>
    <w:rsid w:val="000B5E00"/>
    <w:rsid w:val="000B65D7"/>
    <w:rsid w:val="000B77B7"/>
    <w:rsid w:val="000B7F4B"/>
    <w:rsid w:val="000C12A8"/>
    <w:rsid w:val="000C13FA"/>
    <w:rsid w:val="000C3AE0"/>
    <w:rsid w:val="000C3BBC"/>
    <w:rsid w:val="000C51F6"/>
    <w:rsid w:val="000C7073"/>
    <w:rsid w:val="000C75F9"/>
    <w:rsid w:val="000D0306"/>
    <w:rsid w:val="000D197A"/>
    <w:rsid w:val="000D4DB3"/>
    <w:rsid w:val="000D55D6"/>
    <w:rsid w:val="000D6FC9"/>
    <w:rsid w:val="000E14EB"/>
    <w:rsid w:val="000E47EE"/>
    <w:rsid w:val="000F6334"/>
    <w:rsid w:val="000F6932"/>
    <w:rsid w:val="001002DC"/>
    <w:rsid w:val="00104353"/>
    <w:rsid w:val="00107079"/>
    <w:rsid w:val="00111CF7"/>
    <w:rsid w:val="00116292"/>
    <w:rsid w:val="00116945"/>
    <w:rsid w:val="0012536E"/>
    <w:rsid w:val="001261C4"/>
    <w:rsid w:val="00130E16"/>
    <w:rsid w:val="00131E4E"/>
    <w:rsid w:val="001324FC"/>
    <w:rsid w:val="00133BA2"/>
    <w:rsid w:val="001411B4"/>
    <w:rsid w:val="001415A8"/>
    <w:rsid w:val="001438E7"/>
    <w:rsid w:val="001501AB"/>
    <w:rsid w:val="00153818"/>
    <w:rsid w:val="0016027E"/>
    <w:rsid w:val="0016470C"/>
    <w:rsid w:val="00165E64"/>
    <w:rsid w:val="0017239E"/>
    <w:rsid w:val="001740EF"/>
    <w:rsid w:val="00175CFF"/>
    <w:rsid w:val="00175DA5"/>
    <w:rsid w:val="001818B3"/>
    <w:rsid w:val="001821B6"/>
    <w:rsid w:val="00187B07"/>
    <w:rsid w:val="00194892"/>
    <w:rsid w:val="00194905"/>
    <w:rsid w:val="00196AEB"/>
    <w:rsid w:val="00197456"/>
    <w:rsid w:val="00197586"/>
    <w:rsid w:val="00197643"/>
    <w:rsid w:val="001A4001"/>
    <w:rsid w:val="001B2A2C"/>
    <w:rsid w:val="001B372C"/>
    <w:rsid w:val="001B3E66"/>
    <w:rsid w:val="001B5065"/>
    <w:rsid w:val="001B6869"/>
    <w:rsid w:val="001B6B73"/>
    <w:rsid w:val="001C10C4"/>
    <w:rsid w:val="001C1D87"/>
    <w:rsid w:val="001C2EE2"/>
    <w:rsid w:val="001C34A1"/>
    <w:rsid w:val="001C4A0E"/>
    <w:rsid w:val="001D00C1"/>
    <w:rsid w:val="001D3227"/>
    <w:rsid w:val="001D4A0E"/>
    <w:rsid w:val="001E7497"/>
    <w:rsid w:val="001F19C2"/>
    <w:rsid w:val="001F56E8"/>
    <w:rsid w:val="001F6661"/>
    <w:rsid w:val="001F71DA"/>
    <w:rsid w:val="002008CC"/>
    <w:rsid w:val="002072AB"/>
    <w:rsid w:val="0020778D"/>
    <w:rsid w:val="00214C11"/>
    <w:rsid w:val="0021769D"/>
    <w:rsid w:val="0021786F"/>
    <w:rsid w:val="0022392D"/>
    <w:rsid w:val="00225464"/>
    <w:rsid w:val="002262C3"/>
    <w:rsid w:val="00227C6F"/>
    <w:rsid w:val="00230F6A"/>
    <w:rsid w:val="00236F9E"/>
    <w:rsid w:val="0023749B"/>
    <w:rsid w:val="00254598"/>
    <w:rsid w:val="002629BB"/>
    <w:rsid w:val="002644EF"/>
    <w:rsid w:val="002653B9"/>
    <w:rsid w:val="00271A93"/>
    <w:rsid w:val="002728FB"/>
    <w:rsid w:val="0028336D"/>
    <w:rsid w:val="002833A0"/>
    <w:rsid w:val="0028703F"/>
    <w:rsid w:val="0029077C"/>
    <w:rsid w:val="0029560F"/>
    <w:rsid w:val="002A2109"/>
    <w:rsid w:val="002B1ECD"/>
    <w:rsid w:val="002C35A0"/>
    <w:rsid w:val="002C4F27"/>
    <w:rsid w:val="002C57B8"/>
    <w:rsid w:val="002C6713"/>
    <w:rsid w:val="002D1951"/>
    <w:rsid w:val="002D1FAA"/>
    <w:rsid w:val="002D236B"/>
    <w:rsid w:val="002D2E1B"/>
    <w:rsid w:val="002D4851"/>
    <w:rsid w:val="002D49C8"/>
    <w:rsid w:val="002E14B6"/>
    <w:rsid w:val="002E4F6B"/>
    <w:rsid w:val="002E53B2"/>
    <w:rsid w:val="002F17DF"/>
    <w:rsid w:val="002F1E7B"/>
    <w:rsid w:val="002F3A80"/>
    <w:rsid w:val="002F4F13"/>
    <w:rsid w:val="002F6863"/>
    <w:rsid w:val="003013C2"/>
    <w:rsid w:val="00302D48"/>
    <w:rsid w:val="00306086"/>
    <w:rsid w:val="00310CED"/>
    <w:rsid w:val="00311333"/>
    <w:rsid w:val="00312469"/>
    <w:rsid w:val="00316B80"/>
    <w:rsid w:val="00327590"/>
    <w:rsid w:val="00330BD0"/>
    <w:rsid w:val="003357FF"/>
    <w:rsid w:val="00336616"/>
    <w:rsid w:val="00340F66"/>
    <w:rsid w:val="00343AF8"/>
    <w:rsid w:val="003469EC"/>
    <w:rsid w:val="003502FC"/>
    <w:rsid w:val="0035178F"/>
    <w:rsid w:val="00353B83"/>
    <w:rsid w:val="00357210"/>
    <w:rsid w:val="00361316"/>
    <w:rsid w:val="0036230B"/>
    <w:rsid w:val="003630FA"/>
    <w:rsid w:val="00363AB7"/>
    <w:rsid w:val="003714AB"/>
    <w:rsid w:val="00371E23"/>
    <w:rsid w:val="0037437E"/>
    <w:rsid w:val="00376D28"/>
    <w:rsid w:val="00376FDD"/>
    <w:rsid w:val="003809E7"/>
    <w:rsid w:val="0038108C"/>
    <w:rsid w:val="0038376D"/>
    <w:rsid w:val="00383834"/>
    <w:rsid w:val="003838D9"/>
    <w:rsid w:val="003928AF"/>
    <w:rsid w:val="00393392"/>
    <w:rsid w:val="003945E5"/>
    <w:rsid w:val="003A123E"/>
    <w:rsid w:val="003A3790"/>
    <w:rsid w:val="003A5A37"/>
    <w:rsid w:val="003A7AEE"/>
    <w:rsid w:val="003B009F"/>
    <w:rsid w:val="003B13EC"/>
    <w:rsid w:val="003B1620"/>
    <w:rsid w:val="003B1820"/>
    <w:rsid w:val="003B479D"/>
    <w:rsid w:val="003C0F80"/>
    <w:rsid w:val="003C1616"/>
    <w:rsid w:val="003C2B83"/>
    <w:rsid w:val="003C58EA"/>
    <w:rsid w:val="003C61B7"/>
    <w:rsid w:val="003C651C"/>
    <w:rsid w:val="003C7BD4"/>
    <w:rsid w:val="003D1FF4"/>
    <w:rsid w:val="003D542D"/>
    <w:rsid w:val="003D6841"/>
    <w:rsid w:val="003D727E"/>
    <w:rsid w:val="003E04B5"/>
    <w:rsid w:val="003E105F"/>
    <w:rsid w:val="003E7305"/>
    <w:rsid w:val="003F3A40"/>
    <w:rsid w:val="003F5E36"/>
    <w:rsid w:val="00407919"/>
    <w:rsid w:val="00410594"/>
    <w:rsid w:val="00420522"/>
    <w:rsid w:val="00420DB9"/>
    <w:rsid w:val="00421811"/>
    <w:rsid w:val="00421AC5"/>
    <w:rsid w:val="00427267"/>
    <w:rsid w:val="0043053F"/>
    <w:rsid w:val="00433990"/>
    <w:rsid w:val="004340B3"/>
    <w:rsid w:val="00435A60"/>
    <w:rsid w:val="00435DF7"/>
    <w:rsid w:val="004364CC"/>
    <w:rsid w:val="0044188D"/>
    <w:rsid w:val="004418AB"/>
    <w:rsid w:val="00442276"/>
    <w:rsid w:val="00444F4E"/>
    <w:rsid w:val="00451658"/>
    <w:rsid w:val="00452177"/>
    <w:rsid w:val="00453CAA"/>
    <w:rsid w:val="00454B05"/>
    <w:rsid w:val="00455F74"/>
    <w:rsid w:val="004563FF"/>
    <w:rsid w:val="004616CC"/>
    <w:rsid w:val="00470324"/>
    <w:rsid w:val="0047140D"/>
    <w:rsid w:val="0047157C"/>
    <w:rsid w:val="004764B3"/>
    <w:rsid w:val="00477F87"/>
    <w:rsid w:val="004805EF"/>
    <w:rsid w:val="0048578B"/>
    <w:rsid w:val="00492BFD"/>
    <w:rsid w:val="00492F86"/>
    <w:rsid w:val="00495709"/>
    <w:rsid w:val="00497E59"/>
    <w:rsid w:val="004A32B2"/>
    <w:rsid w:val="004A4605"/>
    <w:rsid w:val="004A57C7"/>
    <w:rsid w:val="004A6033"/>
    <w:rsid w:val="004B18D4"/>
    <w:rsid w:val="004B34FC"/>
    <w:rsid w:val="004B3625"/>
    <w:rsid w:val="004B4CBD"/>
    <w:rsid w:val="004B629D"/>
    <w:rsid w:val="004B6D6C"/>
    <w:rsid w:val="004B716F"/>
    <w:rsid w:val="004B7AEF"/>
    <w:rsid w:val="004C071B"/>
    <w:rsid w:val="004C22FF"/>
    <w:rsid w:val="004C4601"/>
    <w:rsid w:val="004C7ED1"/>
    <w:rsid w:val="004D1263"/>
    <w:rsid w:val="004D2E6D"/>
    <w:rsid w:val="004D51BA"/>
    <w:rsid w:val="004E0F6C"/>
    <w:rsid w:val="004E1611"/>
    <w:rsid w:val="004F1A43"/>
    <w:rsid w:val="004F37C8"/>
    <w:rsid w:val="004F7F90"/>
    <w:rsid w:val="0050008C"/>
    <w:rsid w:val="00503098"/>
    <w:rsid w:val="00510AFC"/>
    <w:rsid w:val="00510B47"/>
    <w:rsid w:val="00513501"/>
    <w:rsid w:val="00515741"/>
    <w:rsid w:val="005157C2"/>
    <w:rsid w:val="00515BAE"/>
    <w:rsid w:val="005228C7"/>
    <w:rsid w:val="00523EF3"/>
    <w:rsid w:val="00523FED"/>
    <w:rsid w:val="00526044"/>
    <w:rsid w:val="005301F0"/>
    <w:rsid w:val="0053245D"/>
    <w:rsid w:val="00532672"/>
    <w:rsid w:val="00533533"/>
    <w:rsid w:val="005356FD"/>
    <w:rsid w:val="005360AD"/>
    <w:rsid w:val="0053669C"/>
    <w:rsid w:val="005371E8"/>
    <w:rsid w:val="0053773C"/>
    <w:rsid w:val="00540494"/>
    <w:rsid w:val="00540B7B"/>
    <w:rsid w:val="005440BD"/>
    <w:rsid w:val="00553BE0"/>
    <w:rsid w:val="00554DBB"/>
    <w:rsid w:val="00557BE5"/>
    <w:rsid w:val="005610FE"/>
    <w:rsid w:val="00561FE4"/>
    <w:rsid w:val="0056208B"/>
    <w:rsid w:val="0056606D"/>
    <w:rsid w:val="00572A18"/>
    <w:rsid w:val="00575164"/>
    <w:rsid w:val="005751E4"/>
    <w:rsid w:val="005779FF"/>
    <w:rsid w:val="00587ACF"/>
    <w:rsid w:val="00591D62"/>
    <w:rsid w:val="005962A4"/>
    <w:rsid w:val="005A4C7A"/>
    <w:rsid w:val="005A4FA3"/>
    <w:rsid w:val="005A6D81"/>
    <w:rsid w:val="005A7B65"/>
    <w:rsid w:val="005B1EE6"/>
    <w:rsid w:val="005B3963"/>
    <w:rsid w:val="005B4238"/>
    <w:rsid w:val="005C0E6F"/>
    <w:rsid w:val="005C1CF6"/>
    <w:rsid w:val="005C31B1"/>
    <w:rsid w:val="005C3E73"/>
    <w:rsid w:val="005C71D8"/>
    <w:rsid w:val="005D0BDF"/>
    <w:rsid w:val="005D0D99"/>
    <w:rsid w:val="005D4395"/>
    <w:rsid w:val="005D5109"/>
    <w:rsid w:val="005D5B58"/>
    <w:rsid w:val="005D73A8"/>
    <w:rsid w:val="005D75B7"/>
    <w:rsid w:val="005E2334"/>
    <w:rsid w:val="005E6E78"/>
    <w:rsid w:val="005E7DF4"/>
    <w:rsid w:val="005F2D70"/>
    <w:rsid w:val="005F506E"/>
    <w:rsid w:val="005F59D9"/>
    <w:rsid w:val="006039A7"/>
    <w:rsid w:val="00613747"/>
    <w:rsid w:val="0061437E"/>
    <w:rsid w:val="00616CFF"/>
    <w:rsid w:val="006220A4"/>
    <w:rsid w:val="00631EF5"/>
    <w:rsid w:val="0063323D"/>
    <w:rsid w:val="00633350"/>
    <w:rsid w:val="0063432A"/>
    <w:rsid w:val="00635237"/>
    <w:rsid w:val="0063572E"/>
    <w:rsid w:val="00635916"/>
    <w:rsid w:val="00637807"/>
    <w:rsid w:val="00640B34"/>
    <w:rsid w:val="00641F65"/>
    <w:rsid w:val="00642B88"/>
    <w:rsid w:val="006447F5"/>
    <w:rsid w:val="00644991"/>
    <w:rsid w:val="00645435"/>
    <w:rsid w:val="006458AE"/>
    <w:rsid w:val="00646404"/>
    <w:rsid w:val="00650F49"/>
    <w:rsid w:val="006536A8"/>
    <w:rsid w:val="006542A8"/>
    <w:rsid w:val="00656C75"/>
    <w:rsid w:val="00663FCF"/>
    <w:rsid w:val="00672CB5"/>
    <w:rsid w:val="006736F5"/>
    <w:rsid w:val="00673BF0"/>
    <w:rsid w:val="00675097"/>
    <w:rsid w:val="0067606F"/>
    <w:rsid w:val="00676FC2"/>
    <w:rsid w:val="006775C1"/>
    <w:rsid w:val="0068038A"/>
    <w:rsid w:val="006818DD"/>
    <w:rsid w:val="00681F05"/>
    <w:rsid w:val="0068274C"/>
    <w:rsid w:val="00684784"/>
    <w:rsid w:val="00686B51"/>
    <w:rsid w:val="00686C69"/>
    <w:rsid w:val="00687C50"/>
    <w:rsid w:val="00687FAC"/>
    <w:rsid w:val="00687FE0"/>
    <w:rsid w:val="00697F93"/>
    <w:rsid w:val="006A7056"/>
    <w:rsid w:val="006A7371"/>
    <w:rsid w:val="006B010E"/>
    <w:rsid w:val="006B03EF"/>
    <w:rsid w:val="006B4227"/>
    <w:rsid w:val="006B4BA0"/>
    <w:rsid w:val="006C28AD"/>
    <w:rsid w:val="006C5A8D"/>
    <w:rsid w:val="006D3AA4"/>
    <w:rsid w:val="006D5388"/>
    <w:rsid w:val="006D5C37"/>
    <w:rsid w:val="006D721C"/>
    <w:rsid w:val="006D7895"/>
    <w:rsid w:val="006E4805"/>
    <w:rsid w:val="006E6C5B"/>
    <w:rsid w:val="006E730A"/>
    <w:rsid w:val="006E787D"/>
    <w:rsid w:val="006F1C54"/>
    <w:rsid w:val="006F4A0D"/>
    <w:rsid w:val="006F6818"/>
    <w:rsid w:val="00702AC1"/>
    <w:rsid w:val="00702D55"/>
    <w:rsid w:val="007035DD"/>
    <w:rsid w:val="00707066"/>
    <w:rsid w:val="0071309E"/>
    <w:rsid w:val="007168E9"/>
    <w:rsid w:val="0072663B"/>
    <w:rsid w:val="00727049"/>
    <w:rsid w:val="007308DF"/>
    <w:rsid w:val="00731262"/>
    <w:rsid w:val="007324B4"/>
    <w:rsid w:val="007331AF"/>
    <w:rsid w:val="00734062"/>
    <w:rsid w:val="00736BED"/>
    <w:rsid w:val="007374FE"/>
    <w:rsid w:val="00744568"/>
    <w:rsid w:val="0074494C"/>
    <w:rsid w:val="007502C2"/>
    <w:rsid w:val="00752A00"/>
    <w:rsid w:val="00752ACE"/>
    <w:rsid w:val="007533F0"/>
    <w:rsid w:val="0075422D"/>
    <w:rsid w:val="00755C69"/>
    <w:rsid w:val="00756399"/>
    <w:rsid w:val="00761683"/>
    <w:rsid w:val="00761A8C"/>
    <w:rsid w:val="007631A3"/>
    <w:rsid w:val="00770E49"/>
    <w:rsid w:val="007740FF"/>
    <w:rsid w:val="00774FE5"/>
    <w:rsid w:val="007755F4"/>
    <w:rsid w:val="00776CE3"/>
    <w:rsid w:val="007773CA"/>
    <w:rsid w:val="00780241"/>
    <w:rsid w:val="00783799"/>
    <w:rsid w:val="00785793"/>
    <w:rsid w:val="00790EC8"/>
    <w:rsid w:val="00791516"/>
    <w:rsid w:val="00793CA6"/>
    <w:rsid w:val="00794E39"/>
    <w:rsid w:val="007960B6"/>
    <w:rsid w:val="007A35DA"/>
    <w:rsid w:val="007A4749"/>
    <w:rsid w:val="007A684E"/>
    <w:rsid w:val="007B031B"/>
    <w:rsid w:val="007B1CD5"/>
    <w:rsid w:val="007B21F9"/>
    <w:rsid w:val="007B2CA6"/>
    <w:rsid w:val="007B3FE6"/>
    <w:rsid w:val="007B4327"/>
    <w:rsid w:val="007B672C"/>
    <w:rsid w:val="007B6FAD"/>
    <w:rsid w:val="007C1EEA"/>
    <w:rsid w:val="007C200B"/>
    <w:rsid w:val="007C527B"/>
    <w:rsid w:val="007C5F24"/>
    <w:rsid w:val="007C7713"/>
    <w:rsid w:val="007E0CF0"/>
    <w:rsid w:val="007E11FA"/>
    <w:rsid w:val="007E3C36"/>
    <w:rsid w:val="007F08FE"/>
    <w:rsid w:val="007F34E8"/>
    <w:rsid w:val="007F6224"/>
    <w:rsid w:val="007F75F7"/>
    <w:rsid w:val="007F7BB0"/>
    <w:rsid w:val="00802DDF"/>
    <w:rsid w:val="00803D15"/>
    <w:rsid w:val="00805ABB"/>
    <w:rsid w:val="00806909"/>
    <w:rsid w:val="008114CF"/>
    <w:rsid w:val="008125B4"/>
    <w:rsid w:val="00813149"/>
    <w:rsid w:val="0082162B"/>
    <w:rsid w:val="00824F13"/>
    <w:rsid w:val="0082640B"/>
    <w:rsid w:val="0082725D"/>
    <w:rsid w:val="0082726F"/>
    <w:rsid w:val="00827720"/>
    <w:rsid w:val="00830311"/>
    <w:rsid w:val="0083255A"/>
    <w:rsid w:val="00833C91"/>
    <w:rsid w:val="00836196"/>
    <w:rsid w:val="00837F10"/>
    <w:rsid w:val="008403A8"/>
    <w:rsid w:val="00842901"/>
    <w:rsid w:val="008441E8"/>
    <w:rsid w:val="00846538"/>
    <w:rsid w:val="00847B0E"/>
    <w:rsid w:val="00847E65"/>
    <w:rsid w:val="0086139E"/>
    <w:rsid w:val="00861F05"/>
    <w:rsid w:val="00863BD6"/>
    <w:rsid w:val="00863CF0"/>
    <w:rsid w:val="00865D5C"/>
    <w:rsid w:val="00867505"/>
    <w:rsid w:val="00872226"/>
    <w:rsid w:val="00872D86"/>
    <w:rsid w:val="00876EB6"/>
    <w:rsid w:val="008821C2"/>
    <w:rsid w:val="008832B5"/>
    <w:rsid w:val="00886D04"/>
    <w:rsid w:val="0089136C"/>
    <w:rsid w:val="0089151B"/>
    <w:rsid w:val="00893646"/>
    <w:rsid w:val="008969D4"/>
    <w:rsid w:val="008969FF"/>
    <w:rsid w:val="00897E65"/>
    <w:rsid w:val="008A351D"/>
    <w:rsid w:val="008A3959"/>
    <w:rsid w:val="008A6851"/>
    <w:rsid w:val="008B0110"/>
    <w:rsid w:val="008B2ABB"/>
    <w:rsid w:val="008B63B4"/>
    <w:rsid w:val="008C2B1A"/>
    <w:rsid w:val="008C2C42"/>
    <w:rsid w:val="008C3493"/>
    <w:rsid w:val="008C59C7"/>
    <w:rsid w:val="008C5E37"/>
    <w:rsid w:val="008C65FA"/>
    <w:rsid w:val="008D0F64"/>
    <w:rsid w:val="008D322B"/>
    <w:rsid w:val="008D516E"/>
    <w:rsid w:val="008D69EF"/>
    <w:rsid w:val="008D6C79"/>
    <w:rsid w:val="008E14E0"/>
    <w:rsid w:val="008E7F60"/>
    <w:rsid w:val="008F0480"/>
    <w:rsid w:val="008F33FB"/>
    <w:rsid w:val="008F7E3C"/>
    <w:rsid w:val="00900109"/>
    <w:rsid w:val="009019A3"/>
    <w:rsid w:val="009037D9"/>
    <w:rsid w:val="0090495E"/>
    <w:rsid w:val="00904C2E"/>
    <w:rsid w:val="00907F61"/>
    <w:rsid w:val="00922C46"/>
    <w:rsid w:val="00923BC6"/>
    <w:rsid w:val="00931101"/>
    <w:rsid w:val="009313E0"/>
    <w:rsid w:val="0093423C"/>
    <w:rsid w:val="009378A4"/>
    <w:rsid w:val="0094052A"/>
    <w:rsid w:val="00941C37"/>
    <w:rsid w:val="00941FC7"/>
    <w:rsid w:val="009427F4"/>
    <w:rsid w:val="009449DC"/>
    <w:rsid w:val="00952626"/>
    <w:rsid w:val="00953789"/>
    <w:rsid w:val="00954FA6"/>
    <w:rsid w:val="0096184E"/>
    <w:rsid w:val="009638C4"/>
    <w:rsid w:val="0096545A"/>
    <w:rsid w:val="00965AD0"/>
    <w:rsid w:val="009678BF"/>
    <w:rsid w:val="0097116F"/>
    <w:rsid w:val="00972468"/>
    <w:rsid w:val="009742BB"/>
    <w:rsid w:val="009773AE"/>
    <w:rsid w:val="00980F10"/>
    <w:rsid w:val="00981862"/>
    <w:rsid w:val="00981F90"/>
    <w:rsid w:val="00982060"/>
    <w:rsid w:val="009847FB"/>
    <w:rsid w:val="00984901"/>
    <w:rsid w:val="0098673E"/>
    <w:rsid w:val="00994804"/>
    <w:rsid w:val="00994E7D"/>
    <w:rsid w:val="009967C0"/>
    <w:rsid w:val="009969ED"/>
    <w:rsid w:val="009A2BE9"/>
    <w:rsid w:val="009A75FA"/>
    <w:rsid w:val="009B1074"/>
    <w:rsid w:val="009B16C1"/>
    <w:rsid w:val="009B17CB"/>
    <w:rsid w:val="009B1CD7"/>
    <w:rsid w:val="009B3963"/>
    <w:rsid w:val="009B4E14"/>
    <w:rsid w:val="009B645F"/>
    <w:rsid w:val="009C208E"/>
    <w:rsid w:val="009C3C7A"/>
    <w:rsid w:val="009C46B9"/>
    <w:rsid w:val="009D018A"/>
    <w:rsid w:val="009D10EB"/>
    <w:rsid w:val="009D3F52"/>
    <w:rsid w:val="009D4AA6"/>
    <w:rsid w:val="009D78E7"/>
    <w:rsid w:val="009E10A2"/>
    <w:rsid w:val="009E365D"/>
    <w:rsid w:val="009E3B32"/>
    <w:rsid w:val="009E4A0C"/>
    <w:rsid w:val="009E6C5F"/>
    <w:rsid w:val="009F12F5"/>
    <w:rsid w:val="009F22B2"/>
    <w:rsid w:val="009F4B74"/>
    <w:rsid w:val="00A0260B"/>
    <w:rsid w:val="00A04D18"/>
    <w:rsid w:val="00A13F4F"/>
    <w:rsid w:val="00A15590"/>
    <w:rsid w:val="00A16707"/>
    <w:rsid w:val="00A23037"/>
    <w:rsid w:val="00A25E18"/>
    <w:rsid w:val="00A27BEC"/>
    <w:rsid w:val="00A30517"/>
    <w:rsid w:val="00A30A05"/>
    <w:rsid w:val="00A31BD0"/>
    <w:rsid w:val="00A342FC"/>
    <w:rsid w:val="00A34C4E"/>
    <w:rsid w:val="00A37C5E"/>
    <w:rsid w:val="00A40023"/>
    <w:rsid w:val="00A42998"/>
    <w:rsid w:val="00A42C3F"/>
    <w:rsid w:val="00A44043"/>
    <w:rsid w:val="00A473E3"/>
    <w:rsid w:val="00A516B8"/>
    <w:rsid w:val="00A56B49"/>
    <w:rsid w:val="00A6056E"/>
    <w:rsid w:val="00A62EF7"/>
    <w:rsid w:val="00A63655"/>
    <w:rsid w:val="00A6564D"/>
    <w:rsid w:val="00A65B6C"/>
    <w:rsid w:val="00A65F68"/>
    <w:rsid w:val="00A76933"/>
    <w:rsid w:val="00A76FE2"/>
    <w:rsid w:val="00A81543"/>
    <w:rsid w:val="00A86A2E"/>
    <w:rsid w:val="00A95998"/>
    <w:rsid w:val="00A97CD5"/>
    <w:rsid w:val="00AA1DC7"/>
    <w:rsid w:val="00AA7FCA"/>
    <w:rsid w:val="00AB1740"/>
    <w:rsid w:val="00AB2E9A"/>
    <w:rsid w:val="00AB3766"/>
    <w:rsid w:val="00AB6216"/>
    <w:rsid w:val="00AB7B96"/>
    <w:rsid w:val="00AC1CB1"/>
    <w:rsid w:val="00AC3B6B"/>
    <w:rsid w:val="00AC56C0"/>
    <w:rsid w:val="00AC5AC0"/>
    <w:rsid w:val="00AC5C6B"/>
    <w:rsid w:val="00AD2286"/>
    <w:rsid w:val="00AD37C1"/>
    <w:rsid w:val="00AD58AA"/>
    <w:rsid w:val="00AD6F13"/>
    <w:rsid w:val="00AD72F6"/>
    <w:rsid w:val="00AE3E26"/>
    <w:rsid w:val="00AE49A2"/>
    <w:rsid w:val="00AE534E"/>
    <w:rsid w:val="00AE5930"/>
    <w:rsid w:val="00AF272A"/>
    <w:rsid w:val="00AF63AE"/>
    <w:rsid w:val="00B00728"/>
    <w:rsid w:val="00B0152C"/>
    <w:rsid w:val="00B016AE"/>
    <w:rsid w:val="00B04F80"/>
    <w:rsid w:val="00B06B03"/>
    <w:rsid w:val="00B07139"/>
    <w:rsid w:val="00B07E63"/>
    <w:rsid w:val="00B127C5"/>
    <w:rsid w:val="00B137AB"/>
    <w:rsid w:val="00B14B19"/>
    <w:rsid w:val="00B20E2E"/>
    <w:rsid w:val="00B21FDE"/>
    <w:rsid w:val="00B2391B"/>
    <w:rsid w:val="00B2535B"/>
    <w:rsid w:val="00B26157"/>
    <w:rsid w:val="00B30899"/>
    <w:rsid w:val="00B334A9"/>
    <w:rsid w:val="00B3405A"/>
    <w:rsid w:val="00B35F5A"/>
    <w:rsid w:val="00B40A72"/>
    <w:rsid w:val="00B45424"/>
    <w:rsid w:val="00B4648F"/>
    <w:rsid w:val="00B4794C"/>
    <w:rsid w:val="00B511A7"/>
    <w:rsid w:val="00B519AF"/>
    <w:rsid w:val="00B53C68"/>
    <w:rsid w:val="00B54908"/>
    <w:rsid w:val="00B555E6"/>
    <w:rsid w:val="00B55C9E"/>
    <w:rsid w:val="00B719F1"/>
    <w:rsid w:val="00B721D2"/>
    <w:rsid w:val="00B751BB"/>
    <w:rsid w:val="00B752B9"/>
    <w:rsid w:val="00B76367"/>
    <w:rsid w:val="00B766FB"/>
    <w:rsid w:val="00B76C29"/>
    <w:rsid w:val="00B8105E"/>
    <w:rsid w:val="00B87909"/>
    <w:rsid w:val="00B9187E"/>
    <w:rsid w:val="00B9569F"/>
    <w:rsid w:val="00BA119F"/>
    <w:rsid w:val="00BA2ACB"/>
    <w:rsid w:val="00BB115A"/>
    <w:rsid w:val="00BB592D"/>
    <w:rsid w:val="00BB69B1"/>
    <w:rsid w:val="00BB6E66"/>
    <w:rsid w:val="00BC0460"/>
    <w:rsid w:val="00BC22CE"/>
    <w:rsid w:val="00BC2C57"/>
    <w:rsid w:val="00BC46A9"/>
    <w:rsid w:val="00BD100F"/>
    <w:rsid w:val="00BD1358"/>
    <w:rsid w:val="00BD1D83"/>
    <w:rsid w:val="00BE02B4"/>
    <w:rsid w:val="00BE0A10"/>
    <w:rsid w:val="00BE1810"/>
    <w:rsid w:val="00BF0F03"/>
    <w:rsid w:val="00BF230C"/>
    <w:rsid w:val="00BF3AF5"/>
    <w:rsid w:val="00BF6543"/>
    <w:rsid w:val="00BF75F0"/>
    <w:rsid w:val="00C00FF8"/>
    <w:rsid w:val="00C03222"/>
    <w:rsid w:val="00C03AA9"/>
    <w:rsid w:val="00C06DCC"/>
    <w:rsid w:val="00C1072F"/>
    <w:rsid w:val="00C10B79"/>
    <w:rsid w:val="00C1135D"/>
    <w:rsid w:val="00C14327"/>
    <w:rsid w:val="00C1477C"/>
    <w:rsid w:val="00C20700"/>
    <w:rsid w:val="00C212B2"/>
    <w:rsid w:val="00C24B17"/>
    <w:rsid w:val="00C24B2B"/>
    <w:rsid w:val="00C25854"/>
    <w:rsid w:val="00C3324C"/>
    <w:rsid w:val="00C33A99"/>
    <w:rsid w:val="00C3785F"/>
    <w:rsid w:val="00C409EF"/>
    <w:rsid w:val="00C40ADF"/>
    <w:rsid w:val="00C426DE"/>
    <w:rsid w:val="00C44CB8"/>
    <w:rsid w:val="00C44EB2"/>
    <w:rsid w:val="00C45681"/>
    <w:rsid w:val="00C47CB9"/>
    <w:rsid w:val="00C50168"/>
    <w:rsid w:val="00C511C3"/>
    <w:rsid w:val="00C52C4D"/>
    <w:rsid w:val="00C55400"/>
    <w:rsid w:val="00C55D67"/>
    <w:rsid w:val="00C605CC"/>
    <w:rsid w:val="00C60AB8"/>
    <w:rsid w:val="00C62489"/>
    <w:rsid w:val="00C6312E"/>
    <w:rsid w:val="00C67E50"/>
    <w:rsid w:val="00C71C83"/>
    <w:rsid w:val="00C724EC"/>
    <w:rsid w:val="00C73DD9"/>
    <w:rsid w:val="00C761A5"/>
    <w:rsid w:val="00C76C5A"/>
    <w:rsid w:val="00C77A9C"/>
    <w:rsid w:val="00C82AFB"/>
    <w:rsid w:val="00C83F29"/>
    <w:rsid w:val="00C872A2"/>
    <w:rsid w:val="00C93303"/>
    <w:rsid w:val="00C93A64"/>
    <w:rsid w:val="00CA3139"/>
    <w:rsid w:val="00CA5CD4"/>
    <w:rsid w:val="00CA7771"/>
    <w:rsid w:val="00CB0272"/>
    <w:rsid w:val="00CB21AE"/>
    <w:rsid w:val="00CB3469"/>
    <w:rsid w:val="00CB6EF3"/>
    <w:rsid w:val="00CC0C63"/>
    <w:rsid w:val="00CC1BAC"/>
    <w:rsid w:val="00CC2CA4"/>
    <w:rsid w:val="00CC39D9"/>
    <w:rsid w:val="00CD0EB9"/>
    <w:rsid w:val="00CD11B9"/>
    <w:rsid w:val="00CE07DA"/>
    <w:rsid w:val="00CE3173"/>
    <w:rsid w:val="00CE3F31"/>
    <w:rsid w:val="00CE54FD"/>
    <w:rsid w:val="00CE6336"/>
    <w:rsid w:val="00CE6F79"/>
    <w:rsid w:val="00CF2378"/>
    <w:rsid w:val="00CF5056"/>
    <w:rsid w:val="00CF7C06"/>
    <w:rsid w:val="00D03D67"/>
    <w:rsid w:val="00D05818"/>
    <w:rsid w:val="00D063C8"/>
    <w:rsid w:val="00D1443A"/>
    <w:rsid w:val="00D158CA"/>
    <w:rsid w:val="00D20181"/>
    <w:rsid w:val="00D2414D"/>
    <w:rsid w:val="00D24B6A"/>
    <w:rsid w:val="00D360BC"/>
    <w:rsid w:val="00D40357"/>
    <w:rsid w:val="00D40A20"/>
    <w:rsid w:val="00D45445"/>
    <w:rsid w:val="00D4624C"/>
    <w:rsid w:val="00D4745A"/>
    <w:rsid w:val="00D47966"/>
    <w:rsid w:val="00D47ADF"/>
    <w:rsid w:val="00D47C36"/>
    <w:rsid w:val="00D5021F"/>
    <w:rsid w:val="00D506B0"/>
    <w:rsid w:val="00D50CA1"/>
    <w:rsid w:val="00D51EC7"/>
    <w:rsid w:val="00D520FB"/>
    <w:rsid w:val="00D522D0"/>
    <w:rsid w:val="00D57876"/>
    <w:rsid w:val="00D6135C"/>
    <w:rsid w:val="00D61BA0"/>
    <w:rsid w:val="00D64ACB"/>
    <w:rsid w:val="00D74F59"/>
    <w:rsid w:val="00D7632D"/>
    <w:rsid w:val="00D76452"/>
    <w:rsid w:val="00D9023B"/>
    <w:rsid w:val="00D9170C"/>
    <w:rsid w:val="00D927CD"/>
    <w:rsid w:val="00D932AD"/>
    <w:rsid w:val="00D95428"/>
    <w:rsid w:val="00D95A82"/>
    <w:rsid w:val="00D97866"/>
    <w:rsid w:val="00DA075B"/>
    <w:rsid w:val="00DA0DAA"/>
    <w:rsid w:val="00DA3867"/>
    <w:rsid w:val="00DA679D"/>
    <w:rsid w:val="00DB065A"/>
    <w:rsid w:val="00DB2B6F"/>
    <w:rsid w:val="00DB352F"/>
    <w:rsid w:val="00DB3CE3"/>
    <w:rsid w:val="00DB3FE8"/>
    <w:rsid w:val="00DB4937"/>
    <w:rsid w:val="00DB5D0A"/>
    <w:rsid w:val="00DC35B2"/>
    <w:rsid w:val="00DD5B5E"/>
    <w:rsid w:val="00DE0D7A"/>
    <w:rsid w:val="00DE12FA"/>
    <w:rsid w:val="00DE6AA8"/>
    <w:rsid w:val="00DE7E71"/>
    <w:rsid w:val="00DF0FD7"/>
    <w:rsid w:val="00DF1695"/>
    <w:rsid w:val="00DF1CFD"/>
    <w:rsid w:val="00DF290F"/>
    <w:rsid w:val="00DF2A7D"/>
    <w:rsid w:val="00DF4A47"/>
    <w:rsid w:val="00DF58CE"/>
    <w:rsid w:val="00E02FBA"/>
    <w:rsid w:val="00E07091"/>
    <w:rsid w:val="00E0796C"/>
    <w:rsid w:val="00E10EE5"/>
    <w:rsid w:val="00E11968"/>
    <w:rsid w:val="00E11BAA"/>
    <w:rsid w:val="00E14B6D"/>
    <w:rsid w:val="00E14E53"/>
    <w:rsid w:val="00E16606"/>
    <w:rsid w:val="00E221EF"/>
    <w:rsid w:val="00E22C5F"/>
    <w:rsid w:val="00E31611"/>
    <w:rsid w:val="00E32317"/>
    <w:rsid w:val="00E34972"/>
    <w:rsid w:val="00E34ED1"/>
    <w:rsid w:val="00E3664D"/>
    <w:rsid w:val="00E36E5C"/>
    <w:rsid w:val="00E51874"/>
    <w:rsid w:val="00E52289"/>
    <w:rsid w:val="00E56FB6"/>
    <w:rsid w:val="00E57168"/>
    <w:rsid w:val="00E63F51"/>
    <w:rsid w:val="00E65685"/>
    <w:rsid w:val="00E662DF"/>
    <w:rsid w:val="00E73419"/>
    <w:rsid w:val="00E73F47"/>
    <w:rsid w:val="00E876E0"/>
    <w:rsid w:val="00E905A9"/>
    <w:rsid w:val="00E91167"/>
    <w:rsid w:val="00E930EF"/>
    <w:rsid w:val="00E94E92"/>
    <w:rsid w:val="00EA0E45"/>
    <w:rsid w:val="00EA2D69"/>
    <w:rsid w:val="00EA3A62"/>
    <w:rsid w:val="00EA4C58"/>
    <w:rsid w:val="00EA5D94"/>
    <w:rsid w:val="00EB09DE"/>
    <w:rsid w:val="00EB135F"/>
    <w:rsid w:val="00EB22D5"/>
    <w:rsid w:val="00EB2A0F"/>
    <w:rsid w:val="00EB2C68"/>
    <w:rsid w:val="00EB408E"/>
    <w:rsid w:val="00EB5515"/>
    <w:rsid w:val="00EB7373"/>
    <w:rsid w:val="00EC2DAE"/>
    <w:rsid w:val="00EC3736"/>
    <w:rsid w:val="00EC3805"/>
    <w:rsid w:val="00ED2D69"/>
    <w:rsid w:val="00ED53C3"/>
    <w:rsid w:val="00ED5B7A"/>
    <w:rsid w:val="00EE19B6"/>
    <w:rsid w:val="00EE4C11"/>
    <w:rsid w:val="00EE5EE9"/>
    <w:rsid w:val="00EE70D4"/>
    <w:rsid w:val="00EF4E99"/>
    <w:rsid w:val="00EF5AB9"/>
    <w:rsid w:val="00EF62B1"/>
    <w:rsid w:val="00F00441"/>
    <w:rsid w:val="00F01B67"/>
    <w:rsid w:val="00F01CE4"/>
    <w:rsid w:val="00F1018F"/>
    <w:rsid w:val="00F10205"/>
    <w:rsid w:val="00F164C5"/>
    <w:rsid w:val="00F17717"/>
    <w:rsid w:val="00F21319"/>
    <w:rsid w:val="00F268E1"/>
    <w:rsid w:val="00F26C46"/>
    <w:rsid w:val="00F3169C"/>
    <w:rsid w:val="00F35DE8"/>
    <w:rsid w:val="00F377D8"/>
    <w:rsid w:val="00F43B78"/>
    <w:rsid w:val="00F46E75"/>
    <w:rsid w:val="00F47AFD"/>
    <w:rsid w:val="00F50F67"/>
    <w:rsid w:val="00F528A3"/>
    <w:rsid w:val="00F55A3C"/>
    <w:rsid w:val="00F7007F"/>
    <w:rsid w:val="00F70C76"/>
    <w:rsid w:val="00F70D6E"/>
    <w:rsid w:val="00F71010"/>
    <w:rsid w:val="00F710D0"/>
    <w:rsid w:val="00F75B6D"/>
    <w:rsid w:val="00F7799A"/>
    <w:rsid w:val="00F77FA5"/>
    <w:rsid w:val="00F8016B"/>
    <w:rsid w:val="00F811D0"/>
    <w:rsid w:val="00F824E7"/>
    <w:rsid w:val="00F85199"/>
    <w:rsid w:val="00F86722"/>
    <w:rsid w:val="00F86799"/>
    <w:rsid w:val="00F87F05"/>
    <w:rsid w:val="00F90772"/>
    <w:rsid w:val="00F922FD"/>
    <w:rsid w:val="00F929E6"/>
    <w:rsid w:val="00FA0044"/>
    <w:rsid w:val="00FA042D"/>
    <w:rsid w:val="00FA3E4D"/>
    <w:rsid w:val="00FA5B76"/>
    <w:rsid w:val="00FA63B6"/>
    <w:rsid w:val="00FA6804"/>
    <w:rsid w:val="00FA71BC"/>
    <w:rsid w:val="00FB07BB"/>
    <w:rsid w:val="00FB1073"/>
    <w:rsid w:val="00FB3CE6"/>
    <w:rsid w:val="00FB4E21"/>
    <w:rsid w:val="00FB59D2"/>
    <w:rsid w:val="00FB7447"/>
    <w:rsid w:val="00FB74E0"/>
    <w:rsid w:val="00FC08B6"/>
    <w:rsid w:val="00FC27A8"/>
    <w:rsid w:val="00FD2853"/>
    <w:rsid w:val="00FD427B"/>
    <w:rsid w:val="00FD5B37"/>
    <w:rsid w:val="00FD78B9"/>
    <w:rsid w:val="00FE2173"/>
    <w:rsid w:val="00FE762F"/>
    <w:rsid w:val="00FF1458"/>
    <w:rsid w:val="00FF3BA3"/>
    <w:rsid w:val="00FF61FC"/>
    <w:rsid w:val="00FF65EF"/>
    <w:rsid w:val="0FE9BE9B"/>
    <w:rsid w:val="12BEC09F"/>
    <w:rsid w:val="214C51B5"/>
    <w:rsid w:val="2B8D9171"/>
    <w:rsid w:val="2BE78E66"/>
    <w:rsid w:val="42461D50"/>
    <w:rsid w:val="57E345E3"/>
    <w:rsid w:val="733A6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45668"/>
  <w15:chartTrackingRefBased/>
  <w15:docId w15:val="{79B4403C-B901-45CF-BAFC-0F4603055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2FBA"/>
    <w:rPr>
      <w:color w:val="808080"/>
    </w:rPr>
  </w:style>
  <w:style w:type="paragraph" w:styleId="Caption">
    <w:name w:val="caption"/>
    <w:basedOn w:val="Normal"/>
    <w:next w:val="Normal"/>
    <w:uiPriority w:val="35"/>
    <w:unhideWhenUsed/>
    <w:qFormat/>
    <w:rsid w:val="002E53B2"/>
    <w:pPr>
      <w:spacing w:after="200" w:line="240" w:lineRule="auto"/>
    </w:pPr>
    <w:rPr>
      <w:i/>
      <w:iCs/>
      <w:color w:val="44546A" w:themeColor="text2"/>
      <w:sz w:val="18"/>
      <w:szCs w:val="18"/>
    </w:rPr>
  </w:style>
  <w:style w:type="paragraph" w:styleId="ListParagraph">
    <w:name w:val="List Paragraph"/>
    <w:basedOn w:val="Normal"/>
    <w:uiPriority w:val="34"/>
    <w:qFormat/>
    <w:rsid w:val="002629BB"/>
    <w:pPr>
      <w:ind w:left="720"/>
      <w:contextualSpacing/>
    </w:pPr>
  </w:style>
  <w:style w:type="table" w:styleId="TableGrid">
    <w:name w:val="Table Grid"/>
    <w:basedOn w:val="TableNormal"/>
    <w:uiPriority w:val="39"/>
    <w:rsid w:val="00C83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BC22C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C22CE"/>
    <w:rPr>
      <w:sz w:val="20"/>
      <w:szCs w:val="20"/>
    </w:rPr>
  </w:style>
  <w:style w:type="character" w:styleId="EndnoteReference">
    <w:name w:val="endnote reference"/>
    <w:basedOn w:val="DefaultParagraphFont"/>
    <w:uiPriority w:val="99"/>
    <w:unhideWhenUsed/>
    <w:rsid w:val="00BC22CE"/>
    <w:rPr>
      <w:vertAlign w:val="superscript"/>
    </w:rPr>
  </w:style>
  <w:style w:type="paragraph" w:styleId="FootnoteText">
    <w:name w:val="footnote text"/>
    <w:basedOn w:val="Normal"/>
    <w:link w:val="FootnoteTextChar"/>
    <w:uiPriority w:val="99"/>
    <w:semiHidden/>
    <w:unhideWhenUsed/>
    <w:rsid w:val="009618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184E"/>
    <w:rPr>
      <w:sz w:val="20"/>
      <w:szCs w:val="20"/>
    </w:rPr>
  </w:style>
  <w:style w:type="character" w:styleId="FootnoteReference">
    <w:name w:val="footnote reference"/>
    <w:basedOn w:val="DefaultParagraphFont"/>
    <w:uiPriority w:val="99"/>
    <w:semiHidden/>
    <w:unhideWhenUsed/>
    <w:rsid w:val="009618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4169">
      <w:bodyDiv w:val="1"/>
      <w:marLeft w:val="0"/>
      <w:marRight w:val="0"/>
      <w:marTop w:val="0"/>
      <w:marBottom w:val="0"/>
      <w:divBdr>
        <w:top w:val="none" w:sz="0" w:space="0" w:color="auto"/>
        <w:left w:val="none" w:sz="0" w:space="0" w:color="auto"/>
        <w:bottom w:val="none" w:sz="0" w:space="0" w:color="auto"/>
        <w:right w:val="none" w:sz="0" w:space="0" w:color="auto"/>
      </w:divBdr>
    </w:div>
    <w:div w:id="34889604">
      <w:bodyDiv w:val="1"/>
      <w:marLeft w:val="0"/>
      <w:marRight w:val="0"/>
      <w:marTop w:val="0"/>
      <w:marBottom w:val="0"/>
      <w:divBdr>
        <w:top w:val="none" w:sz="0" w:space="0" w:color="auto"/>
        <w:left w:val="none" w:sz="0" w:space="0" w:color="auto"/>
        <w:bottom w:val="none" w:sz="0" w:space="0" w:color="auto"/>
        <w:right w:val="none" w:sz="0" w:space="0" w:color="auto"/>
      </w:divBdr>
    </w:div>
    <w:div w:id="78137486">
      <w:bodyDiv w:val="1"/>
      <w:marLeft w:val="0"/>
      <w:marRight w:val="0"/>
      <w:marTop w:val="0"/>
      <w:marBottom w:val="0"/>
      <w:divBdr>
        <w:top w:val="none" w:sz="0" w:space="0" w:color="auto"/>
        <w:left w:val="none" w:sz="0" w:space="0" w:color="auto"/>
        <w:bottom w:val="none" w:sz="0" w:space="0" w:color="auto"/>
        <w:right w:val="none" w:sz="0" w:space="0" w:color="auto"/>
      </w:divBdr>
    </w:div>
    <w:div w:id="123350016">
      <w:bodyDiv w:val="1"/>
      <w:marLeft w:val="0"/>
      <w:marRight w:val="0"/>
      <w:marTop w:val="0"/>
      <w:marBottom w:val="0"/>
      <w:divBdr>
        <w:top w:val="none" w:sz="0" w:space="0" w:color="auto"/>
        <w:left w:val="none" w:sz="0" w:space="0" w:color="auto"/>
        <w:bottom w:val="none" w:sz="0" w:space="0" w:color="auto"/>
        <w:right w:val="none" w:sz="0" w:space="0" w:color="auto"/>
      </w:divBdr>
    </w:div>
    <w:div w:id="125441328">
      <w:bodyDiv w:val="1"/>
      <w:marLeft w:val="0"/>
      <w:marRight w:val="0"/>
      <w:marTop w:val="0"/>
      <w:marBottom w:val="0"/>
      <w:divBdr>
        <w:top w:val="none" w:sz="0" w:space="0" w:color="auto"/>
        <w:left w:val="none" w:sz="0" w:space="0" w:color="auto"/>
        <w:bottom w:val="none" w:sz="0" w:space="0" w:color="auto"/>
        <w:right w:val="none" w:sz="0" w:space="0" w:color="auto"/>
      </w:divBdr>
    </w:div>
    <w:div w:id="168562801">
      <w:bodyDiv w:val="1"/>
      <w:marLeft w:val="0"/>
      <w:marRight w:val="0"/>
      <w:marTop w:val="0"/>
      <w:marBottom w:val="0"/>
      <w:divBdr>
        <w:top w:val="none" w:sz="0" w:space="0" w:color="auto"/>
        <w:left w:val="none" w:sz="0" w:space="0" w:color="auto"/>
        <w:bottom w:val="none" w:sz="0" w:space="0" w:color="auto"/>
        <w:right w:val="none" w:sz="0" w:space="0" w:color="auto"/>
      </w:divBdr>
    </w:div>
    <w:div w:id="205870298">
      <w:bodyDiv w:val="1"/>
      <w:marLeft w:val="0"/>
      <w:marRight w:val="0"/>
      <w:marTop w:val="0"/>
      <w:marBottom w:val="0"/>
      <w:divBdr>
        <w:top w:val="none" w:sz="0" w:space="0" w:color="auto"/>
        <w:left w:val="none" w:sz="0" w:space="0" w:color="auto"/>
        <w:bottom w:val="none" w:sz="0" w:space="0" w:color="auto"/>
        <w:right w:val="none" w:sz="0" w:space="0" w:color="auto"/>
      </w:divBdr>
    </w:div>
    <w:div w:id="237256390">
      <w:bodyDiv w:val="1"/>
      <w:marLeft w:val="0"/>
      <w:marRight w:val="0"/>
      <w:marTop w:val="0"/>
      <w:marBottom w:val="0"/>
      <w:divBdr>
        <w:top w:val="none" w:sz="0" w:space="0" w:color="auto"/>
        <w:left w:val="none" w:sz="0" w:space="0" w:color="auto"/>
        <w:bottom w:val="none" w:sz="0" w:space="0" w:color="auto"/>
        <w:right w:val="none" w:sz="0" w:space="0" w:color="auto"/>
      </w:divBdr>
    </w:div>
    <w:div w:id="247470482">
      <w:bodyDiv w:val="1"/>
      <w:marLeft w:val="0"/>
      <w:marRight w:val="0"/>
      <w:marTop w:val="0"/>
      <w:marBottom w:val="0"/>
      <w:divBdr>
        <w:top w:val="none" w:sz="0" w:space="0" w:color="auto"/>
        <w:left w:val="none" w:sz="0" w:space="0" w:color="auto"/>
        <w:bottom w:val="none" w:sz="0" w:space="0" w:color="auto"/>
        <w:right w:val="none" w:sz="0" w:space="0" w:color="auto"/>
      </w:divBdr>
    </w:div>
    <w:div w:id="303854576">
      <w:bodyDiv w:val="1"/>
      <w:marLeft w:val="0"/>
      <w:marRight w:val="0"/>
      <w:marTop w:val="0"/>
      <w:marBottom w:val="0"/>
      <w:divBdr>
        <w:top w:val="none" w:sz="0" w:space="0" w:color="auto"/>
        <w:left w:val="none" w:sz="0" w:space="0" w:color="auto"/>
        <w:bottom w:val="none" w:sz="0" w:space="0" w:color="auto"/>
        <w:right w:val="none" w:sz="0" w:space="0" w:color="auto"/>
      </w:divBdr>
    </w:div>
    <w:div w:id="499583141">
      <w:bodyDiv w:val="1"/>
      <w:marLeft w:val="0"/>
      <w:marRight w:val="0"/>
      <w:marTop w:val="0"/>
      <w:marBottom w:val="0"/>
      <w:divBdr>
        <w:top w:val="none" w:sz="0" w:space="0" w:color="auto"/>
        <w:left w:val="none" w:sz="0" w:space="0" w:color="auto"/>
        <w:bottom w:val="none" w:sz="0" w:space="0" w:color="auto"/>
        <w:right w:val="none" w:sz="0" w:space="0" w:color="auto"/>
      </w:divBdr>
    </w:div>
    <w:div w:id="500196988">
      <w:bodyDiv w:val="1"/>
      <w:marLeft w:val="0"/>
      <w:marRight w:val="0"/>
      <w:marTop w:val="0"/>
      <w:marBottom w:val="0"/>
      <w:divBdr>
        <w:top w:val="none" w:sz="0" w:space="0" w:color="auto"/>
        <w:left w:val="none" w:sz="0" w:space="0" w:color="auto"/>
        <w:bottom w:val="none" w:sz="0" w:space="0" w:color="auto"/>
        <w:right w:val="none" w:sz="0" w:space="0" w:color="auto"/>
      </w:divBdr>
    </w:div>
    <w:div w:id="589897481">
      <w:bodyDiv w:val="1"/>
      <w:marLeft w:val="0"/>
      <w:marRight w:val="0"/>
      <w:marTop w:val="0"/>
      <w:marBottom w:val="0"/>
      <w:divBdr>
        <w:top w:val="none" w:sz="0" w:space="0" w:color="auto"/>
        <w:left w:val="none" w:sz="0" w:space="0" w:color="auto"/>
        <w:bottom w:val="none" w:sz="0" w:space="0" w:color="auto"/>
        <w:right w:val="none" w:sz="0" w:space="0" w:color="auto"/>
      </w:divBdr>
    </w:div>
    <w:div w:id="597174415">
      <w:bodyDiv w:val="1"/>
      <w:marLeft w:val="0"/>
      <w:marRight w:val="0"/>
      <w:marTop w:val="0"/>
      <w:marBottom w:val="0"/>
      <w:divBdr>
        <w:top w:val="none" w:sz="0" w:space="0" w:color="auto"/>
        <w:left w:val="none" w:sz="0" w:space="0" w:color="auto"/>
        <w:bottom w:val="none" w:sz="0" w:space="0" w:color="auto"/>
        <w:right w:val="none" w:sz="0" w:space="0" w:color="auto"/>
      </w:divBdr>
    </w:div>
    <w:div w:id="600528735">
      <w:bodyDiv w:val="1"/>
      <w:marLeft w:val="0"/>
      <w:marRight w:val="0"/>
      <w:marTop w:val="0"/>
      <w:marBottom w:val="0"/>
      <w:divBdr>
        <w:top w:val="none" w:sz="0" w:space="0" w:color="auto"/>
        <w:left w:val="none" w:sz="0" w:space="0" w:color="auto"/>
        <w:bottom w:val="none" w:sz="0" w:space="0" w:color="auto"/>
        <w:right w:val="none" w:sz="0" w:space="0" w:color="auto"/>
      </w:divBdr>
    </w:div>
    <w:div w:id="641932894">
      <w:bodyDiv w:val="1"/>
      <w:marLeft w:val="0"/>
      <w:marRight w:val="0"/>
      <w:marTop w:val="0"/>
      <w:marBottom w:val="0"/>
      <w:divBdr>
        <w:top w:val="none" w:sz="0" w:space="0" w:color="auto"/>
        <w:left w:val="none" w:sz="0" w:space="0" w:color="auto"/>
        <w:bottom w:val="none" w:sz="0" w:space="0" w:color="auto"/>
        <w:right w:val="none" w:sz="0" w:space="0" w:color="auto"/>
      </w:divBdr>
    </w:div>
    <w:div w:id="650644188">
      <w:bodyDiv w:val="1"/>
      <w:marLeft w:val="0"/>
      <w:marRight w:val="0"/>
      <w:marTop w:val="0"/>
      <w:marBottom w:val="0"/>
      <w:divBdr>
        <w:top w:val="none" w:sz="0" w:space="0" w:color="auto"/>
        <w:left w:val="none" w:sz="0" w:space="0" w:color="auto"/>
        <w:bottom w:val="none" w:sz="0" w:space="0" w:color="auto"/>
        <w:right w:val="none" w:sz="0" w:space="0" w:color="auto"/>
      </w:divBdr>
    </w:div>
    <w:div w:id="714697772">
      <w:bodyDiv w:val="1"/>
      <w:marLeft w:val="0"/>
      <w:marRight w:val="0"/>
      <w:marTop w:val="0"/>
      <w:marBottom w:val="0"/>
      <w:divBdr>
        <w:top w:val="none" w:sz="0" w:space="0" w:color="auto"/>
        <w:left w:val="none" w:sz="0" w:space="0" w:color="auto"/>
        <w:bottom w:val="none" w:sz="0" w:space="0" w:color="auto"/>
        <w:right w:val="none" w:sz="0" w:space="0" w:color="auto"/>
      </w:divBdr>
    </w:div>
    <w:div w:id="732387734">
      <w:bodyDiv w:val="1"/>
      <w:marLeft w:val="0"/>
      <w:marRight w:val="0"/>
      <w:marTop w:val="0"/>
      <w:marBottom w:val="0"/>
      <w:divBdr>
        <w:top w:val="none" w:sz="0" w:space="0" w:color="auto"/>
        <w:left w:val="none" w:sz="0" w:space="0" w:color="auto"/>
        <w:bottom w:val="none" w:sz="0" w:space="0" w:color="auto"/>
        <w:right w:val="none" w:sz="0" w:space="0" w:color="auto"/>
      </w:divBdr>
    </w:div>
    <w:div w:id="735129272">
      <w:bodyDiv w:val="1"/>
      <w:marLeft w:val="0"/>
      <w:marRight w:val="0"/>
      <w:marTop w:val="0"/>
      <w:marBottom w:val="0"/>
      <w:divBdr>
        <w:top w:val="none" w:sz="0" w:space="0" w:color="auto"/>
        <w:left w:val="none" w:sz="0" w:space="0" w:color="auto"/>
        <w:bottom w:val="none" w:sz="0" w:space="0" w:color="auto"/>
        <w:right w:val="none" w:sz="0" w:space="0" w:color="auto"/>
      </w:divBdr>
    </w:div>
    <w:div w:id="765007162">
      <w:bodyDiv w:val="1"/>
      <w:marLeft w:val="0"/>
      <w:marRight w:val="0"/>
      <w:marTop w:val="0"/>
      <w:marBottom w:val="0"/>
      <w:divBdr>
        <w:top w:val="none" w:sz="0" w:space="0" w:color="auto"/>
        <w:left w:val="none" w:sz="0" w:space="0" w:color="auto"/>
        <w:bottom w:val="none" w:sz="0" w:space="0" w:color="auto"/>
        <w:right w:val="none" w:sz="0" w:space="0" w:color="auto"/>
      </w:divBdr>
    </w:div>
    <w:div w:id="801269978">
      <w:bodyDiv w:val="1"/>
      <w:marLeft w:val="0"/>
      <w:marRight w:val="0"/>
      <w:marTop w:val="0"/>
      <w:marBottom w:val="0"/>
      <w:divBdr>
        <w:top w:val="none" w:sz="0" w:space="0" w:color="auto"/>
        <w:left w:val="none" w:sz="0" w:space="0" w:color="auto"/>
        <w:bottom w:val="none" w:sz="0" w:space="0" w:color="auto"/>
        <w:right w:val="none" w:sz="0" w:space="0" w:color="auto"/>
      </w:divBdr>
    </w:div>
    <w:div w:id="808016474">
      <w:bodyDiv w:val="1"/>
      <w:marLeft w:val="0"/>
      <w:marRight w:val="0"/>
      <w:marTop w:val="0"/>
      <w:marBottom w:val="0"/>
      <w:divBdr>
        <w:top w:val="none" w:sz="0" w:space="0" w:color="auto"/>
        <w:left w:val="none" w:sz="0" w:space="0" w:color="auto"/>
        <w:bottom w:val="none" w:sz="0" w:space="0" w:color="auto"/>
        <w:right w:val="none" w:sz="0" w:space="0" w:color="auto"/>
      </w:divBdr>
    </w:div>
    <w:div w:id="859666380">
      <w:bodyDiv w:val="1"/>
      <w:marLeft w:val="0"/>
      <w:marRight w:val="0"/>
      <w:marTop w:val="0"/>
      <w:marBottom w:val="0"/>
      <w:divBdr>
        <w:top w:val="none" w:sz="0" w:space="0" w:color="auto"/>
        <w:left w:val="none" w:sz="0" w:space="0" w:color="auto"/>
        <w:bottom w:val="none" w:sz="0" w:space="0" w:color="auto"/>
        <w:right w:val="none" w:sz="0" w:space="0" w:color="auto"/>
      </w:divBdr>
    </w:div>
    <w:div w:id="860823201">
      <w:bodyDiv w:val="1"/>
      <w:marLeft w:val="0"/>
      <w:marRight w:val="0"/>
      <w:marTop w:val="0"/>
      <w:marBottom w:val="0"/>
      <w:divBdr>
        <w:top w:val="none" w:sz="0" w:space="0" w:color="auto"/>
        <w:left w:val="none" w:sz="0" w:space="0" w:color="auto"/>
        <w:bottom w:val="none" w:sz="0" w:space="0" w:color="auto"/>
        <w:right w:val="none" w:sz="0" w:space="0" w:color="auto"/>
      </w:divBdr>
    </w:div>
    <w:div w:id="903182626">
      <w:bodyDiv w:val="1"/>
      <w:marLeft w:val="0"/>
      <w:marRight w:val="0"/>
      <w:marTop w:val="0"/>
      <w:marBottom w:val="0"/>
      <w:divBdr>
        <w:top w:val="none" w:sz="0" w:space="0" w:color="auto"/>
        <w:left w:val="none" w:sz="0" w:space="0" w:color="auto"/>
        <w:bottom w:val="none" w:sz="0" w:space="0" w:color="auto"/>
        <w:right w:val="none" w:sz="0" w:space="0" w:color="auto"/>
      </w:divBdr>
    </w:div>
    <w:div w:id="928975231">
      <w:bodyDiv w:val="1"/>
      <w:marLeft w:val="0"/>
      <w:marRight w:val="0"/>
      <w:marTop w:val="0"/>
      <w:marBottom w:val="0"/>
      <w:divBdr>
        <w:top w:val="none" w:sz="0" w:space="0" w:color="auto"/>
        <w:left w:val="none" w:sz="0" w:space="0" w:color="auto"/>
        <w:bottom w:val="none" w:sz="0" w:space="0" w:color="auto"/>
        <w:right w:val="none" w:sz="0" w:space="0" w:color="auto"/>
      </w:divBdr>
    </w:div>
    <w:div w:id="979459142">
      <w:bodyDiv w:val="1"/>
      <w:marLeft w:val="0"/>
      <w:marRight w:val="0"/>
      <w:marTop w:val="0"/>
      <w:marBottom w:val="0"/>
      <w:divBdr>
        <w:top w:val="none" w:sz="0" w:space="0" w:color="auto"/>
        <w:left w:val="none" w:sz="0" w:space="0" w:color="auto"/>
        <w:bottom w:val="none" w:sz="0" w:space="0" w:color="auto"/>
        <w:right w:val="none" w:sz="0" w:space="0" w:color="auto"/>
      </w:divBdr>
    </w:div>
    <w:div w:id="1004162019">
      <w:bodyDiv w:val="1"/>
      <w:marLeft w:val="0"/>
      <w:marRight w:val="0"/>
      <w:marTop w:val="0"/>
      <w:marBottom w:val="0"/>
      <w:divBdr>
        <w:top w:val="none" w:sz="0" w:space="0" w:color="auto"/>
        <w:left w:val="none" w:sz="0" w:space="0" w:color="auto"/>
        <w:bottom w:val="none" w:sz="0" w:space="0" w:color="auto"/>
        <w:right w:val="none" w:sz="0" w:space="0" w:color="auto"/>
      </w:divBdr>
    </w:div>
    <w:div w:id="1054547859">
      <w:bodyDiv w:val="1"/>
      <w:marLeft w:val="0"/>
      <w:marRight w:val="0"/>
      <w:marTop w:val="0"/>
      <w:marBottom w:val="0"/>
      <w:divBdr>
        <w:top w:val="none" w:sz="0" w:space="0" w:color="auto"/>
        <w:left w:val="none" w:sz="0" w:space="0" w:color="auto"/>
        <w:bottom w:val="none" w:sz="0" w:space="0" w:color="auto"/>
        <w:right w:val="none" w:sz="0" w:space="0" w:color="auto"/>
      </w:divBdr>
    </w:div>
    <w:div w:id="1070419772">
      <w:bodyDiv w:val="1"/>
      <w:marLeft w:val="0"/>
      <w:marRight w:val="0"/>
      <w:marTop w:val="0"/>
      <w:marBottom w:val="0"/>
      <w:divBdr>
        <w:top w:val="none" w:sz="0" w:space="0" w:color="auto"/>
        <w:left w:val="none" w:sz="0" w:space="0" w:color="auto"/>
        <w:bottom w:val="none" w:sz="0" w:space="0" w:color="auto"/>
        <w:right w:val="none" w:sz="0" w:space="0" w:color="auto"/>
      </w:divBdr>
    </w:div>
    <w:div w:id="1072508849">
      <w:bodyDiv w:val="1"/>
      <w:marLeft w:val="0"/>
      <w:marRight w:val="0"/>
      <w:marTop w:val="0"/>
      <w:marBottom w:val="0"/>
      <w:divBdr>
        <w:top w:val="none" w:sz="0" w:space="0" w:color="auto"/>
        <w:left w:val="none" w:sz="0" w:space="0" w:color="auto"/>
        <w:bottom w:val="none" w:sz="0" w:space="0" w:color="auto"/>
        <w:right w:val="none" w:sz="0" w:space="0" w:color="auto"/>
      </w:divBdr>
    </w:div>
    <w:div w:id="1082871954">
      <w:bodyDiv w:val="1"/>
      <w:marLeft w:val="0"/>
      <w:marRight w:val="0"/>
      <w:marTop w:val="0"/>
      <w:marBottom w:val="0"/>
      <w:divBdr>
        <w:top w:val="none" w:sz="0" w:space="0" w:color="auto"/>
        <w:left w:val="none" w:sz="0" w:space="0" w:color="auto"/>
        <w:bottom w:val="none" w:sz="0" w:space="0" w:color="auto"/>
        <w:right w:val="none" w:sz="0" w:space="0" w:color="auto"/>
      </w:divBdr>
    </w:div>
    <w:div w:id="1103263696">
      <w:bodyDiv w:val="1"/>
      <w:marLeft w:val="0"/>
      <w:marRight w:val="0"/>
      <w:marTop w:val="0"/>
      <w:marBottom w:val="0"/>
      <w:divBdr>
        <w:top w:val="none" w:sz="0" w:space="0" w:color="auto"/>
        <w:left w:val="none" w:sz="0" w:space="0" w:color="auto"/>
        <w:bottom w:val="none" w:sz="0" w:space="0" w:color="auto"/>
        <w:right w:val="none" w:sz="0" w:space="0" w:color="auto"/>
      </w:divBdr>
    </w:div>
    <w:div w:id="1109817773">
      <w:bodyDiv w:val="1"/>
      <w:marLeft w:val="0"/>
      <w:marRight w:val="0"/>
      <w:marTop w:val="0"/>
      <w:marBottom w:val="0"/>
      <w:divBdr>
        <w:top w:val="none" w:sz="0" w:space="0" w:color="auto"/>
        <w:left w:val="none" w:sz="0" w:space="0" w:color="auto"/>
        <w:bottom w:val="none" w:sz="0" w:space="0" w:color="auto"/>
        <w:right w:val="none" w:sz="0" w:space="0" w:color="auto"/>
      </w:divBdr>
    </w:div>
    <w:div w:id="1154176196">
      <w:bodyDiv w:val="1"/>
      <w:marLeft w:val="0"/>
      <w:marRight w:val="0"/>
      <w:marTop w:val="0"/>
      <w:marBottom w:val="0"/>
      <w:divBdr>
        <w:top w:val="none" w:sz="0" w:space="0" w:color="auto"/>
        <w:left w:val="none" w:sz="0" w:space="0" w:color="auto"/>
        <w:bottom w:val="none" w:sz="0" w:space="0" w:color="auto"/>
        <w:right w:val="none" w:sz="0" w:space="0" w:color="auto"/>
      </w:divBdr>
    </w:div>
    <w:div w:id="1222986294">
      <w:bodyDiv w:val="1"/>
      <w:marLeft w:val="0"/>
      <w:marRight w:val="0"/>
      <w:marTop w:val="0"/>
      <w:marBottom w:val="0"/>
      <w:divBdr>
        <w:top w:val="none" w:sz="0" w:space="0" w:color="auto"/>
        <w:left w:val="none" w:sz="0" w:space="0" w:color="auto"/>
        <w:bottom w:val="none" w:sz="0" w:space="0" w:color="auto"/>
        <w:right w:val="none" w:sz="0" w:space="0" w:color="auto"/>
      </w:divBdr>
    </w:div>
    <w:div w:id="1254124692">
      <w:bodyDiv w:val="1"/>
      <w:marLeft w:val="0"/>
      <w:marRight w:val="0"/>
      <w:marTop w:val="0"/>
      <w:marBottom w:val="0"/>
      <w:divBdr>
        <w:top w:val="none" w:sz="0" w:space="0" w:color="auto"/>
        <w:left w:val="none" w:sz="0" w:space="0" w:color="auto"/>
        <w:bottom w:val="none" w:sz="0" w:space="0" w:color="auto"/>
        <w:right w:val="none" w:sz="0" w:space="0" w:color="auto"/>
      </w:divBdr>
    </w:div>
    <w:div w:id="1293173317">
      <w:bodyDiv w:val="1"/>
      <w:marLeft w:val="0"/>
      <w:marRight w:val="0"/>
      <w:marTop w:val="0"/>
      <w:marBottom w:val="0"/>
      <w:divBdr>
        <w:top w:val="none" w:sz="0" w:space="0" w:color="auto"/>
        <w:left w:val="none" w:sz="0" w:space="0" w:color="auto"/>
        <w:bottom w:val="none" w:sz="0" w:space="0" w:color="auto"/>
        <w:right w:val="none" w:sz="0" w:space="0" w:color="auto"/>
      </w:divBdr>
      <w:divsChild>
        <w:div w:id="1966740865">
          <w:marLeft w:val="0"/>
          <w:marRight w:val="0"/>
          <w:marTop w:val="120"/>
          <w:marBottom w:val="0"/>
          <w:divBdr>
            <w:top w:val="none" w:sz="0" w:space="0" w:color="auto"/>
            <w:left w:val="none" w:sz="0" w:space="0" w:color="auto"/>
            <w:bottom w:val="none" w:sz="0" w:space="0" w:color="auto"/>
            <w:right w:val="none" w:sz="0" w:space="0" w:color="auto"/>
          </w:divBdr>
        </w:div>
        <w:div w:id="219750461">
          <w:marLeft w:val="0"/>
          <w:marRight w:val="0"/>
          <w:marTop w:val="120"/>
          <w:marBottom w:val="0"/>
          <w:divBdr>
            <w:top w:val="none" w:sz="0" w:space="0" w:color="auto"/>
            <w:left w:val="none" w:sz="0" w:space="0" w:color="auto"/>
            <w:bottom w:val="none" w:sz="0" w:space="0" w:color="auto"/>
            <w:right w:val="none" w:sz="0" w:space="0" w:color="auto"/>
          </w:divBdr>
        </w:div>
        <w:div w:id="1642806170">
          <w:marLeft w:val="0"/>
          <w:marRight w:val="0"/>
          <w:marTop w:val="120"/>
          <w:marBottom w:val="0"/>
          <w:divBdr>
            <w:top w:val="none" w:sz="0" w:space="0" w:color="auto"/>
            <w:left w:val="none" w:sz="0" w:space="0" w:color="auto"/>
            <w:bottom w:val="none" w:sz="0" w:space="0" w:color="auto"/>
            <w:right w:val="none" w:sz="0" w:space="0" w:color="auto"/>
          </w:divBdr>
        </w:div>
        <w:div w:id="509951767">
          <w:marLeft w:val="0"/>
          <w:marRight w:val="0"/>
          <w:marTop w:val="120"/>
          <w:marBottom w:val="0"/>
          <w:divBdr>
            <w:top w:val="none" w:sz="0" w:space="0" w:color="auto"/>
            <w:left w:val="none" w:sz="0" w:space="0" w:color="auto"/>
            <w:bottom w:val="none" w:sz="0" w:space="0" w:color="auto"/>
            <w:right w:val="none" w:sz="0" w:space="0" w:color="auto"/>
          </w:divBdr>
        </w:div>
        <w:div w:id="1616137163">
          <w:marLeft w:val="0"/>
          <w:marRight w:val="0"/>
          <w:marTop w:val="120"/>
          <w:marBottom w:val="0"/>
          <w:divBdr>
            <w:top w:val="none" w:sz="0" w:space="0" w:color="auto"/>
            <w:left w:val="none" w:sz="0" w:space="0" w:color="auto"/>
            <w:bottom w:val="none" w:sz="0" w:space="0" w:color="auto"/>
            <w:right w:val="none" w:sz="0" w:space="0" w:color="auto"/>
          </w:divBdr>
        </w:div>
      </w:divsChild>
    </w:div>
    <w:div w:id="1295133841">
      <w:bodyDiv w:val="1"/>
      <w:marLeft w:val="0"/>
      <w:marRight w:val="0"/>
      <w:marTop w:val="0"/>
      <w:marBottom w:val="0"/>
      <w:divBdr>
        <w:top w:val="none" w:sz="0" w:space="0" w:color="auto"/>
        <w:left w:val="none" w:sz="0" w:space="0" w:color="auto"/>
        <w:bottom w:val="none" w:sz="0" w:space="0" w:color="auto"/>
        <w:right w:val="none" w:sz="0" w:space="0" w:color="auto"/>
      </w:divBdr>
    </w:div>
    <w:div w:id="1373574421">
      <w:bodyDiv w:val="1"/>
      <w:marLeft w:val="0"/>
      <w:marRight w:val="0"/>
      <w:marTop w:val="0"/>
      <w:marBottom w:val="0"/>
      <w:divBdr>
        <w:top w:val="none" w:sz="0" w:space="0" w:color="auto"/>
        <w:left w:val="none" w:sz="0" w:space="0" w:color="auto"/>
        <w:bottom w:val="none" w:sz="0" w:space="0" w:color="auto"/>
        <w:right w:val="none" w:sz="0" w:space="0" w:color="auto"/>
      </w:divBdr>
    </w:div>
    <w:div w:id="1435397420">
      <w:bodyDiv w:val="1"/>
      <w:marLeft w:val="0"/>
      <w:marRight w:val="0"/>
      <w:marTop w:val="0"/>
      <w:marBottom w:val="0"/>
      <w:divBdr>
        <w:top w:val="none" w:sz="0" w:space="0" w:color="auto"/>
        <w:left w:val="none" w:sz="0" w:space="0" w:color="auto"/>
        <w:bottom w:val="none" w:sz="0" w:space="0" w:color="auto"/>
        <w:right w:val="none" w:sz="0" w:space="0" w:color="auto"/>
      </w:divBdr>
    </w:div>
    <w:div w:id="1442068398">
      <w:bodyDiv w:val="1"/>
      <w:marLeft w:val="0"/>
      <w:marRight w:val="0"/>
      <w:marTop w:val="0"/>
      <w:marBottom w:val="0"/>
      <w:divBdr>
        <w:top w:val="none" w:sz="0" w:space="0" w:color="auto"/>
        <w:left w:val="none" w:sz="0" w:space="0" w:color="auto"/>
        <w:bottom w:val="none" w:sz="0" w:space="0" w:color="auto"/>
        <w:right w:val="none" w:sz="0" w:space="0" w:color="auto"/>
      </w:divBdr>
    </w:div>
    <w:div w:id="1468932470">
      <w:bodyDiv w:val="1"/>
      <w:marLeft w:val="0"/>
      <w:marRight w:val="0"/>
      <w:marTop w:val="0"/>
      <w:marBottom w:val="0"/>
      <w:divBdr>
        <w:top w:val="none" w:sz="0" w:space="0" w:color="auto"/>
        <w:left w:val="none" w:sz="0" w:space="0" w:color="auto"/>
        <w:bottom w:val="none" w:sz="0" w:space="0" w:color="auto"/>
        <w:right w:val="none" w:sz="0" w:space="0" w:color="auto"/>
      </w:divBdr>
    </w:div>
    <w:div w:id="1479154633">
      <w:bodyDiv w:val="1"/>
      <w:marLeft w:val="0"/>
      <w:marRight w:val="0"/>
      <w:marTop w:val="0"/>
      <w:marBottom w:val="0"/>
      <w:divBdr>
        <w:top w:val="none" w:sz="0" w:space="0" w:color="auto"/>
        <w:left w:val="none" w:sz="0" w:space="0" w:color="auto"/>
        <w:bottom w:val="none" w:sz="0" w:space="0" w:color="auto"/>
        <w:right w:val="none" w:sz="0" w:space="0" w:color="auto"/>
      </w:divBdr>
    </w:div>
    <w:div w:id="1486973222">
      <w:bodyDiv w:val="1"/>
      <w:marLeft w:val="0"/>
      <w:marRight w:val="0"/>
      <w:marTop w:val="0"/>
      <w:marBottom w:val="0"/>
      <w:divBdr>
        <w:top w:val="none" w:sz="0" w:space="0" w:color="auto"/>
        <w:left w:val="none" w:sz="0" w:space="0" w:color="auto"/>
        <w:bottom w:val="none" w:sz="0" w:space="0" w:color="auto"/>
        <w:right w:val="none" w:sz="0" w:space="0" w:color="auto"/>
      </w:divBdr>
    </w:div>
    <w:div w:id="1510173785">
      <w:bodyDiv w:val="1"/>
      <w:marLeft w:val="0"/>
      <w:marRight w:val="0"/>
      <w:marTop w:val="0"/>
      <w:marBottom w:val="0"/>
      <w:divBdr>
        <w:top w:val="none" w:sz="0" w:space="0" w:color="auto"/>
        <w:left w:val="none" w:sz="0" w:space="0" w:color="auto"/>
        <w:bottom w:val="none" w:sz="0" w:space="0" w:color="auto"/>
        <w:right w:val="none" w:sz="0" w:space="0" w:color="auto"/>
      </w:divBdr>
    </w:div>
    <w:div w:id="1539320903">
      <w:bodyDiv w:val="1"/>
      <w:marLeft w:val="0"/>
      <w:marRight w:val="0"/>
      <w:marTop w:val="0"/>
      <w:marBottom w:val="0"/>
      <w:divBdr>
        <w:top w:val="none" w:sz="0" w:space="0" w:color="auto"/>
        <w:left w:val="none" w:sz="0" w:space="0" w:color="auto"/>
        <w:bottom w:val="none" w:sz="0" w:space="0" w:color="auto"/>
        <w:right w:val="none" w:sz="0" w:space="0" w:color="auto"/>
      </w:divBdr>
    </w:div>
    <w:div w:id="1613245917">
      <w:bodyDiv w:val="1"/>
      <w:marLeft w:val="0"/>
      <w:marRight w:val="0"/>
      <w:marTop w:val="0"/>
      <w:marBottom w:val="0"/>
      <w:divBdr>
        <w:top w:val="none" w:sz="0" w:space="0" w:color="auto"/>
        <w:left w:val="none" w:sz="0" w:space="0" w:color="auto"/>
        <w:bottom w:val="none" w:sz="0" w:space="0" w:color="auto"/>
        <w:right w:val="none" w:sz="0" w:space="0" w:color="auto"/>
      </w:divBdr>
    </w:div>
    <w:div w:id="1616254749">
      <w:bodyDiv w:val="1"/>
      <w:marLeft w:val="0"/>
      <w:marRight w:val="0"/>
      <w:marTop w:val="0"/>
      <w:marBottom w:val="0"/>
      <w:divBdr>
        <w:top w:val="none" w:sz="0" w:space="0" w:color="auto"/>
        <w:left w:val="none" w:sz="0" w:space="0" w:color="auto"/>
        <w:bottom w:val="none" w:sz="0" w:space="0" w:color="auto"/>
        <w:right w:val="none" w:sz="0" w:space="0" w:color="auto"/>
      </w:divBdr>
    </w:div>
    <w:div w:id="1662928585">
      <w:bodyDiv w:val="1"/>
      <w:marLeft w:val="0"/>
      <w:marRight w:val="0"/>
      <w:marTop w:val="0"/>
      <w:marBottom w:val="0"/>
      <w:divBdr>
        <w:top w:val="none" w:sz="0" w:space="0" w:color="auto"/>
        <w:left w:val="none" w:sz="0" w:space="0" w:color="auto"/>
        <w:bottom w:val="none" w:sz="0" w:space="0" w:color="auto"/>
        <w:right w:val="none" w:sz="0" w:space="0" w:color="auto"/>
      </w:divBdr>
    </w:div>
    <w:div w:id="1686515079">
      <w:bodyDiv w:val="1"/>
      <w:marLeft w:val="0"/>
      <w:marRight w:val="0"/>
      <w:marTop w:val="0"/>
      <w:marBottom w:val="0"/>
      <w:divBdr>
        <w:top w:val="none" w:sz="0" w:space="0" w:color="auto"/>
        <w:left w:val="none" w:sz="0" w:space="0" w:color="auto"/>
        <w:bottom w:val="none" w:sz="0" w:space="0" w:color="auto"/>
        <w:right w:val="none" w:sz="0" w:space="0" w:color="auto"/>
      </w:divBdr>
    </w:div>
    <w:div w:id="1712807683">
      <w:bodyDiv w:val="1"/>
      <w:marLeft w:val="0"/>
      <w:marRight w:val="0"/>
      <w:marTop w:val="0"/>
      <w:marBottom w:val="0"/>
      <w:divBdr>
        <w:top w:val="none" w:sz="0" w:space="0" w:color="auto"/>
        <w:left w:val="none" w:sz="0" w:space="0" w:color="auto"/>
        <w:bottom w:val="none" w:sz="0" w:space="0" w:color="auto"/>
        <w:right w:val="none" w:sz="0" w:space="0" w:color="auto"/>
      </w:divBdr>
    </w:div>
    <w:div w:id="1727753385">
      <w:bodyDiv w:val="1"/>
      <w:marLeft w:val="0"/>
      <w:marRight w:val="0"/>
      <w:marTop w:val="0"/>
      <w:marBottom w:val="0"/>
      <w:divBdr>
        <w:top w:val="none" w:sz="0" w:space="0" w:color="auto"/>
        <w:left w:val="none" w:sz="0" w:space="0" w:color="auto"/>
        <w:bottom w:val="none" w:sz="0" w:space="0" w:color="auto"/>
        <w:right w:val="none" w:sz="0" w:space="0" w:color="auto"/>
      </w:divBdr>
    </w:div>
    <w:div w:id="1729299620">
      <w:bodyDiv w:val="1"/>
      <w:marLeft w:val="0"/>
      <w:marRight w:val="0"/>
      <w:marTop w:val="0"/>
      <w:marBottom w:val="0"/>
      <w:divBdr>
        <w:top w:val="none" w:sz="0" w:space="0" w:color="auto"/>
        <w:left w:val="none" w:sz="0" w:space="0" w:color="auto"/>
        <w:bottom w:val="none" w:sz="0" w:space="0" w:color="auto"/>
        <w:right w:val="none" w:sz="0" w:space="0" w:color="auto"/>
      </w:divBdr>
    </w:div>
    <w:div w:id="1755466519">
      <w:bodyDiv w:val="1"/>
      <w:marLeft w:val="0"/>
      <w:marRight w:val="0"/>
      <w:marTop w:val="0"/>
      <w:marBottom w:val="0"/>
      <w:divBdr>
        <w:top w:val="none" w:sz="0" w:space="0" w:color="auto"/>
        <w:left w:val="none" w:sz="0" w:space="0" w:color="auto"/>
        <w:bottom w:val="none" w:sz="0" w:space="0" w:color="auto"/>
        <w:right w:val="none" w:sz="0" w:space="0" w:color="auto"/>
      </w:divBdr>
    </w:div>
    <w:div w:id="1762795483">
      <w:bodyDiv w:val="1"/>
      <w:marLeft w:val="0"/>
      <w:marRight w:val="0"/>
      <w:marTop w:val="0"/>
      <w:marBottom w:val="0"/>
      <w:divBdr>
        <w:top w:val="none" w:sz="0" w:space="0" w:color="auto"/>
        <w:left w:val="none" w:sz="0" w:space="0" w:color="auto"/>
        <w:bottom w:val="none" w:sz="0" w:space="0" w:color="auto"/>
        <w:right w:val="none" w:sz="0" w:space="0" w:color="auto"/>
      </w:divBdr>
    </w:div>
    <w:div w:id="1776440676">
      <w:bodyDiv w:val="1"/>
      <w:marLeft w:val="0"/>
      <w:marRight w:val="0"/>
      <w:marTop w:val="0"/>
      <w:marBottom w:val="0"/>
      <w:divBdr>
        <w:top w:val="none" w:sz="0" w:space="0" w:color="auto"/>
        <w:left w:val="none" w:sz="0" w:space="0" w:color="auto"/>
        <w:bottom w:val="none" w:sz="0" w:space="0" w:color="auto"/>
        <w:right w:val="none" w:sz="0" w:space="0" w:color="auto"/>
      </w:divBdr>
    </w:div>
    <w:div w:id="1840849496">
      <w:bodyDiv w:val="1"/>
      <w:marLeft w:val="0"/>
      <w:marRight w:val="0"/>
      <w:marTop w:val="0"/>
      <w:marBottom w:val="0"/>
      <w:divBdr>
        <w:top w:val="none" w:sz="0" w:space="0" w:color="auto"/>
        <w:left w:val="none" w:sz="0" w:space="0" w:color="auto"/>
        <w:bottom w:val="none" w:sz="0" w:space="0" w:color="auto"/>
        <w:right w:val="none" w:sz="0" w:space="0" w:color="auto"/>
      </w:divBdr>
    </w:div>
    <w:div w:id="1902053444">
      <w:bodyDiv w:val="1"/>
      <w:marLeft w:val="0"/>
      <w:marRight w:val="0"/>
      <w:marTop w:val="0"/>
      <w:marBottom w:val="0"/>
      <w:divBdr>
        <w:top w:val="none" w:sz="0" w:space="0" w:color="auto"/>
        <w:left w:val="none" w:sz="0" w:space="0" w:color="auto"/>
        <w:bottom w:val="none" w:sz="0" w:space="0" w:color="auto"/>
        <w:right w:val="none" w:sz="0" w:space="0" w:color="auto"/>
      </w:divBdr>
    </w:div>
    <w:div w:id="1912158814">
      <w:bodyDiv w:val="1"/>
      <w:marLeft w:val="0"/>
      <w:marRight w:val="0"/>
      <w:marTop w:val="0"/>
      <w:marBottom w:val="0"/>
      <w:divBdr>
        <w:top w:val="none" w:sz="0" w:space="0" w:color="auto"/>
        <w:left w:val="none" w:sz="0" w:space="0" w:color="auto"/>
        <w:bottom w:val="none" w:sz="0" w:space="0" w:color="auto"/>
        <w:right w:val="none" w:sz="0" w:space="0" w:color="auto"/>
      </w:divBdr>
    </w:div>
    <w:div w:id="1925651415">
      <w:bodyDiv w:val="1"/>
      <w:marLeft w:val="0"/>
      <w:marRight w:val="0"/>
      <w:marTop w:val="0"/>
      <w:marBottom w:val="0"/>
      <w:divBdr>
        <w:top w:val="none" w:sz="0" w:space="0" w:color="auto"/>
        <w:left w:val="none" w:sz="0" w:space="0" w:color="auto"/>
        <w:bottom w:val="none" w:sz="0" w:space="0" w:color="auto"/>
        <w:right w:val="none" w:sz="0" w:space="0" w:color="auto"/>
      </w:divBdr>
    </w:div>
    <w:div w:id="1935042848">
      <w:bodyDiv w:val="1"/>
      <w:marLeft w:val="0"/>
      <w:marRight w:val="0"/>
      <w:marTop w:val="0"/>
      <w:marBottom w:val="0"/>
      <w:divBdr>
        <w:top w:val="none" w:sz="0" w:space="0" w:color="auto"/>
        <w:left w:val="none" w:sz="0" w:space="0" w:color="auto"/>
        <w:bottom w:val="none" w:sz="0" w:space="0" w:color="auto"/>
        <w:right w:val="none" w:sz="0" w:space="0" w:color="auto"/>
      </w:divBdr>
    </w:div>
    <w:div w:id="1940063355">
      <w:bodyDiv w:val="1"/>
      <w:marLeft w:val="0"/>
      <w:marRight w:val="0"/>
      <w:marTop w:val="0"/>
      <w:marBottom w:val="0"/>
      <w:divBdr>
        <w:top w:val="none" w:sz="0" w:space="0" w:color="auto"/>
        <w:left w:val="none" w:sz="0" w:space="0" w:color="auto"/>
        <w:bottom w:val="none" w:sz="0" w:space="0" w:color="auto"/>
        <w:right w:val="none" w:sz="0" w:space="0" w:color="auto"/>
      </w:divBdr>
    </w:div>
    <w:div w:id="1995180111">
      <w:bodyDiv w:val="1"/>
      <w:marLeft w:val="0"/>
      <w:marRight w:val="0"/>
      <w:marTop w:val="0"/>
      <w:marBottom w:val="0"/>
      <w:divBdr>
        <w:top w:val="none" w:sz="0" w:space="0" w:color="auto"/>
        <w:left w:val="none" w:sz="0" w:space="0" w:color="auto"/>
        <w:bottom w:val="none" w:sz="0" w:space="0" w:color="auto"/>
        <w:right w:val="none" w:sz="0" w:space="0" w:color="auto"/>
      </w:divBdr>
    </w:div>
    <w:div w:id="2051607193">
      <w:bodyDiv w:val="1"/>
      <w:marLeft w:val="0"/>
      <w:marRight w:val="0"/>
      <w:marTop w:val="0"/>
      <w:marBottom w:val="0"/>
      <w:divBdr>
        <w:top w:val="none" w:sz="0" w:space="0" w:color="auto"/>
        <w:left w:val="none" w:sz="0" w:space="0" w:color="auto"/>
        <w:bottom w:val="none" w:sz="0" w:space="0" w:color="auto"/>
        <w:right w:val="none" w:sz="0" w:space="0" w:color="auto"/>
      </w:divBdr>
    </w:div>
    <w:div w:id="2059933687">
      <w:bodyDiv w:val="1"/>
      <w:marLeft w:val="0"/>
      <w:marRight w:val="0"/>
      <w:marTop w:val="0"/>
      <w:marBottom w:val="0"/>
      <w:divBdr>
        <w:top w:val="none" w:sz="0" w:space="0" w:color="auto"/>
        <w:left w:val="none" w:sz="0" w:space="0" w:color="auto"/>
        <w:bottom w:val="none" w:sz="0" w:space="0" w:color="auto"/>
        <w:right w:val="none" w:sz="0" w:space="0" w:color="auto"/>
      </w:divBdr>
    </w:div>
    <w:div w:id="2062435997">
      <w:bodyDiv w:val="1"/>
      <w:marLeft w:val="0"/>
      <w:marRight w:val="0"/>
      <w:marTop w:val="0"/>
      <w:marBottom w:val="0"/>
      <w:divBdr>
        <w:top w:val="none" w:sz="0" w:space="0" w:color="auto"/>
        <w:left w:val="none" w:sz="0" w:space="0" w:color="auto"/>
        <w:bottom w:val="none" w:sz="0" w:space="0" w:color="auto"/>
        <w:right w:val="none" w:sz="0" w:space="0" w:color="auto"/>
      </w:divBdr>
    </w:div>
    <w:div w:id="2075614682">
      <w:bodyDiv w:val="1"/>
      <w:marLeft w:val="0"/>
      <w:marRight w:val="0"/>
      <w:marTop w:val="0"/>
      <w:marBottom w:val="0"/>
      <w:divBdr>
        <w:top w:val="none" w:sz="0" w:space="0" w:color="auto"/>
        <w:left w:val="none" w:sz="0" w:space="0" w:color="auto"/>
        <w:bottom w:val="none" w:sz="0" w:space="0" w:color="auto"/>
        <w:right w:val="none" w:sz="0" w:space="0" w:color="auto"/>
      </w:divBdr>
    </w:div>
    <w:div w:id="2099667119">
      <w:bodyDiv w:val="1"/>
      <w:marLeft w:val="0"/>
      <w:marRight w:val="0"/>
      <w:marTop w:val="0"/>
      <w:marBottom w:val="0"/>
      <w:divBdr>
        <w:top w:val="none" w:sz="0" w:space="0" w:color="auto"/>
        <w:left w:val="none" w:sz="0" w:space="0" w:color="auto"/>
        <w:bottom w:val="none" w:sz="0" w:space="0" w:color="auto"/>
        <w:right w:val="none" w:sz="0" w:space="0" w:color="auto"/>
      </w:divBdr>
    </w:div>
    <w:div w:id="213077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74543-506D-4B13-81CC-66C4ABB8A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4718</Words>
  <Characters>26893</Characters>
  <Application>Microsoft Office Word</Application>
  <DocSecurity>4</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McMeekin</dc:creator>
  <cp:keywords/>
  <dc:description/>
  <cp:lastModifiedBy>Stephen McCarthy</cp:lastModifiedBy>
  <cp:revision>2</cp:revision>
  <dcterms:created xsi:type="dcterms:W3CDTF">2022-11-14T23:14:00Z</dcterms:created>
  <dcterms:modified xsi:type="dcterms:W3CDTF">2022-11-14T23:14:00Z</dcterms:modified>
</cp:coreProperties>
</file>