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i)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Modules AND_ONE and AND_TWO use two different Verilog styles.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AND_ONE uses the </w:t>
      </w:r>
      <w:r w:rsidDel="00000000" w:rsidR="00000000" w:rsidRPr="00000000">
        <w:rPr>
          <w:u w:val="single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style, which utilizes assign statements to set variables.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 xml:space="preserve">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 p = a &amp; b;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AND_TWO uses the </w:t>
      </w:r>
      <w:r w:rsidDel="00000000" w:rsidR="00000000" w:rsidRPr="00000000">
        <w:rPr>
          <w:u w:val="single"/>
          <w:rtl w:val="0"/>
        </w:rPr>
        <w:t xml:space="preserve">structural</w:t>
      </w:r>
      <w:r w:rsidDel="00000000" w:rsidR="00000000" w:rsidRPr="00000000">
        <w:rPr>
          <w:rtl w:val="0"/>
        </w:rPr>
        <w:t xml:space="preserve"> style, which utilizes logical statements to set variables.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g0(p,a,b);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Synthesizing AND_ONE will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result in the same structure as AND_TWO. Being of the structural style, AND_TWO describes the specific hardware implementation to be created during synthesis. Behavioral code simply defines the end result, but not how to get there, so the synthesizer may create a different hardware implementation.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