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Australia Logistics Delivery Analysis</w:t>
      </w:r>
    </w:p>
    <w:p>
      <w:r>
        <w:t>Prepared by Samuel Faremola | Portfolio practice project | 24 October 2026</w:t>
      </w:r>
    </w:p>
    <w:p>
      <w:pPr>
        <w:pStyle w:val="Heading1"/>
      </w:pPr>
      <w:r>
        <w:t>Executive findings</w:t>
      </w:r>
    </w:p>
    <w:p>
      <w:r>
        <w:t>The fictional dataset contains 500 shipments with order dates from 1 January to 31 December 2025. Delivery reliability is the clearest improvement opportunity: 206 shipments were late (41.2%), while 294 arrived on time (58.8%). New South Wales recorded both the highest late shipment count and the highest regional late delivery rate. Revenue totalled AUD 77,619.64.</w:t>
      </w:r>
    </w:p>
    <w:p>
      <w:r>
        <w:t>The saved dashboard represents a filtered subset of 42 Economy shipments to New South Wales. Its figures are valid for that subset and should not be presented as the annual total. The analysis below uses all 500 source records unless explicitly labelled otherwise.</w:t>
      </w:r>
    </w:p>
    <w:p>
      <w:pPr>
        <w:pStyle w:val="Heading1"/>
      </w:pPr>
      <w:r>
        <w:t>Scope and validation</w:t>
      </w:r>
    </w:p>
    <w:p>
      <w:r>
        <w:t>Source: Australia_Logistics_Delivery.xlsx, Data, Tasks, METRICS and the five saved PivotTable sheets. The Tasks sheet explicitly identifies the dataset as fictional. Each source row represents one shipment. Results describe this practice dataset and do not measure actual Australian logistics market performance.</w:t>
      </w:r>
    </w:p>
    <w:p>
      <w:r>
        <w:t>Checks found 500 unique shipment IDs, no duplicate source rows and no missing values across the 22 columns. Delivery Days matched actual delivery date minus dispatch date in every record. Delay Days matched the positive difference between actual and promised delivery dates in every record. These checks establish internal consistency, not external accuracy.</w:t>
      </w:r>
    </w:p>
    <w:p>
      <w:pPr>
        <w:pStyle w:val="Heading1"/>
      </w:pPr>
      <w:r>
        <w:t>Overall performance</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Full dataset result</w:t>
            </w:r>
          </w:p>
        </w:tc>
      </w:tr>
      <w:tr>
        <w:tc>
          <w:tcPr>
            <w:tcW w:type="dxa" w:w="4320"/>
          </w:tcPr>
          <w:p>
            <w:r>
              <w:t>Shipments</w:t>
            </w:r>
          </w:p>
        </w:tc>
        <w:tc>
          <w:tcPr>
            <w:tcW w:type="dxa" w:w="4320"/>
          </w:tcPr>
          <w:p>
            <w:r>
              <w:t>500</w:t>
            </w:r>
          </w:p>
        </w:tc>
      </w:tr>
      <w:tr>
        <w:tc>
          <w:tcPr>
            <w:tcW w:type="dxa" w:w="4320"/>
          </w:tcPr>
          <w:p>
            <w:r>
              <w:t>On time</w:t>
            </w:r>
          </w:p>
        </w:tc>
        <w:tc>
          <w:tcPr>
            <w:tcW w:type="dxa" w:w="4320"/>
          </w:tcPr>
          <w:p>
            <w:r>
              <w:t>294 | 58.8%</w:t>
            </w:r>
          </w:p>
        </w:tc>
      </w:tr>
      <w:tr>
        <w:tc>
          <w:tcPr>
            <w:tcW w:type="dxa" w:w="4320"/>
          </w:tcPr>
          <w:p>
            <w:r>
              <w:t>Late</w:t>
            </w:r>
          </w:p>
        </w:tc>
        <w:tc>
          <w:tcPr>
            <w:tcW w:type="dxa" w:w="4320"/>
          </w:tcPr>
          <w:p>
            <w:r>
              <w:t>206 | 41.2%</w:t>
            </w:r>
          </w:p>
        </w:tc>
      </w:tr>
      <w:tr>
        <w:tc>
          <w:tcPr>
            <w:tcW w:type="dxa" w:w="4320"/>
          </w:tcPr>
          <w:p>
            <w:r>
              <w:t>Average delivery duration</w:t>
            </w:r>
          </w:p>
        </w:tc>
        <w:tc>
          <w:tcPr>
            <w:tcW w:type="dxa" w:w="4320"/>
          </w:tcPr>
          <w:p>
            <w:r>
              <w:t>5.02 days from dispatch</w:t>
            </w:r>
          </w:p>
        </w:tc>
      </w:tr>
      <w:tr>
        <w:tc>
          <w:tcPr>
            <w:tcW w:type="dxa" w:w="4320"/>
          </w:tcPr>
          <w:p>
            <w:r>
              <w:t>Average customer rating</w:t>
            </w:r>
          </w:p>
        </w:tc>
        <w:tc>
          <w:tcPr>
            <w:tcW w:type="dxa" w:w="4320"/>
          </w:tcPr>
          <w:p>
            <w:r>
              <w:t>4.58 out of 5</w:t>
            </w:r>
          </w:p>
        </w:tc>
      </w:tr>
      <w:tr>
        <w:tc>
          <w:tcPr>
            <w:tcW w:type="dxa" w:w="4320"/>
          </w:tcPr>
          <w:p>
            <w:r>
              <w:t>Revenue</w:t>
            </w:r>
          </w:p>
        </w:tc>
        <w:tc>
          <w:tcPr>
            <w:tcW w:type="dxa" w:w="4320"/>
          </w:tcPr>
          <w:p>
            <w:r>
              <w:t>AUD 77,619.64</w:t>
            </w:r>
          </w:p>
        </w:tc>
      </w:tr>
      <w:tr>
        <w:tc>
          <w:tcPr>
            <w:tcW w:type="dxa" w:w="4320"/>
          </w:tcPr>
          <w:p>
            <w:r>
              <w:t>Shipping cost</w:t>
            </w:r>
          </w:p>
        </w:tc>
        <w:tc>
          <w:tcPr>
            <w:tcW w:type="dxa" w:w="4320"/>
          </w:tcPr>
          <w:p>
            <w:r>
              <w:t>AUD 46,771.21</w:t>
            </w:r>
          </w:p>
        </w:tc>
      </w:tr>
      <w:tr>
        <w:tc>
          <w:tcPr>
            <w:tcW w:type="dxa" w:w="4320"/>
          </w:tcPr>
          <w:p>
            <w:r>
              <w:t>Revenue less shipping cost</w:t>
            </w:r>
          </w:p>
        </w:tc>
        <w:tc>
          <w:tcPr>
            <w:tcW w:type="dxa" w:w="4320"/>
          </w:tcPr>
          <w:p>
            <w:r>
              <w:t>AUD 30,848.43 | 39.7% of revenue</w:t>
            </w:r>
          </w:p>
        </w:tc>
      </w:tr>
    </w:tbl>
    <w:p>
      <w:r>
        <w:t>Revenue less shipping cost is a contribution measure before other expenses. It should not be labelled net profit because staff, warehousing, overheads and other costs are not included.</w:t>
      </w:r>
    </w:p>
    <w:p>
      <w:r>
        <w:br w:type="page"/>
      </w:r>
    </w:p>
    <w:p>
      <w:pPr>
        <w:pStyle w:val="Heading1"/>
      </w:pPr>
      <w:r>
        <w:t>Regional delivery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Destination</w:t>
            </w:r>
          </w:p>
        </w:tc>
        <w:tc>
          <w:tcPr>
            <w:tcW w:type="dxa" w:w="2160"/>
          </w:tcPr>
          <w:p>
            <w:r>
              <w:t>Shipments</w:t>
            </w:r>
          </w:p>
        </w:tc>
        <w:tc>
          <w:tcPr>
            <w:tcW w:type="dxa" w:w="2160"/>
          </w:tcPr>
          <w:p>
            <w:r>
              <w:t>Late</w:t>
            </w:r>
          </w:p>
        </w:tc>
        <w:tc>
          <w:tcPr>
            <w:tcW w:type="dxa" w:w="2160"/>
          </w:tcPr>
          <w:p>
            <w:r>
              <w:t>Late rate</w:t>
            </w:r>
          </w:p>
        </w:tc>
      </w:tr>
      <w:tr>
        <w:tc>
          <w:tcPr>
            <w:tcW w:type="dxa" w:w="2160"/>
          </w:tcPr>
          <w:p>
            <w:r>
              <w:t>New South Wales</w:t>
            </w:r>
          </w:p>
        </w:tc>
        <w:tc>
          <w:tcPr>
            <w:tcW w:type="dxa" w:w="2160"/>
          </w:tcPr>
          <w:p>
            <w:r>
              <w:t>102</w:t>
            </w:r>
          </w:p>
        </w:tc>
        <w:tc>
          <w:tcPr>
            <w:tcW w:type="dxa" w:w="2160"/>
          </w:tcPr>
          <w:p>
            <w:r>
              <w:t>47</w:t>
            </w:r>
          </w:p>
        </w:tc>
        <w:tc>
          <w:tcPr>
            <w:tcW w:type="dxa" w:w="2160"/>
          </w:tcPr>
          <w:p>
            <w:r>
              <w:t>46.1%</w:t>
            </w:r>
          </w:p>
        </w:tc>
      </w:tr>
      <w:tr>
        <w:tc>
          <w:tcPr>
            <w:tcW w:type="dxa" w:w="2160"/>
          </w:tcPr>
          <w:p>
            <w:r>
              <w:t>Queensland</w:t>
            </w:r>
          </w:p>
        </w:tc>
        <w:tc>
          <w:tcPr>
            <w:tcW w:type="dxa" w:w="2160"/>
          </w:tcPr>
          <w:p>
            <w:r>
              <w:t>108</w:t>
            </w:r>
          </w:p>
        </w:tc>
        <w:tc>
          <w:tcPr>
            <w:tcW w:type="dxa" w:w="2160"/>
          </w:tcPr>
          <w:p>
            <w:r>
              <w:t>43</w:t>
            </w:r>
          </w:p>
        </w:tc>
        <w:tc>
          <w:tcPr>
            <w:tcW w:type="dxa" w:w="2160"/>
          </w:tcPr>
          <w:p>
            <w:r>
              <w:t>39.8%</w:t>
            </w:r>
          </w:p>
        </w:tc>
      </w:tr>
      <w:tr>
        <w:tc>
          <w:tcPr>
            <w:tcW w:type="dxa" w:w="2160"/>
          </w:tcPr>
          <w:p>
            <w:r>
              <w:t>South Australia</w:t>
            </w:r>
          </w:p>
        </w:tc>
        <w:tc>
          <w:tcPr>
            <w:tcW w:type="dxa" w:w="2160"/>
          </w:tcPr>
          <w:p>
            <w:r>
              <w:t>105</w:t>
            </w:r>
          </w:p>
        </w:tc>
        <w:tc>
          <w:tcPr>
            <w:tcW w:type="dxa" w:w="2160"/>
          </w:tcPr>
          <w:p>
            <w:r>
              <w:t>46</w:t>
            </w:r>
          </w:p>
        </w:tc>
        <w:tc>
          <w:tcPr>
            <w:tcW w:type="dxa" w:w="2160"/>
          </w:tcPr>
          <w:p>
            <w:r>
              <w:t>43.8%</w:t>
            </w:r>
          </w:p>
        </w:tc>
      </w:tr>
      <w:tr>
        <w:tc>
          <w:tcPr>
            <w:tcW w:type="dxa" w:w="2160"/>
          </w:tcPr>
          <w:p>
            <w:r>
              <w:t>Victoria</w:t>
            </w:r>
          </w:p>
        </w:tc>
        <w:tc>
          <w:tcPr>
            <w:tcW w:type="dxa" w:w="2160"/>
          </w:tcPr>
          <w:p>
            <w:r>
              <w:t>84</w:t>
            </w:r>
          </w:p>
        </w:tc>
        <w:tc>
          <w:tcPr>
            <w:tcW w:type="dxa" w:w="2160"/>
          </w:tcPr>
          <w:p>
            <w:r>
              <w:t>33</w:t>
            </w:r>
          </w:p>
        </w:tc>
        <w:tc>
          <w:tcPr>
            <w:tcW w:type="dxa" w:w="2160"/>
          </w:tcPr>
          <w:p>
            <w:r>
              <w:t>39.3%</w:t>
            </w:r>
          </w:p>
        </w:tc>
      </w:tr>
      <w:tr>
        <w:tc>
          <w:tcPr>
            <w:tcW w:type="dxa" w:w="2160"/>
          </w:tcPr>
          <w:p>
            <w:r>
              <w:t>Western Australia</w:t>
            </w:r>
          </w:p>
        </w:tc>
        <w:tc>
          <w:tcPr>
            <w:tcW w:type="dxa" w:w="2160"/>
          </w:tcPr>
          <w:p>
            <w:r>
              <w:t>101</w:t>
            </w:r>
          </w:p>
        </w:tc>
        <w:tc>
          <w:tcPr>
            <w:tcW w:type="dxa" w:w="2160"/>
          </w:tcPr>
          <w:p>
            <w:r>
              <w:t>37</w:t>
            </w:r>
          </w:p>
        </w:tc>
        <w:tc>
          <w:tcPr>
            <w:tcW w:type="dxa" w:w="2160"/>
          </w:tcPr>
          <w:p>
            <w:r>
              <w:t>36.6%</w:t>
            </w:r>
          </w:p>
        </w:tc>
      </w:tr>
    </w:tbl>
    <w:p>
      <w:r>
        <w:t>Queensland received the most shipments: 108, or 21.6% of the total. New South Wales had the most late deliveries (47), followed closely by South Australia (46). New South Wales also had the highest late rate at 46.1%, compared with 36.6% in Western Australia, a difference of 9.4 percentage points using unrounded rates.</w:t>
      </w:r>
    </w:p>
    <w:p>
      <w:r>
        <w:t>Prioritise investigation of New South Wales and South Australia. Examine carrier, mode, route and dispatch patterns before attributing delays to a particular cause.</w:t>
      </w:r>
    </w:p>
    <w:p>
      <w:pPr>
        <w:pStyle w:val="Heading1"/>
      </w:pPr>
      <w:r>
        <w:t>Shipping mode and carrier findings</w:t>
      </w:r>
    </w:p>
    <w:p>
      <w:r>
        <w:t>Standard accounted for 175 shipments, Economy 167 and Express 158. Average delivery duration was 7.81 days for Economy, 4.64 for Standard and 2.49 for Express. Longer Economy duration does not itself establish poor performance: lateness must be assessed against each shipment’s promised date.</w:t>
      </w:r>
    </w:p>
    <w:p>
      <w:r>
        <w:t>AustPost Economy had the longest average delivery duration among carrier and mode combinations at 8.06 days. This is an investigation priority rather than proof that the carrier is less efficient; route distances, package characteristics and service promises may differ.</w:t>
      </w:r>
    </w:p>
    <w:p>
      <w:r>
        <w:t>Pacific Express generated the highest revenue at AUD 21,441.05 across 135 shipments, with AUD 12,824.03 in shipping costs. Its revenue less shipping cost was AUD 8,617.02. This also reflects its shipment volume and mix; revenue alone is insufficient for supplier selection.</w:t>
      </w:r>
    </w:p>
    <w:p>
      <w:pPr>
        <w:pStyle w:val="Heading1"/>
      </w:pPr>
      <w:r>
        <w:t>Customer experience</w:t>
      </w:r>
    </w:p>
    <w:p>
      <w:r>
        <w:t>Healthcare had the highest average product category rating at 4.67 out of 5, followed by Books at 4.64. Clothing was lowest at 4.51. These are descriptive comparisons: the dataset does not establish why ratings differ or show that a specific operational change would improve them.</w:t>
      </w:r>
    </w:p>
    <w:p>
      <w:pPr>
        <w:pStyle w:val="Heading1"/>
      </w:pPr>
      <w:r>
        <w:t>Saved dashboard reconciliation</w:t>
      </w:r>
    </w:p>
    <w:p>
      <w:r>
        <w:t>The saved New South Wales Economy subset contains 42 shipments, including 22 on time and 20 late. Its on-time rate is 52.4%, average delivery duration 8.12 days, average rating 4.55 and revenue AUD 6,201.80. These reconcile with the saved METRICS sheet.</w:t>
      </w:r>
    </w:p>
    <w:p>
      <w:r>
        <w:t>Label the active filters clearly when sharing screenshots. For a full dataset overview, clear the relevant slicer filters and refresh the PivotTables in Excel, then confirm headline results against the overall performance table above.</w:t>
      </w:r>
    </w:p>
    <w:p>
      <w:r>
        <w:br w:type="page"/>
      </w:r>
    </w:p>
    <w:p>
      <w:pPr>
        <w:pStyle w:val="Heading1"/>
      </w:pPr>
      <w:r>
        <w:t>Recommendations and next steps</w:t>
      </w:r>
    </w:p>
    <w:p>
      <w:pPr>
        <w:pStyle w:val="Heading2"/>
      </w:pPr>
      <w:r>
        <w:t>1 Prioritise delay investigation</w:t>
      </w:r>
    </w:p>
    <w:p>
      <w:r>
        <w:t>Review the late shipments to New South Wales and South Australia by carrier, mode and route. Record reasons where available; the current dataset does not contain verified delay causes.</w:t>
      </w:r>
    </w:p>
    <w:p>
      <w:pPr>
        <w:pStyle w:val="Heading2"/>
      </w:pPr>
      <w:r>
        <w:t>2 Monitor service promises</w:t>
      </w:r>
    </w:p>
    <w:p>
      <w:r>
        <w:t>Track late rate alongside average duration for each mode and carrier. Compare providers on similar routes and service levels, showing shipment counts to avoid misleading rankings from small groups.</w:t>
      </w:r>
    </w:p>
    <w:p>
      <w:pPr>
        <w:pStyle w:val="Heading2"/>
      </w:pPr>
      <w:r>
        <w:t>3 Balance cost with reliability</w:t>
      </w:r>
    </w:p>
    <w:p>
      <w:r>
        <w:t>Review revenue less shipping cost per shipment alongside delivery reliability and customer ratings. Avoid selecting a carrier solely because it generates the highest revenue.</w:t>
      </w:r>
    </w:p>
    <w:p>
      <w:pPr>
        <w:pStyle w:val="Heading2"/>
      </w:pPr>
      <w:r>
        <w:t>4 Improve dashboard clarity</w:t>
      </w:r>
    </w:p>
    <w:p>
      <w:r>
        <w:t>Show active filters, reporting period, AUD currency and whether delivery time starts at dispatch. Display shipment count, on-time rate, revenue and contribution with consistent definitions.</w:t>
      </w:r>
    </w:p>
    <w:p>
      <w:pPr>
        <w:pStyle w:val="Heading2"/>
      </w:pPr>
      <w:r>
        <w:t>5 Strengthen data capture</w:t>
      </w:r>
    </w:p>
    <w:p>
      <w:r>
        <w:t>For a real operational version, add verified delay reason, service target, complaint outcome and full cost information. Retain source records and document cleaning and refresh steps.</w:t>
      </w:r>
    </w:p>
    <w:p>
      <w:pPr>
        <w:pStyle w:val="Heading1"/>
      </w:pPr>
      <w:r>
        <w:t>KPI definitions</w:t>
      </w:r>
    </w:p>
    <w:p>
      <w:r>
        <w:t>On-time rate = on-time shipments ÷ all shipments. Regional late rate = late shipments to the region ÷ all shipments to the same region. Average delivery duration = total Delivery Days ÷ shipment count. Average rating = arithmetic mean of recorded ratings. Contribution = revenue − shipping cost; contribution margin = contribution ÷ revenue. Values are rounded only for presentation.</w:t>
      </w:r>
    </w:p>
    <w:p>
      <w:pPr>
        <w:pStyle w:val="Heading1"/>
      </w:pPr>
      <w:r>
        <w:t>Conclusion</w:t>
      </w:r>
    </w:p>
    <w:p>
      <w:r>
        <w:t>This analysis demonstrates how Excel reporting can identify delivery reliability concerns, compare regional performance and reconcile dashboard figures with source data. The strongest next step is to investigate the regions with the highest late rates while improving filter transparency. Any recommendations remain hypotheses for testing because this is fictional practice data and no operational causes or intervention results have been verified.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