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Canada Logistics Delivery Analysis</w:t>
      </w:r>
    </w:p>
    <w:p>
      <w:r>
        <w:t>Samuel Faremola | Excel portfolio project | 24 October 2026</w:t>
      </w:r>
    </w:p>
    <w:p>
      <w:pPr>
        <w:pStyle w:val="Heading1"/>
      </w:pPr>
      <w:r>
        <w:t>Executive findings</w:t>
      </w:r>
    </w:p>
    <w:p>
      <w:r>
        <w:t>Delivery reliability is the main improvement opportunity in this fictional practice dataset. Of 500 shipments, 306 arrived on time (61.2%) and 194 were late (38.8%). Revenue was CAD 79,462.93. Ontario had the highest regional late rate at 51.8%, while Quebec recorded the largest late count at 44 shipments.</w:t>
      </w:r>
    </w:p>
    <w:p>
      <w:pPr>
        <w:pStyle w:val="Heading1"/>
      </w:pPr>
      <w:r>
        <w:t>Scope and data quality</w:t>
      </w:r>
    </w:p>
    <w:p>
      <w:r>
        <w:t>Source: Canada_Logistics_Delivery{sample}.xlsx, principally the Data sheet, with reconciliation to METRICS and the saved PivotTables. Each row represents one shipment. Order dates run from 1 January to 29 December 2025. The Tasks sheet identifies the data as fictional; findings describe a practice scenario rather than real Canadian market performance.</w:t>
      </w:r>
    </w:p>
    <w:p>
      <w:r>
        <w:t>Validation found 500 unique shipment IDs, no duplicate rows and no missing values across 22 fields. Delivery Days matched actual delivery date minus dispatch date in all records. Delay Days matched the positive difference between actual and promised delivery dates in all records. The five headline KPIs reconcile to METRICS. These checks establish internal consistency, not external accuracy.</w:t>
      </w:r>
    </w:p>
    <w:p>
      <w:pPr>
        <w:pStyle w:val="Heading1"/>
      </w:pPr>
      <w:r>
        <w:t>Overall performance</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Result</w:t>
            </w:r>
          </w:p>
        </w:tc>
      </w:tr>
      <w:tr>
        <w:tc>
          <w:tcPr>
            <w:tcW w:type="dxa" w:w="4320"/>
          </w:tcPr>
          <w:p>
            <w:r>
              <w:t>Total shipments</w:t>
            </w:r>
          </w:p>
        </w:tc>
        <w:tc>
          <w:tcPr>
            <w:tcW w:type="dxa" w:w="4320"/>
          </w:tcPr>
          <w:p>
            <w:r>
              <w:t>500</w:t>
            </w:r>
          </w:p>
        </w:tc>
      </w:tr>
      <w:tr>
        <w:tc>
          <w:tcPr>
            <w:tcW w:type="dxa" w:w="4320"/>
          </w:tcPr>
          <w:p>
            <w:r>
              <w:t>On time</w:t>
            </w:r>
          </w:p>
        </w:tc>
        <w:tc>
          <w:tcPr>
            <w:tcW w:type="dxa" w:w="4320"/>
          </w:tcPr>
          <w:p>
            <w:r>
              <w:t>306 | 61.2%</w:t>
            </w:r>
          </w:p>
        </w:tc>
      </w:tr>
      <w:tr>
        <w:tc>
          <w:tcPr>
            <w:tcW w:type="dxa" w:w="4320"/>
          </w:tcPr>
          <w:p>
            <w:r>
              <w:t>Late</w:t>
            </w:r>
          </w:p>
        </w:tc>
        <w:tc>
          <w:tcPr>
            <w:tcW w:type="dxa" w:w="4320"/>
          </w:tcPr>
          <w:p>
            <w:r>
              <w:t>194 | 38.8%</w:t>
            </w:r>
          </w:p>
        </w:tc>
      </w:tr>
      <w:tr>
        <w:tc>
          <w:tcPr>
            <w:tcW w:type="dxa" w:w="4320"/>
          </w:tcPr>
          <w:p>
            <w:r>
              <w:t>Average delivery duration</w:t>
            </w:r>
          </w:p>
        </w:tc>
        <w:tc>
          <w:tcPr>
            <w:tcW w:type="dxa" w:w="4320"/>
          </w:tcPr>
          <w:p>
            <w:r>
              <w:t>4.92 days from dispatch</w:t>
            </w:r>
          </w:p>
        </w:tc>
      </w:tr>
      <w:tr>
        <w:tc>
          <w:tcPr>
            <w:tcW w:type="dxa" w:w="4320"/>
          </w:tcPr>
          <w:p>
            <w:r>
              <w:t>Average customer rating</w:t>
            </w:r>
          </w:p>
        </w:tc>
        <w:tc>
          <w:tcPr>
            <w:tcW w:type="dxa" w:w="4320"/>
          </w:tcPr>
          <w:p>
            <w:r>
              <w:t>4.54 out of 5</w:t>
            </w:r>
          </w:p>
        </w:tc>
      </w:tr>
      <w:tr>
        <w:tc>
          <w:tcPr>
            <w:tcW w:type="dxa" w:w="4320"/>
          </w:tcPr>
          <w:p>
            <w:r>
              <w:t>Revenue</w:t>
            </w:r>
          </w:p>
        </w:tc>
        <w:tc>
          <w:tcPr>
            <w:tcW w:type="dxa" w:w="4320"/>
          </w:tcPr>
          <w:p>
            <w:r>
              <w:t>CAD 79,462.93</w:t>
            </w:r>
          </w:p>
        </w:tc>
      </w:tr>
      <w:tr>
        <w:tc>
          <w:tcPr>
            <w:tcW w:type="dxa" w:w="4320"/>
          </w:tcPr>
          <w:p>
            <w:r>
              <w:t>Shipping cost</w:t>
            </w:r>
          </w:p>
        </w:tc>
        <w:tc>
          <w:tcPr>
            <w:tcW w:type="dxa" w:w="4320"/>
          </w:tcPr>
          <w:p>
            <w:r>
              <w:t>CAD 47,355.70</w:t>
            </w:r>
          </w:p>
        </w:tc>
      </w:tr>
      <w:tr>
        <w:tc>
          <w:tcPr>
            <w:tcW w:type="dxa" w:w="4320"/>
          </w:tcPr>
          <w:p>
            <w:r>
              <w:t>Revenue less shipping cost</w:t>
            </w:r>
          </w:p>
        </w:tc>
        <w:tc>
          <w:tcPr>
            <w:tcW w:type="dxa" w:w="4320"/>
          </w:tcPr>
          <w:p>
            <w:r>
              <w:t>CAD 32,107.23 | 40.4% of revenue</w:t>
            </w:r>
          </w:p>
        </w:tc>
      </w:tr>
      <w:tr>
        <w:tc>
          <w:tcPr>
            <w:tcW w:type="dxa" w:w="4320"/>
          </w:tcPr>
          <w:p>
            <w:r>
              <w:t>Returned shipments</w:t>
            </w:r>
          </w:p>
        </w:tc>
        <w:tc>
          <w:tcPr>
            <w:tcW w:type="dxa" w:w="4320"/>
          </w:tcPr>
          <w:p>
            <w:r>
              <w:t>23 | 4.6%</w:t>
            </w:r>
          </w:p>
        </w:tc>
      </w:tr>
    </w:tbl>
    <w:p>
      <w:r>
        <w:t>Revenue less shipping cost is a contribution measure before other expenses, not net profit. The dataset does not include all operating costs.</w:t>
      </w:r>
    </w:p>
    <w:p>
      <w:pPr>
        <w:pStyle w:val="Heading1"/>
        <w:pageBreakBefore/>
      </w:pPr>
      <w:r>
        <w:t>Regional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Destination</w:t>
            </w:r>
          </w:p>
        </w:tc>
        <w:tc>
          <w:tcPr>
            <w:tcW w:type="dxa" w:w="2160"/>
          </w:tcPr>
          <w:p>
            <w:r>
              <w:t>Shipments</w:t>
            </w:r>
          </w:p>
        </w:tc>
        <w:tc>
          <w:tcPr>
            <w:tcW w:type="dxa" w:w="2160"/>
          </w:tcPr>
          <w:p>
            <w:r>
              <w:t>Late</w:t>
            </w:r>
          </w:p>
        </w:tc>
        <w:tc>
          <w:tcPr>
            <w:tcW w:type="dxa" w:w="2160"/>
          </w:tcPr>
          <w:p>
            <w:r>
              <w:t>Late rate</w:t>
            </w:r>
          </w:p>
        </w:tc>
      </w:tr>
      <w:tr>
        <w:tc>
          <w:tcPr>
            <w:tcW w:type="dxa" w:w="2160"/>
          </w:tcPr>
          <w:p>
            <w:r>
              <w:t>Alberta</w:t>
            </w:r>
          </w:p>
        </w:tc>
        <w:tc>
          <w:tcPr>
            <w:tcW w:type="dxa" w:w="2160"/>
          </w:tcPr>
          <w:p>
            <w:r>
              <w:t>94</w:t>
            </w:r>
          </w:p>
        </w:tc>
        <w:tc>
          <w:tcPr>
            <w:tcW w:type="dxa" w:w="2160"/>
          </w:tcPr>
          <w:p>
            <w:r>
              <w:t>34</w:t>
            </w:r>
          </w:p>
        </w:tc>
        <w:tc>
          <w:tcPr>
            <w:tcW w:type="dxa" w:w="2160"/>
          </w:tcPr>
          <w:p>
            <w:r>
              <w:t>36.2%</w:t>
            </w:r>
          </w:p>
        </w:tc>
      </w:tr>
      <w:tr>
        <w:tc>
          <w:tcPr>
            <w:tcW w:type="dxa" w:w="2160"/>
          </w:tcPr>
          <w:p>
            <w:r>
              <w:t>British Columbia</w:t>
            </w:r>
          </w:p>
        </w:tc>
        <w:tc>
          <w:tcPr>
            <w:tcW w:type="dxa" w:w="2160"/>
          </w:tcPr>
          <w:p>
            <w:r>
              <w:t>101</w:t>
            </w:r>
          </w:p>
        </w:tc>
        <w:tc>
          <w:tcPr>
            <w:tcW w:type="dxa" w:w="2160"/>
          </w:tcPr>
          <w:p>
            <w:r>
              <w:t>37</w:t>
            </w:r>
          </w:p>
        </w:tc>
        <w:tc>
          <w:tcPr>
            <w:tcW w:type="dxa" w:w="2160"/>
          </w:tcPr>
          <w:p>
            <w:r>
              <w:t>36.6%</w:t>
            </w:r>
          </w:p>
        </w:tc>
      </w:tr>
      <w:tr>
        <w:tc>
          <w:tcPr>
            <w:tcW w:type="dxa" w:w="2160"/>
          </w:tcPr>
          <w:p>
            <w:r>
              <w:t>Nova Scotia</w:t>
            </w:r>
          </w:p>
        </w:tc>
        <w:tc>
          <w:tcPr>
            <w:tcW w:type="dxa" w:w="2160"/>
          </w:tcPr>
          <w:p>
            <w:r>
              <w:t>105</w:t>
            </w:r>
          </w:p>
        </w:tc>
        <w:tc>
          <w:tcPr>
            <w:tcW w:type="dxa" w:w="2160"/>
          </w:tcPr>
          <w:p>
            <w:r>
              <w:t>36</w:t>
            </w:r>
          </w:p>
        </w:tc>
        <w:tc>
          <w:tcPr>
            <w:tcW w:type="dxa" w:w="2160"/>
          </w:tcPr>
          <w:p>
            <w:r>
              <w:t>34.3%</w:t>
            </w:r>
          </w:p>
        </w:tc>
      </w:tr>
      <w:tr>
        <w:tc>
          <w:tcPr>
            <w:tcW w:type="dxa" w:w="2160"/>
          </w:tcPr>
          <w:p>
            <w:r>
              <w:t>Ontario</w:t>
            </w:r>
          </w:p>
        </w:tc>
        <w:tc>
          <w:tcPr>
            <w:tcW w:type="dxa" w:w="2160"/>
          </w:tcPr>
          <w:p>
            <w:r>
              <w:t>83</w:t>
            </w:r>
          </w:p>
        </w:tc>
        <w:tc>
          <w:tcPr>
            <w:tcW w:type="dxa" w:w="2160"/>
          </w:tcPr>
          <w:p>
            <w:r>
              <w:t>43</w:t>
            </w:r>
          </w:p>
        </w:tc>
        <w:tc>
          <w:tcPr>
            <w:tcW w:type="dxa" w:w="2160"/>
          </w:tcPr>
          <w:p>
            <w:r>
              <w:t>51.8%</w:t>
            </w:r>
          </w:p>
        </w:tc>
      </w:tr>
      <w:tr>
        <w:tc>
          <w:tcPr>
            <w:tcW w:type="dxa" w:w="2160"/>
          </w:tcPr>
          <w:p>
            <w:r>
              <w:t>Quebec</w:t>
            </w:r>
          </w:p>
        </w:tc>
        <w:tc>
          <w:tcPr>
            <w:tcW w:type="dxa" w:w="2160"/>
          </w:tcPr>
          <w:p>
            <w:r>
              <w:t>117</w:t>
            </w:r>
          </w:p>
        </w:tc>
        <w:tc>
          <w:tcPr>
            <w:tcW w:type="dxa" w:w="2160"/>
          </w:tcPr>
          <w:p>
            <w:r>
              <w:t>44</w:t>
            </w:r>
          </w:p>
        </w:tc>
        <w:tc>
          <w:tcPr>
            <w:tcW w:type="dxa" w:w="2160"/>
          </w:tcPr>
          <w:p>
            <w:r>
              <w:t>37.6%</w:t>
            </w:r>
          </w:p>
        </w:tc>
      </w:tr>
    </w:tbl>
    <w:p>
      <w:r>
        <w:t>Quebec received the most shipments (117; 23.4% of the total). Ontario had fewer shipments but the highest late rate and longest average delivery duration (5.53 days). Its late rate exceeded Nova Scotia’s by 17.5 percentage points. This makes Ontario a stronger investigation priority than a ranking based only on late counts would suggest.</w:t>
      </w:r>
    </w:p>
    <w:p>
      <w:pPr>
        <w:pStyle w:val="Heading1"/>
      </w:pPr>
      <w:r>
        <w:t>Carrier and shipping mode findings</w:t>
      </w:r>
    </w:p>
    <w:p>
      <w:r>
        <w:t>Maple Freight generated the highest revenue at CAD 21,089.26 across 131 shipments, against shipping costs of CAD 12,764.65. Canada Post generated slightly less revenue (CAD 20,668.63) but a higher revenue less shipping cost contribution (CAD 8,516.80 versus CAD 8,324.61). Shipment mix and other expenses must be considered before making commercial decisions.</w:t>
      </w:r>
    </w:p>
    <w:p>
      <w:r>
        <w:t>Northern Express had the highest carrier late rate at 46.6% (55 of 118 shipments). Its Economy service also had the longest average duration among carrier and mode combinations at 8.10 days. Route, distance and package differences may contribute; the data does not identify operational causes.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Shipments</w:t>
            </w:r>
          </w:p>
        </w:tc>
        <w:tc>
          <w:tcPr>
            <w:tcW w:type="dxa" w:w="2160"/>
          </w:tcPr>
          <w:p>
            <w:r>
              <w:t>Average days</w:t>
            </w:r>
          </w:p>
        </w:tc>
        <w:tc>
          <w:tcPr>
            <w:tcW w:type="dxa" w:w="2160"/>
          </w:tcPr>
          <w:p>
            <w:r>
              <w:t>Late rate</w:t>
            </w:r>
          </w:p>
        </w:tc>
      </w:tr>
      <w:tr>
        <w:tc>
          <w:tcPr>
            <w:tcW w:type="dxa" w:w="2160"/>
          </w:tcPr>
          <w:p>
            <w:r>
              <w:t>Economy</w:t>
            </w:r>
          </w:p>
        </w:tc>
        <w:tc>
          <w:tcPr>
            <w:tcW w:type="dxa" w:w="2160"/>
          </w:tcPr>
          <w:p>
            <w:r>
              <w:t>157</w:t>
            </w:r>
          </w:p>
        </w:tc>
        <w:tc>
          <w:tcPr>
            <w:tcW w:type="dxa" w:w="2160"/>
          </w:tcPr>
          <w:p>
            <w:r>
              <w:t>7.77</w:t>
            </w:r>
          </w:p>
        </w:tc>
        <w:tc>
          <w:tcPr>
            <w:tcW w:type="dxa" w:w="2160"/>
          </w:tcPr>
          <w:p>
            <w:r>
              <w:t>38.2%</w:t>
            </w:r>
          </w:p>
        </w:tc>
      </w:tr>
      <w:tr>
        <w:tc>
          <w:tcPr>
            <w:tcW w:type="dxa" w:w="2160"/>
          </w:tcPr>
          <w:p>
            <w:r>
              <w:t>Express</w:t>
            </w:r>
          </w:p>
        </w:tc>
        <w:tc>
          <w:tcPr>
            <w:tcW w:type="dxa" w:w="2160"/>
          </w:tcPr>
          <w:p>
            <w:r>
              <w:t>165</w:t>
            </w:r>
          </w:p>
        </w:tc>
        <w:tc>
          <w:tcPr>
            <w:tcW w:type="dxa" w:w="2160"/>
          </w:tcPr>
          <w:p>
            <w:r>
              <w:t>2.22</w:t>
            </w:r>
          </w:p>
        </w:tc>
        <w:tc>
          <w:tcPr>
            <w:tcW w:type="dxa" w:w="2160"/>
          </w:tcPr>
          <w:p>
            <w:r>
              <w:t>37.0%</w:t>
            </w:r>
          </w:p>
        </w:tc>
      </w:tr>
      <w:tr>
        <w:tc>
          <w:tcPr>
            <w:tcW w:type="dxa" w:w="2160"/>
          </w:tcPr>
          <w:p>
            <w:r>
              <w:t>Standard</w:t>
            </w:r>
          </w:p>
        </w:tc>
        <w:tc>
          <w:tcPr>
            <w:tcW w:type="dxa" w:w="2160"/>
          </w:tcPr>
          <w:p>
            <w:r>
              <w:t>178</w:t>
            </w:r>
          </w:p>
        </w:tc>
        <w:tc>
          <w:tcPr>
            <w:tcW w:type="dxa" w:w="2160"/>
          </w:tcPr>
          <w:p>
            <w:r>
              <w:t>4.92</w:t>
            </w:r>
          </w:p>
        </w:tc>
        <w:tc>
          <w:tcPr>
            <w:tcW w:type="dxa" w:w="2160"/>
          </w:tcPr>
          <w:p>
            <w:r>
              <w:t>41.0%</w:t>
            </w:r>
          </w:p>
        </w:tc>
      </w:tr>
    </w:tbl>
    <w:p>
      <w:r>
        <w:t>Express was fastest, but 61 of its 165 shipments still missed their promised delivery date. Speed and reliability measure different aspects of service. Standard carried the most shipments and had the highest mode late rate.</w:t>
      </w:r>
    </w:p>
    <w:p>
      <w:pPr>
        <w:pStyle w:val="Heading1"/>
      </w:pPr>
      <w:r>
        <w:t>Customer experience</w:t>
      </w:r>
    </w:p>
    <w:p>
      <w:r>
        <w:t>On-time shipments averaged 4.83 out of 5, compared with 4.08 for late shipments, a difference of 0.75 points. This association supports examining delivery reliability alongside satisfaction; it does not prove causation, particularly in fictional data. Clothing had the highest category rating at 4.63, while Books was lowest at 4.48.</w:t>
      </w:r>
    </w:p>
    <w:p>
      <w:pPr>
        <w:pStyle w:val="Heading1"/>
        <w:pageBreakBefore/>
      </w:pPr>
      <w:r>
        <w:t>Recommendations</w:t>
      </w:r>
    </w:p>
    <w:p>
      <w:pPr>
        <w:pStyle w:val="ListBullet"/>
      </w:pPr>
      <w:r>
        <w:t>Prioritise Ontario: examine its 43 late shipments by carrier, mode and route. Collect verified delay reasons before assigning responsibility.</w:t>
      </w:r>
    </w:p>
    <w:p>
      <w:pPr>
        <w:pStyle w:val="ListBullet"/>
      </w:pPr>
      <w:r>
        <w:t>Review Northern Express: compare its late rate on similar routes and service promises against other carriers before proposing changes.</w:t>
      </w:r>
    </w:p>
    <w:p>
      <w:pPr>
        <w:pStyle w:val="ListBullet"/>
      </w:pPr>
      <w:r>
        <w:t>Monitor Express promises: investigate why short delivery times still coincide with missed commitments. Track promised-date compliance alongside average duration.</w:t>
      </w:r>
    </w:p>
    <w:p>
      <w:pPr>
        <w:pStyle w:val="ListBullet"/>
      </w:pPr>
      <w:r>
        <w:t>Balance service and cost: use on-time rate, revenue less shipping cost per shipment and ratings together when evaluating carriers.</w:t>
      </w:r>
    </w:p>
    <w:p>
      <w:pPr>
        <w:pStyle w:val="ListBullet"/>
      </w:pPr>
      <w:r>
        <w:t>Keep reporting transparent: display active slicer filters, CAD currency and the reporting period. Refresh PivotTables and reconcile KPIs to source totals before publishing.</w:t>
      </w:r>
    </w:p>
    <w:p>
      <w:pPr>
        <w:pStyle w:val="Heading1"/>
      </w:pPr>
      <w:r>
        <w:t>Method and limitations</w:t>
      </w:r>
    </w:p>
    <w:p>
      <w:r>
        <w:t>On-time rate = on-time shipments ÷ all shipments. Group late rate = late shipments in the group ÷ all shipments in the same group. Average delivery duration starts at dispatch. Contribution = revenue − shipping cost. Return rate = returned shipments ÷ all shipments. Displayed results are rounded; comparisons use unrounded calculations.</w:t>
      </w:r>
    </w:p>
    <w:p>
      <w:r>
        <w:t>This descriptive analysis does not establish delay causes, real operational savings or the effect of an intervention. No service target or external benchmark was supplied. Recommendations are investigation priorities rather than verified solutions.</w:t>
      </w:r>
    </w:p>
    <w:p>
      <w:pPr>
        <w:pStyle w:val="Heading1"/>
      </w:pPr>
      <w:r>
        <w:t>Conclusion</w:t>
      </w:r>
    </w:p>
    <w:p>
      <w:r>
        <w:t>The dashboard demonstrates Excel reporting, KPI validation and interpretation of logistics performance. Its clearest analytical insight is that Ontario’s high late rate deserves attention despite Quebec having a slightly higher late count. Combining rates, volumes, service promises and costs gives a more useful basis for decisions.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