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UK Hospital Admissions</w:t>
      </w:r>
    </w:p>
    <w:p>
      <w:pPr>
        <w:pStyle w:val="Subtitle"/>
      </w:pPr>
      <w:r>
        <w:t>Data Cleaning Analysis and Dashboard Report</w:t>
      </w:r>
    </w:p>
    <w:p>
      <w:r>
        <w:t>Prepared by Samuel Faremola | 25 October 2026</w:t>
      </w:r>
    </w:p>
    <w:p>
      <w:r>
        <w:t>Tools: Microsoft Excel, formulas, PivotTables, PivotCharts and slicers.</w:t>
      </w:r>
    </w:p>
    <w:p>
      <w:pPr>
        <w:pStyle w:val="Heading1"/>
      </w:pPr>
      <w:r>
        <w:t>1 Executive summary</w:t>
      </w:r>
    </w:p>
    <w:p>
      <w:r>
        <w:t>This project followed the full analytical process from an uncleaned fictional hospital dataset through data preparation, validation, calculated fields, PivotTable analysis and an interactive dashboard. It demonstrates both reporting skills and the judgement needed to explain data quality limitations.</w:t>
      </w:r>
    </w:p>
    <w:p>
      <w:r>
        <w:t>The source contained 520 rows. The cleaned working dataset contained 505 admission records. The dashboard explored admission volumes, recorded treatment costs and average valid calculated stay by department and funding category.</w:t>
      </w:r>
    </w:p>
    <w:tbl>
      <w:tblPr>
        <w:tblW w:type="auto" w:w="0"/>
        <w:tblLayout w:type="fixed"/>
        <w:tblLook w:firstColumn="1" w:firstRow="1" w:lastColumn="0" w:lastRow="0" w:noHBand="0" w:noVBand="1" w:val="04A0"/>
      </w:tblPr>
      <w:tblGrid>
        <w:gridCol w:w="4320"/>
        <w:gridCol w:w="4320"/>
      </w:tblGrid>
      <w:tr>
        <w:tc>
          <w:tcPr>
            <w:tcW w:type="dxa" w:w="4320"/>
            <w:tcBorders>
              <w:top w:val="single" w:sz="4" w:color="D9D9D9"/>
              <w:left w:val="single" w:sz="4" w:color="D9D9D9"/>
              <w:bottom w:val="single" w:sz="4" w:color="D9D9D9"/>
              <w:right w:val="single" w:sz="4" w:color="D9D9D9"/>
            </w:tcBorders>
            <w:shd w:fill="20354B"/>
          </w:tcPr>
          <w:p>
            <w:pPr>
              <w:spacing w:after="60" w:before="60"/>
            </w:pPr>
            <w:r>
              <w:rPr>
                <w:b/>
                <w:color w:val="FFFFFF"/>
                <w:sz w:val="20"/>
              </w:rPr>
              <w:t>Measure</w:t>
            </w:r>
          </w:p>
        </w:tc>
        <w:tc>
          <w:tcPr>
            <w:tcW w:type="dxa" w:w="4320"/>
            <w:tcBorders>
              <w:top w:val="single" w:sz="4" w:color="D9D9D9"/>
              <w:left w:val="single" w:sz="4" w:color="D9D9D9"/>
              <w:bottom w:val="single" w:sz="4" w:color="D9D9D9"/>
              <w:right w:val="single" w:sz="4" w:color="D9D9D9"/>
            </w:tcBorders>
            <w:shd w:fill="20354B"/>
          </w:tcPr>
          <w:p>
            <w:pPr>
              <w:spacing w:after="60" w:before="60"/>
            </w:pPr>
            <w:r>
              <w:rPr>
                <w:b/>
                <w:color w:val="FFFFFF"/>
                <w:sz w:val="20"/>
              </w:rPr>
              <w:t>Overall result</w:t>
            </w:r>
          </w:p>
        </w:tc>
      </w:tr>
      <w:tr>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Admission records after cleaning</w:t>
            </w:r>
          </w:p>
        </w:tc>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505</w:t>
            </w:r>
          </w:p>
        </w:tc>
      </w:tr>
      <w:tr>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Recorded cost excluding negative values</w:t>
            </w:r>
          </w:p>
        </w:tc>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£7,060,206</w:t>
            </w:r>
          </w:p>
        </w:tc>
      </w:tr>
      <w:tr>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Average valid calculated stay</w:t>
            </w:r>
          </w:p>
        </w:tc>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10.7 days</w:t>
            </w:r>
          </w:p>
        </w:tc>
      </w:tr>
      <w:tr>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Admissions with valid calculated stay</w:t>
            </w:r>
          </w:p>
        </w:tc>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429</w:t>
            </w:r>
          </w:p>
        </w:tc>
      </w:tr>
      <w:tr>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Admissions excluded from stay calculation</w:t>
            </w:r>
          </w:p>
        </w:tc>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76</w:t>
            </w:r>
          </w:p>
        </w:tc>
      </w:tr>
      <w:tr>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Valid stay coverage</w:t>
            </w:r>
          </w:p>
        </w:tc>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85.0%</w:t>
            </w:r>
          </w:p>
        </w:tc>
      </w:tr>
    </w:tbl>
    <w:p>
      <w:r>
        <w:t>Results are based on the workbook figures and screenshots reviewed during preparation. The complete workbook was not independently re-audited for this report. All data are fictional and do not represent actual NHS performance.</w:t>
      </w:r>
    </w:p>
    <w:p>
      <w:pPr>
        <w:pStyle w:val="Heading1"/>
      </w:pPr>
      <w:r>
        <w:t>2 Objective and scope</w:t>
      </w:r>
    </w:p>
    <w:p>
      <w:r>
        <w:t>The objective was to turn inconsistent admission records into a structured dataset and usable dashboard, supporting exploration of departmental activity, cost concentration, variation in stay and the completeness of information used for reporting.</w:t>
      </w:r>
    </w:p>
    <w:p>
      <w:r>
        <w:t>Each row represents an admission. A patient may have multiple admissions, so admission counts must not be interpreted as unique patient counts.</w:t>
      </w:r>
    </w:p>
    <w:p>
      <w:r>
        <w:br w:type="page"/>
      </w:r>
    </w:p>
    <w:p>
      <w:pPr>
        <w:pStyle w:val="Heading1"/>
      </w:pPr>
      <w:r>
        <w:t>3 Data cleaning and preparation</w:t>
      </w:r>
    </w:p>
    <w:p>
      <w:pPr>
        <w:pStyle w:val="Heading2"/>
      </w:pPr>
      <w:r>
        <w:t>Source preservation and duplicate review</w:t>
      </w:r>
    </w:p>
    <w:p>
      <w:r>
        <w:t>Raw_Data was retained as the original reference, with preparation undertaken in Cleaned_Data. This made it possible to investigate questionable values and reconcile changes against the source.</w:t>
      </w:r>
    </w:p>
    <w:p>
      <w:r>
        <w:t>The working dataset decreased from 520 to 505 rows, a reduction of 15. The audit trail should distinguish exact duplicate removals from any other exclusions. Repeated Patient_ID values alone do not justify removing admissions; conflicting Admission_ID records require review.</w:t>
      </w:r>
    </w:p>
    <w:p>
      <w:pPr>
        <w:pStyle w:val="Heading2"/>
      </w:pPr>
      <w:r>
        <w:t>Text standardisation</w:t>
      </w:r>
    </w:p>
    <w:p>
      <w:r>
        <w:t>Department, diagnosis, gender, doctor and funding labels were reviewed and standardised to reduce inconsistent grouping. Abbreviations, spacing and capitalisation can otherwise cause the same category to appear separately in PivotTables.</w:t>
      </w:r>
    </w:p>
    <w:p>
      <w:pPr>
        <w:pStyle w:val="Heading2"/>
      </w:pPr>
      <w:r>
        <w:t>Date validation</w:t>
      </w:r>
    </w:p>
    <w:p>
      <w:r>
        <w:t>Admission and discharge dates were reviewed for missing information, mixed source formats, invalid calendar dates and discharge before admission. Valid dates were represented as Excel dates. Unresolved values were left blank rather than replaced with invented dates.</w:t>
      </w:r>
    </w:p>
    <w:p>
      <w:r>
        <w:t>For example, 31/02/2025 was an impossible source date. It could not support a valid stay calculation. The original value remains available in Raw_Data for traceability.</w:t>
      </w:r>
    </w:p>
    <w:p>
      <w:pPr>
        <w:pStyle w:val="Heading2"/>
      </w:pPr>
      <w:r>
        <w:t>Cost validation</w:t>
      </w:r>
    </w:p>
    <w:p>
      <w:r>
        <w:t>Cost checks identified missing values, negative amounts and unusually high amounts. Negative values were excluded from the reported total. High values were retained pending review rather than automatically deleted.</w:t>
      </w:r>
    </w:p>
    <w:p>
      <w:r>
        <w:t>The £7,060,206 figure is therefore a provisional recorded cost total that includes high values awaiting investigation. It is not revenue, profit or independently verified expenditure. Missing costs do not contribute an amount to the total.</w:t>
      </w:r>
    </w:p>
    <w:p>
      <w:pPr>
        <w:pStyle w:val="Heading2"/>
      </w:pPr>
      <w:r>
        <w:t>Calculated stay and exception checks</w:t>
      </w:r>
    </w:p>
    <w:p>
      <w:r>
        <w:t>Calculated stay was defined as discharge date minus admission date, in days. A numeric result was returned only when both dates were numeric Excel dates and discharge was on or after admission.</w:t>
      </w:r>
    </w:p>
    <w:p>
      <w:r>
        <w:t>Recorded stay was compared with calculated stay using categories including OK, Mismatch, Missing recorded stay, Cannot check dates and Check format. The dashboard used the date-derived calculation while retaining discrepancies for review.</w:t>
      </w:r>
    </w:p>
    <w:p>
      <w:pPr>
        <w:pStyle w:val="Heading1"/>
      </w:pPr>
      <w:r>
        <w:t>4 Analysis and dashboard construction</w:t>
      </w:r>
    </w:p>
    <w:tbl>
      <w:tblPr>
        <w:tblW w:type="auto" w:w="0"/>
        <w:tblLayout w:type="fixed"/>
        <w:tblLook w:firstColumn="1" w:firstRow="1" w:lastColumn="0" w:lastRow="0" w:noHBand="0" w:noVBand="1" w:val="04A0"/>
      </w:tblPr>
      <w:tblGrid>
        <w:gridCol w:w="4320"/>
        <w:gridCol w:w="4320"/>
      </w:tblGrid>
      <w:tr>
        <w:tc>
          <w:tcPr>
            <w:tcW w:type="dxa" w:w="4320"/>
            <w:tcBorders>
              <w:top w:val="single" w:sz="4" w:color="D9D9D9"/>
              <w:left w:val="single" w:sz="4" w:color="D9D9D9"/>
              <w:bottom w:val="single" w:sz="4" w:color="D9D9D9"/>
              <w:right w:val="single" w:sz="4" w:color="D9D9D9"/>
            </w:tcBorders>
            <w:shd w:fill="20354B"/>
          </w:tcPr>
          <w:p>
            <w:pPr>
              <w:spacing w:after="60" w:before="60"/>
            </w:pPr>
            <w:r>
              <w:rPr>
                <w:b/>
                <w:color w:val="FFFFFF"/>
                <w:sz w:val="20"/>
              </w:rPr>
              <w:t>Analysis</w:t>
            </w:r>
          </w:p>
        </w:tc>
        <w:tc>
          <w:tcPr>
            <w:tcW w:type="dxa" w:w="4320"/>
            <w:tcBorders>
              <w:top w:val="single" w:sz="4" w:color="D9D9D9"/>
              <w:left w:val="single" w:sz="4" w:color="D9D9D9"/>
              <w:bottom w:val="single" w:sz="4" w:color="D9D9D9"/>
              <w:right w:val="single" w:sz="4" w:color="D9D9D9"/>
            </w:tcBorders>
            <w:shd w:fill="20354B"/>
          </w:tcPr>
          <w:p>
            <w:pPr>
              <w:spacing w:after="60" w:before="60"/>
            </w:pPr>
            <w:r>
              <w:rPr>
                <w:b/>
                <w:color w:val="FFFFFF"/>
                <w:sz w:val="20"/>
              </w:rPr>
              <w:t>Aggregation</w:t>
            </w:r>
          </w:p>
        </w:tc>
      </w:tr>
      <w:tr>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Admissions by department</w:t>
            </w:r>
          </w:p>
        </w:tc>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Count of Admission_ID</w:t>
            </w:r>
          </w:p>
        </w:tc>
      </w:tr>
      <w:tr>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Recorded cost by department</w:t>
            </w:r>
          </w:p>
        </w:tc>
        <w:tc>
          <w:tcPr>
            <w:tcW w:type="dxa" w:w="4320"/>
            <w:tcBorders>
              <w:top w:val="single" w:sz="4" w:color="D9D9D9"/>
              <w:left w:val="single" w:sz="4" w:color="D9D9D9"/>
              <w:bottom w:val="single" w:sz="4" w:color="D9D9D9"/>
              <w:right w:val="single" w:sz="4" w:color="D9D9D9"/>
            </w:tcBorders>
            <w:shd w:fill="FFFFFF"/>
          </w:tcPr>
          <w:p>
            <w:pPr>
              <w:spacing w:after="60" w:before="60"/>
            </w:pPr>
            <w:r>
              <w:rPr>
                <w:sz w:val="20"/>
              </w:rPr>
              <w:t>Sum of included treatment costs</w:t>
            </w:r>
          </w:p>
        </w:tc>
      </w:tr>
      <w:tr>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Average valid stay by department</w:t>
            </w:r>
          </w:p>
        </w:tc>
        <w:tc>
          <w:tcPr>
            <w:tcW w:type="dxa" w:w="4320"/>
            <w:tcBorders>
              <w:top w:val="single" w:sz="4" w:color="D9D9D9"/>
              <w:left w:val="single" w:sz="4" w:color="D9D9D9"/>
              <w:bottom w:val="single" w:sz="4" w:color="D9D9D9"/>
              <w:right w:val="single" w:sz="4" w:color="D9D9D9"/>
            </w:tcBorders>
            <w:shd w:fill="F1F4F7"/>
          </w:tcPr>
          <w:p>
            <w:pPr>
              <w:spacing w:after="60" w:before="60"/>
            </w:pPr>
            <w:r>
              <w:rPr>
                <w:sz w:val="20"/>
              </w:rPr>
              <w:t>Average calculated stay days</w:t>
            </w:r>
          </w:p>
        </w:tc>
      </w:tr>
    </w:tbl>
    <w:p>
      <w:r>
        <w:t>Three PivotCharts presented the measures. Department and Insurance_Type slicers enabled exploration. Blank departments were retained visibly so missing classification was not silently excluded.</w:t>
      </w:r>
    </w:p>
    <w:p>
      <w:r>
        <w:br w:type="page"/>
      </w:r>
    </w:p>
    <w:p>
      <w:pPr>
        <w:pStyle w:val="Heading1"/>
      </w:pPr>
      <w:r>
        <w:t>5 Findings and interpretation</w:t>
      </w:r>
    </w:p>
    <w:p>
      <w:pPr>
        <w:pStyle w:val="Heading2"/>
      </w:pPr>
      <w:r>
        <w:t>Admission activity</w:t>
      </w:r>
    </w:p>
    <w:p>
      <w:r>
        <w:t>The cleaned dataset contains 505 admission records. Department comparisons support workload exploration, but admission counts alone cannot establish staffing requirements. Patient complexity, staff hours and the timing of demand would also be needed.</w:t>
      </w:r>
    </w:p>
    <w:p>
      <w:pPr>
        <w:pStyle w:val="Heading2"/>
      </w:pPr>
      <w:r>
        <w:t>Recorded treatment costs</w:t>
      </w:r>
    </w:p>
    <w:p>
      <w:r>
        <w:t>Included treatment costs total £7,060,206. High departmental totals may reflect more admissions, expensive cases, different case mix or questionable source entries. These possibilities should be separated before making budget decisions.</w:t>
      </w:r>
    </w:p>
    <w:p>
      <w:r>
        <w:t>A useful next step is to compare cost per admission and median cost alongside total cost, and investigate flagged high entries. No precise departmental ranking is asserted here without a complete verified departmental extract.</w:t>
      </w:r>
    </w:p>
    <w:p>
      <w:pPr>
        <w:pStyle w:val="Heading2"/>
      </w:pPr>
      <w:r>
        <w:t>Average valid stay</w:t>
      </w:r>
    </w:p>
    <w:p>
      <w:r>
        <w:t>Average calculated stay is 10.7 days across 429 admissions. Differences by department can identify pathways for closer investigation, but do not by themselves prove delayed discharge or poor performance.</w:t>
      </w:r>
    </w:p>
    <w:p>
      <w:r>
        <w:t>Comparisons should consider diagnosis and case complexity. A mean alone can conceal unusually long stays, so median stay and the distribution of stays would strengthen the analysis.</w:t>
      </w:r>
    </w:p>
    <w:p>
      <w:pPr>
        <w:pStyle w:val="Heading2"/>
      </w:pPr>
      <w:r>
        <w:t>Data completeness</w:t>
      </w:r>
    </w:p>
    <w:p>
      <w:r>
        <w:t>76 admissions, or 15.0% of the cleaned dataset, cannot contribute to the calculated stay average. Coverage is 85.0%. Missing or invalid dates may introduce bias if they are concentrated within particular departments or groups.</w:t>
      </w:r>
    </w:p>
    <w:p>
      <w:r>
        <w:t>The blank department category also limits attribution of activity and cost. Records should be corrected against source evidence rather than assigned to a department by assumption.</w:t>
      </w:r>
    </w:p>
    <w:p>
      <w:pPr>
        <w:pStyle w:val="Heading1"/>
      </w:pPr>
      <w:r>
        <w:t>6 Decision making recommendations</w:t>
      </w:r>
    </w:p>
    <w:tbl>
      <w:tblPr>
        <w:tblW w:type="auto" w:w="0"/>
        <w:tblLayout w:type="fixed"/>
        <w:tblLook w:firstColumn="1" w:firstRow="1" w:lastColumn="0" w:lastRow="0" w:noHBand="0" w:noVBand="1" w:val="04A0"/>
      </w:tblPr>
      <w:tblGrid>
        <w:gridCol w:w="936"/>
        <w:gridCol w:w="3888"/>
        <w:gridCol w:w="3816"/>
      </w:tblGrid>
      <w:tr>
        <w:tc>
          <w:tcPr>
            <w:tcW w:type="dxa" w:w="2880"/>
            <w:tcBorders>
              <w:top w:val="single" w:sz="4" w:color="D9D9D9"/>
              <w:left w:val="single" w:sz="4" w:color="D9D9D9"/>
              <w:bottom w:val="single" w:sz="4" w:color="D9D9D9"/>
              <w:right w:val="single" w:sz="4" w:color="D9D9D9"/>
            </w:tcBorders>
            <w:shd w:fill="20354B"/>
          </w:tcPr>
          <w:p>
            <w:pPr>
              <w:spacing w:after="60" w:before="60"/>
            </w:pPr>
            <w:r>
              <w:rPr>
                <w:b/>
                <w:color w:val="FFFFFF"/>
                <w:sz w:val="20"/>
              </w:rPr>
              <w:t>Priority</w:t>
            </w:r>
          </w:p>
        </w:tc>
        <w:tc>
          <w:tcPr>
            <w:tcW w:type="dxa" w:w="2880"/>
            <w:tcBorders>
              <w:top w:val="single" w:sz="4" w:color="D9D9D9"/>
              <w:left w:val="single" w:sz="4" w:color="D9D9D9"/>
              <w:bottom w:val="single" w:sz="4" w:color="D9D9D9"/>
              <w:right w:val="single" w:sz="4" w:color="D9D9D9"/>
            </w:tcBorders>
            <w:shd w:fill="20354B"/>
          </w:tcPr>
          <w:p>
            <w:pPr>
              <w:spacing w:after="60" w:before="60"/>
            </w:pPr>
            <w:r>
              <w:rPr>
                <w:b/>
                <w:color w:val="FFFFFF"/>
                <w:sz w:val="20"/>
              </w:rPr>
              <w:t>Action</w:t>
            </w:r>
          </w:p>
        </w:tc>
        <w:tc>
          <w:tcPr>
            <w:tcW w:type="dxa" w:w="2880"/>
            <w:tcBorders>
              <w:top w:val="single" w:sz="4" w:color="D9D9D9"/>
              <w:left w:val="single" w:sz="4" w:color="D9D9D9"/>
              <w:bottom w:val="single" w:sz="4" w:color="D9D9D9"/>
              <w:right w:val="single" w:sz="4" w:color="D9D9D9"/>
            </w:tcBorders>
            <w:shd w:fill="20354B"/>
          </w:tcPr>
          <w:p>
            <w:pPr>
              <w:spacing w:after="60" w:before="60"/>
            </w:pPr>
            <w:r>
              <w:rPr>
                <w:b/>
                <w:color w:val="FFFFFF"/>
                <w:sz w:val="20"/>
              </w:rPr>
              <w:t>Decision supported</w:t>
            </w:r>
          </w:p>
        </w:tc>
      </w:tr>
      <w:tr>
        <w:tc>
          <w:tcPr>
            <w:tcW w:type="dxa" w:w="936"/>
            <w:tcBorders>
              <w:top w:val="single" w:sz="4" w:color="D9D9D9"/>
              <w:left w:val="single" w:sz="4" w:color="D9D9D9"/>
              <w:bottom w:val="single" w:sz="4" w:color="D9D9D9"/>
              <w:right w:val="single" w:sz="4" w:color="D9D9D9"/>
            </w:tcBorders>
            <w:shd w:fill="F1F4F7"/>
          </w:tcPr>
          <w:p>
            <w:pPr>
              <w:spacing w:after="60" w:before="60"/>
            </w:pPr>
            <w:r>
              <w:rPr>
                <w:sz w:val="20"/>
              </w:rPr>
              <w:t>High</w:t>
            </w:r>
          </w:p>
        </w:tc>
        <w:tc>
          <w:tcPr>
            <w:tcW w:type="dxa" w:w="3888"/>
            <w:tcBorders>
              <w:top w:val="single" w:sz="4" w:color="D9D9D9"/>
              <w:left w:val="single" w:sz="4" w:color="D9D9D9"/>
              <w:bottom w:val="single" w:sz="4" w:color="D9D9D9"/>
              <w:right w:val="single" w:sz="4" w:color="D9D9D9"/>
            </w:tcBorders>
            <w:shd w:fill="F1F4F7"/>
          </w:tcPr>
          <w:p>
            <w:pPr>
              <w:spacing w:after="60" w:before="60"/>
            </w:pPr>
            <w:r>
              <w:rPr>
                <w:sz w:val="20"/>
              </w:rPr>
              <w:t>Investigate the 76 records excluded from stay calculations</w:t>
            </w:r>
          </w:p>
        </w:tc>
        <w:tc>
          <w:tcPr>
            <w:tcW w:type="dxa" w:w="3816"/>
            <w:tcBorders>
              <w:top w:val="single" w:sz="4" w:color="D9D9D9"/>
              <w:left w:val="single" w:sz="4" w:color="D9D9D9"/>
              <w:bottom w:val="single" w:sz="4" w:color="D9D9D9"/>
              <w:right w:val="single" w:sz="4" w:color="D9D9D9"/>
            </w:tcBorders>
            <w:shd w:fill="F1F4F7"/>
          </w:tcPr>
          <w:p>
            <w:pPr>
              <w:spacing w:after="60" w:before="60"/>
            </w:pPr>
            <w:r>
              <w:rPr>
                <w:sz w:val="20"/>
              </w:rPr>
              <w:t>Assess whether stay reporting is sufficiently complete</w:t>
            </w:r>
          </w:p>
        </w:tc>
      </w:tr>
      <w:tr>
        <w:tc>
          <w:tcPr>
            <w:tcW w:type="dxa" w:w="936"/>
            <w:tcBorders>
              <w:top w:val="single" w:sz="4" w:color="D9D9D9"/>
              <w:left w:val="single" w:sz="4" w:color="D9D9D9"/>
              <w:bottom w:val="single" w:sz="4" w:color="D9D9D9"/>
              <w:right w:val="single" w:sz="4" w:color="D9D9D9"/>
            </w:tcBorders>
            <w:shd w:fill="FFFFFF"/>
          </w:tcPr>
          <w:p>
            <w:pPr>
              <w:spacing w:after="60" w:before="60"/>
            </w:pPr>
            <w:r>
              <w:rPr>
                <w:sz w:val="20"/>
              </w:rPr>
              <w:t>High</w:t>
            </w:r>
          </w:p>
        </w:tc>
        <w:tc>
          <w:tcPr>
            <w:tcW w:type="dxa" w:w="3888"/>
            <w:tcBorders>
              <w:top w:val="single" w:sz="4" w:color="D9D9D9"/>
              <w:left w:val="single" w:sz="4" w:color="D9D9D9"/>
              <w:bottom w:val="single" w:sz="4" w:color="D9D9D9"/>
              <w:right w:val="single" w:sz="4" w:color="D9D9D9"/>
            </w:tcBorders>
            <w:shd w:fill="FFFFFF"/>
          </w:tcPr>
          <w:p>
            <w:pPr>
              <w:spacing w:after="60" w:before="60"/>
            </w:pPr>
            <w:r>
              <w:rPr>
                <w:sz w:val="20"/>
              </w:rPr>
              <w:t>Verify exceptional high and negative costs against source evidence</w:t>
            </w:r>
          </w:p>
        </w:tc>
        <w:tc>
          <w:tcPr>
            <w:tcW w:type="dxa" w:w="3816"/>
            <w:tcBorders>
              <w:top w:val="single" w:sz="4" w:color="D9D9D9"/>
              <w:left w:val="single" w:sz="4" w:color="D9D9D9"/>
              <w:bottom w:val="single" w:sz="4" w:color="D9D9D9"/>
              <w:right w:val="single" w:sz="4" w:color="D9D9D9"/>
            </w:tcBorders>
            <w:shd w:fill="FFFFFF"/>
          </w:tcPr>
          <w:p>
            <w:pPr>
              <w:spacing w:after="60" w:before="60"/>
            </w:pPr>
            <w:r>
              <w:rPr>
                <w:sz w:val="20"/>
              </w:rPr>
              <w:t>Assess reliability of costs before financial planning</w:t>
            </w:r>
          </w:p>
        </w:tc>
      </w:tr>
      <w:tr>
        <w:tc>
          <w:tcPr>
            <w:tcW w:type="dxa" w:w="936"/>
            <w:tcBorders>
              <w:top w:val="single" w:sz="4" w:color="D9D9D9"/>
              <w:left w:val="single" w:sz="4" w:color="D9D9D9"/>
              <w:bottom w:val="single" w:sz="4" w:color="D9D9D9"/>
              <w:right w:val="single" w:sz="4" w:color="D9D9D9"/>
            </w:tcBorders>
            <w:shd w:fill="F1F4F7"/>
          </w:tcPr>
          <w:p>
            <w:pPr>
              <w:spacing w:after="60" w:before="60"/>
            </w:pPr>
            <w:r>
              <w:rPr>
                <w:sz w:val="20"/>
              </w:rPr>
              <w:t>High</w:t>
            </w:r>
          </w:p>
        </w:tc>
        <w:tc>
          <w:tcPr>
            <w:tcW w:type="dxa" w:w="3888"/>
            <w:tcBorders>
              <w:top w:val="single" w:sz="4" w:color="D9D9D9"/>
              <w:left w:val="single" w:sz="4" w:color="D9D9D9"/>
              <w:bottom w:val="single" w:sz="4" w:color="D9D9D9"/>
              <w:right w:val="single" w:sz="4" w:color="D9D9D9"/>
            </w:tcBorders>
            <w:shd w:fill="F1F4F7"/>
          </w:tcPr>
          <w:p>
            <w:pPr>
              <w:spacing w:after="60" w:before="60"/>
            </w:pPr>
            <w:r>
              <w:rPr>
                <w:sz w:val="20"/>
              </w:rPr>
              <w:t>Resolve missing department classifications</w:t>
            </w:r>
          </w:p>
        </w:tc>
        <w:tc>
          <w:tcPr>
            <w:tcW w:type="dxa" w:w="3816"/>
            <w:tcBorders>
              <w:top w:val="single" w:sz="4" w:color="D9D9D9"/>
              <w:left w:val="single" w:sz="4" w:color="D9D9D9"/>
              <w:bottom w:val="single" w:sz="4" w:color="D9D9D9"/>
              <w:right w:val="single" w:sz="4" w:color="D9D9D9"/>
            </w:tcBorders>
            <w:shd w:fill="F1F4F7"/>
          </w:tcPr>
          <w:p>
            <w:pPr>
              <w:spacing w:after="60" w:before="60"/>
            </w:pPr>
            <w:r>
              <w:rPr>
                <w:sz w:val="20"/>
              </w:rPr>
              <w:t>Attribute activity and costs appropriately</w:t>
            </w:r>
          </w:p>
        </w:tc>
      </w:tr>
      <w:tr>
        <w:tc>
          <w:tcPr>
            <w:tcW w:type="dxa" w:w="936"/>
            <w:tcBorders>
              <w:top w:val="single" w:sz="4" w:color="D9D9D9"/>
              <w:left w:val="single" w:sz="4" w:color="D9D9D9"/>
              <w:bottom w:val="single" w:sz="4" w:color="D9D9D9"/>
              <w:right w:val="single" w:sz="4" w:color="D9D9D9"/>
            </w:tcBorders>
            <w:shd w:fill="FFFFFF"/>
          </w:tcPr>
          <w:p>
            <w:pPr>
              <w:spacing w:after="60" w:before="60"/>
            </w:pPr>
            <w:r>
              <w:rPr>
                <w:sz w:val="20"/>
              </w:rPr>
              <w:t>Medium</w:t>
            </w:r>
          </w:p>
        </w:tc>
        <w:tc>
          <w:tcPr>
            <w:tcW w:type="dxa" w:w="3888"/>
            <w:tcBorders>
              <w:top w:val="single" w:sz="4" w:color="D9D9D9"/>
              <w:left w:val="single" w:sz="4" w:color="D9D9D9"/>
              <w:bottom w:val="single" w:sz="4" w:color="D9D9D9"/>
              <w:right w:val="single" w:sz="4" w:color="D9D9D9"/>
            </w:tcBorders>
            <w:shd w:fill="FFFFFF"/>
          </w:tcPr>
          <w:p>
            <w:pPr>
              <w:spacing w:after="60" w:before="60"/>
            </w:pPr>
            <w:r>
              <w:rPr>
                <w:sz w:val="20"/>
              </w:rPr>
              <w:t>Compare admissions with staff hours, capacity and case complexity</w:t>
            </w:r>
          </w:p>
        </w:tc>
        <w:tc>
          <w:tcPr>
            <w:tcW w:type="dxa" w:w="3816"/>
            <w:tcBorders>
              <w:top w:val="single" w:sz="4" w:color="D9D9D9"/>
              <w:left w:val="single" w:sz="4" w:color="D9D9D9"/>
              <w:bottom w:val="single" w:sz="4" w:color="D9D9D9"/>
              <w:right w:val="single" w:sz="4" w:color="D9D9D9"/>
            </w:tcBorders>
            <w:shd w:fill="FFFFFF"/>
          </w:tcPr>
          <w:p>
            <w:pPr>
              <w:spacing w:after="60" w:before="60"/>
            </w:pPr>
            <w:r>
              <w:rPr>
                <w:sz w:val="20"/>
              </w:rPr>
              <w:t>Identify areas requiring capacity review</w:t>
            </w:r>
          </w:p>
        </w:tc>
      </w:tr>
      <w:tr>
        <w:tc>
          <w:tcPr>
            <w:tcW w:type="dxa" w:w="936"/>
            <w:tcBorders>
              <w:top w:val="single" w:sz="4" w:color="D9D9D9"/>
              <w:left w:val="single" w:sz="4" w:color="D9D9D9"/>
              <w:bottom w:val="single" w:sz="4" w:color="D9D9D9"/>
              <w:right w:val="single" w:sz="4" w:color="D9D9D9"/>
            </w:tcBorders>
            <w:shd w:fill="F1F4F7"/>
          </w:tcPr>
          <w:p>
            <w:pPr>
              <w:spacing w:after="60" w:before="60"/>
            </w:pPr>
            <w:r>
              <w:rPr>
                <w:sz w:val="20"/>
              </w:rPr>
              <w:t>Medium</w:t>
            </w:r>
          </w:p>
        </w:tc>
        <w:tc>
          <w:tcPr>
            <w:tcW w:type="dxa" w:w="3888"/>
            <w:tcBorders>
              <w:top w:val="single" w:sz="4" w:color="D9D9D9"/>
              <w:left w:val="single" w:sz="4" w:color="D9D9D9"/>
              <w:bottom w:val="single" w:sz="4" w:color="D9D9D9"/>
              <w:right w:val="single" w:sz="4" w:color="D9D9D9"/>
            </w:tcBorders>
            <w:shd w:fill="F1F4F7"/>
          </w:tcPr>
          <w:p>
            <w:pPr>
              <w:spacing w:after="60" w:before="60"/>
            </w:pPr>
            <w:r>
              <w:rPr>
                <w:sz w:val="20"/>
              </w:rPr>
              <w:t>Review stay by diagnosis, department and funding category</w:t>
            </w:r>
          </w:p>
        </w:tc>
        <w:tc>
          <w:tcPr>
            <w:tcW w:type="dxa" w:w="3816"/>
            <w:tcBorders>
              <w:top w:val="single" w:sz="4" w:color="D9D9D9"/>
              <w:left w:val="single" w:sz="4" w:color="D9D9D9"/>
              <w:bottom w:val="single" w:sz="4" w:color="D9D9D9"/>
              <w:right w:val="single" w:sz="4" w:color="D9D9D9"/>
            </w:tcBorders>
            <w:shd w:fill="F1F4F7"/>
          </w:tcPr>
          <w:p>
            <w:pPr>
              <w:spacing w:after="60" w:before="60"/>
            </w:pPr>
            <w:r>
              <w:rPr>
                <w:sz w:val="20"/>
              </w:rPr>
              <w:t>Select pathways for further investigation</w:t>
            </w:r>
          </w:p>
        </w:tc>
      </w:tr>
      <w:tr>
        <w:tc>
          <w:tcPr>
            <w:tcW w:type="dxa" w:w="936"/>
            <w:tcBorders>
              <w:top w:val="single" w:sz="4" w:color="D9D9D9"/>
              <w:left w:val="single" w:sz="4" w:color="D9D9D9"/>
              <w:bottom w:val="single" w:sz="4" w:color="D9D9D9"/>
              <w:right w:val="single" w:sz="4" w:color="D9D9D9"/>
            </w:tcBorders>
            <w:shd w:fill="FFFFFF"/>
          </w:tcPr>
          <w:p>
            <w:pPr>
              <w:spacing w:after="60" w:before="60"/>
            </w:pPr>
            <w:r>
              <w:rPr>
                <w:sz w:val="20"/>
              </w:rPr>
              <w:t>Medium</w:t>
            </w:r>
          </w:p>
        </w:tc>
        <w:tc>
          <w:tcPr>
            <w:tcW w:type="dxa" w:w="3888"/>
            <w:tcBorders>
              <w:top w:val="single" w:sz="4" w:color="D9D9D9"/>
              <w:left w:val="single" w:sz="4" w:color="D9D9D9"/>
              <w:bottom w:val="single" w:sz="4" w:color="D9D9D9"/>
              <w:right w:val="single" w:sz="4" w:color="D9D9D9"/>
            </w:tcBorders>
            <w:shd w:fill="FFFFFF"/>
          </w:tcPr>
          <w:p>
            <w:pPr>
              <w:spacing w:after="60" w:before="60"/>
            </w:pPr>
            <w:r>
              <w:rPr>
                <w:sz w:val="20"/>
              </w:rPr>
              <w:t>Add cost per admission and median cost</w:t>
            </w:r>
          </w:p>
        </w:tc>
        <w:tc>
          <w:tcPr>
            <w:tcW w:type="dxa" w:w="3816"/>
            <w:tcBorders>
              <w:top w:val="single" w:sz="4" w:color="D9D9D9"/>
              <w:left w:val="single" w:sz="4" w:color="D9D9D9"/>
              <w:bottom w:val="single" w:sz="4" w:color="D9D9D9"/>
              <w:right w:val="single" w:sz="4" w:color="D9D9D9"/>
            </w:tcBorders>
            <w:shd w:fill="FFFFFF"/>
          </w:tcPr>
          <w:p>
            <w:pPr>
              <w:spacing w:after="60" w:before="60"/>
            </w:pPr>
            <w:r>
              <w:rPr>
                <w:sz w:val="20"/>
              </w:rPr>
              <w:t>Distinguish volume effects from expensive cases</w:t>
            </w:r>
          </w:p>
        </w:tc>
      </w:tr>
    </w:tbl>
    <w:p>
      <w:r>
        <w:t>These are recommendations for investigation. The fictional dataset does not demonstrate that staffing changes, budget reductions or pathway changes would improve real hospital outcomes.</w:t>
      </w:r>
    </w:p>
    <w:p>
      <w:pPr>
        <w:pStyle w:val="Heading1"/>
      </w:pPr>
      <w:r>
        <w:t>7 Dashboard use and reporting controls</w:t>
      </w:r>
    </w:p>
    <w:p>
      <w:r>
        <w:t>Users can select a department and funding category to explore the charts. Clear both slicers before quoting the overall figures in this report.</w:t>
      </w:r>
    </w:p>
    <w:p>
      <w:r>
        <w:t>KPI cards linked to PivotTable totals can respond to slicers. A card retaining a full-dataset formula must be labelled All Data so it is not mistaken for a filtered result. Test each card against the corresponding filtered PivotTable before publication.</w:t>
      </w:r>
    </w:p>
    <w:p>
      <w:r>
        <w:t>The valid stay count was initially calculated from the entire calculated-stay column. Unless it has subsequently been linked to a filtered count, the 429 card is an all-data completeness measure.</w:t>
      </w:r>
    </w:p>
    <w:p>
      <w:r>
        <w:t>Recommended dashboard note: Fictional practice data. Overall stay average uses 429 of 505 admissions; 76 excluded due to missing or invalid dates. Costs exclude negatives and include high values pending review.</w:t>
      </w:r>
    </w:p>
    <w:p>
      <w:pPr>
        <w:pStyle w:val="Heading1"/>
      </w:pPr>
      <w:r>
        <w:t>8 Limitations</w:t>
      </w:r>
    </w:p>
    <w:p>
      <w:pPr>
        <w:pStyle w:val="ListBullet"/>
      </w:pPr>
      <w:r>
        <w:t>The dataset is synthetic and intended for portfolio practice.</w:t>
      </w:r>
    </w:p>
    <w:p>
      <w:pPr>
        <w:pStyle w:val="ListBullet"/>
      </w:pPr>
      <w:r>
        <w:t>Stay analysis excludes 76 admissions and may be affected by missing-data patterns.</w:t>
      </w:r>
    </w:p>
    <w:p>
      <w:pPr>
        <w:pStyle w:val="ListBullet"/>
      </w:pPr>
      <w:r>
        <w:t>High costs awaiting review can materially affect totals and comparisons.</w:t>
      </w:r>
    </w:p>
    <w:p>
      <w:pPr>
        <w:pStyle w:val="ListBullet"/>
      </w:pPr>
      <w:r>
        <w:t>Blank department values limit reliable attribution.</w:t>
      </w:r>
    </w:p>
    <w:p>
      <w:pPr>
        <w:pStyle w:val="ListBullet"/>
      </w:pPr>
      <w:r>
        <w:t>Recorded stay discrepancies remain review issues; calculated stay is used for analysis.</w:t>
      </w:r>
    </w:p>
    <w:p>
      <w:pPr>
        <w:pStyle w:val="ListBullet"/>
      </w:pPr>
      <w:r>
        <w:t>Admission counts are not unique patient counts.</w:t>
      </w:r>
    </w:p>
    <w:p>
      <w:pPr>
        <w:pStyle w:val="ListBullet"/>
      </w:pPr>
      <w:r>
        <w:t>Bed_Occupied is an admission flag. It cannot establish occupancy rates without bed capacity and time-based utilisation data.</w:t>
      </w:r>
    </w:p>
    <w:p>
      <w:pPr>
        <w:pStyle w:val="ListBullet"/>
      </w:pPr>
      <w:r>
        <w:t>The analysis is descriptive and does not establish causation or performance against NHS benchmarks.</w:t>
      </w:r>
    </w:p>
    <w:p>
      <w:pPr>
        <w:pStyle w:val="Heading1"/>
      </w:pPr>
      <w:r>
        <w:t>9 Skills demonstrated</w:t>
      </w:r>
    </w:p>
    <w:p>
      <w:r>
        <w:t>The project demonstrates source preservation, data cleaning, category standardisation, duplicate review, date and numeric validation, missing-data handling, calculated fields, exception checks, PivotTables, PivotCharts, slicers and KPI presentation.</w:t>
      </w:r>
    </w:p>
    <w:p>
      <w:r>
        <w:t>It also demonstrates reconciliation of headline figures with supporting summaries and communication of limitations and practical recommendations.</w:t>
      </w:r>
    </w:p>
    <w:p>
      <w:pPr>
        <w:pStyle w:val="Heading1"/>
      </w:pPr>
      <w:r>
        <w:t>10 Conclusion</w:t>
      </w:r>
    </w:p>
    <w:p>
      <w:r>
        <w:t>The project transformed an uncleaned fictional hospital dataset into a structured Excel analysis covering 505 admissions. It provides a reproducible example of progressing from source review to dashboard reporting and interpretation.</w:t>
      </w:r>
    </w:p>
    <w:p>
      <w:r>
        <w:t>The immediate priorities for a comparable operational project would be to improve date completeness, verify exceptional costs and resolve missing department classifications before relying on the results for resource decisions.</w:t>
      </w:r>
    </w:p>
    <w:p>
      <w:r>
        <w:t>Portfolio: github.com/samuel-faremola/Data-Analytics-Portfolio</w:t>
      </w:r>
    </w:p>
    <w:sectPr w:rsidR="00FC693F" w:rsidRPr="0006063C" w:rsidSect="00034616">
      <w:footerReference w:type="default" r:id="rId9"/>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Samuel Faremola | UK Hospital Admissions |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