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Japan Logistics Delivery Analysis</w:t>
      </w:r>
    </w:p>
    <w:p>
      <w:r>
        <w:t>Prepared by Samuel Faremola | Excel portfolio project | 24 October 2026</w:t>
      </w:r>
    </w:p>
    <w:p>
      <w:pPr>
        <w:pStyle w:val="Heading1"/>
      </w:pPr>
      <w:r>
        <w:t>Executive findings</w:t>
      </w:r>
    </w:p>
    <w:p>
      <w:r>
        <w:t>The fictional dataset contains 500 shipments ordered during 2025. Of these, 308 were delivered on time (61.6%) and 192 were late (38.4%). Revenue totalled JPY 4,631,502.92. Aichi had both the highest number of late shipments and the highest regional late rate, making it the clearest regional investigation priority.</w:t>
      </w:r>
    </w:p>
    <w:p>
      <w:r>
        <w:t>Express had the shortest average delivery duration but the highest late rate among shipping modes. This highlights why delivery speed and compliance with promised dates should be monitored separately.</w:t>
      </w:r>
    </w:p>
    <w:p>
      <w:pPr>
        <w:pStyle w:val="Heading1"/>
      </w:pPr>
      <w:r>
        <w:t>Scope and methodology</w:t>
      </w:r>
    </w:p>
    <w:p>
      <w:r>
        <w:t>Source: Japan_Logistics_Delivery(sample).xlsx, principally Data, with reconciliation to METRICS and the five saved PivotTables. The Tasks sheet labels the workbook as fictional practice data. Each source row represents one shipment. Order dates cover 1 January to 31 December 2025. Results describe this practice scenario and should not be presented as actual Japanese logistics market performance.</w:t>
      </w:r>
    </w:p>
    <w:p>
      <w:r>
        <w:t>The analysis groups shipments by destination, carrier, shipping mode and product category. Late rates use the shipment count within each group as the denominator. Customer ratings and delivery durations are arithmetic means. Figures are rounded for display, with calculations based on unrounded source values.</w:t>
      </w:r>
    </w:p>
    <w:p>
      <w:pPr>
        <w:pStyle w:val="Heading1"/>
      </w:pPr>
      <w:r>
        <w:t>Overall performance</w:t>
      </w:r>
    </w:p>
    <w:tbl>
      <w:tblPr>
        <w:tblStyle w:val="TableGrid"/>
        <w:tblW w:type="auto" w:w="0"/>
        <w:tblLook w:firstColumn="1" w:firstRow="1" w:lastColumn="0" w:lastRow="0" w:noHBand="0" w:noVBand="1" w:val="04A0"/>
      </w:tblPr>
      <w:tblGrid>
        <w:gridCol w:w="4320"/>
        <w:gridCol w:w="4320"/>
      </w:tblGrid>
      <w:tr>
        <w:tc>
          <w:tcPr>
            <w:tcW w:type="dxa" w:w="4320"/>
            <w:tcBorders>
              <w:top w:val="single" w:sz="4" w:color="D9D9D9"/>
              <w:left w:val="single" w:sz="4" w:color="D9D9D9"/>
              <w:bottom w:val="single" w:sz="4" w:color="D9D9D9"/>
              <w:right w:val="single" w:sz="4" w:color="D9D9D9"/>
            </w:tcBorders>
            <w:shd w:fill="E7E6E6"/>
          </w:tcPr>
          <w:p>
            <w:r>
              <w:t>Measure</w:t>
            </w:r>
          </w:p>
        </w:tc>
        <w:tc>
          <w:tcPr>
            <w:tcW w:type="dxa" w:w="4320"/>
            <w:tcBorders>
              <w:top w:val="single" w:sz="4" w:color="D9D9D9"/>
              <w:left w:val="single" w:sz="4" w:color="D9D9D9"/>
              <w:bottom w:val="single" w:sz="4" w:color="D9D9D9"/>
              <w:right w:val="single" w:sz="4" w:color="D9D9D9"/>
            </w:tcBorders>
            <w:shd w:fill="E7E6E6"/>
          </w:tcPr>
          <w:p>
            <w:r>
              <w:t>Full dataset result</w:t>
            </w:r>
          </w:p>
        </w:tc>
      </w:tr>
      <w:tr>
        <w:tc>
          <w:tcPr>
            <w:tcW w:type="dxa" w:w="4320"/>
            <w:tcBorders>
              <w:top w:val="single" w:sz="4" w:color="D9D9D9"/>
              <w:left w:val="single" w:sz="4" w:color="D9D9D9"/>
              <w:bottom w:val="single" w:sz="4" w:color="D9D9D9"/>
              <w:right w:val="single" w:sz="4" w:color="D9D9D9"/>
            </w:tcBorders>
          </w:tcPr>
          <w:p>
            <w:r>
              <w:t>Total shipments</w:t>
            </w:r>
          </w:p>
        </w:tc>
        <w:tc>
          <w:tcPr>
            <w:tcW w:type="dxa" w:w="4320"/>
            <w:tcBorders>
              <w:top w:val="single" w:sz="4" w:color="D9D9D9"/>
              <w:left w:val="single" w:sz="4" w:color="D9D9D9"/>
              <w:bottom w:val="single" w:sz="4" w:color="D9D9D9"/>
              <w:right w:val="single" w:sz="4" w:color="D9D9D9"/>
            </w:tcBorders>
          </w:tcPr>
          <w:p>
            <w:r>
              <w:t>500</w:t>
            </w:r>
          </w:p>
        </w:tc>
      </w:tr>
      <w:tr>
        <w:tc>
          <w:tcPr>
            <w:tcW w:type="dxa" w:w="4320"/>
            <w:tcBorders>
              <w:top w:val="single" w:sz="4" w:color="D9D9D9"/>
              <w:left w:val="single" w:sz="4" w:color="D9D9D9"/>
              <w:bottom w:val="single" w:sz="4" w:color="D9D9D9"/>
              <w:right w:val="single" w:sz="4" w:color="D9D9D9"/>
            </w:tcBorders>
          </w:tcPr>
          <w:p>
            <w:r>
              <w:t>On time</w:t>
            </w:r>
          </w:p>
        </w:tc>
        <w:tc>
          <w:tcPr>
            <w:tcW w:type="dxa" w:w="4320"/>
            <w:tcBorders>
              <w:top w:val="single" w:sz="4" w:color="D9D9D9"/>
              <w:left w:val="single" w:sz="4" w:color="D9D9D9"/>
              <w:bottom w:val="single" w:sz="4" w:color="D9D9D9"/>
              <w:right w:val="single" w:sz="4" w:color="D9D9D9"/>
            </w:tcBorders>
          </w:tcPr>
          <w:p>
            <w:r>
              <w:t>308 | 61.6%</w:t>
            </w:r>
          </w:p>
        </w:tc>
      </w:tr>
      <w:tr>
        <w:tc>
          <w:tcPr>
            <w:tcW w:type="dxa" w:w="4320"/>
            <w:tcBorders>
              <w:top w:val="single" w:sz="4" w:color="D9D9D9"/>
              <w:left w:val="single" w:sz="4" w:color="D9D9D9"/>
              <w:bottom w:val="single" w:sz="4" w:color="D9D9D9"/>
              <w:right w:val="single" w:sz="4" w:color="D9D9D9"/>
            </w:tcBorders>
          </w:tcPr>
          <w:p>
            <w:r>
              <w:t>Late</w:t>
            </w:r>
          </w:p>
        </w:tc>
        <w:tc>
          <w:tcPr>
            <w:tcW w:type="dxa" w:w="4320"/>
            <w:tcBorders>
              <w:top w:val="single" w:sz="4" w:color="D9D9D9"/>
              <w:left w:val="single" w:sz="4" w:color="D9D9D9"/>
              <w:bottom w:val="single" w:sz="4" w:color="D9D9D9"/>
              <w:right w:val="single" w:sz="4" w:color="D9D9D9"/>
            </w:tcBorders>
          </w:tcPr>
          <w:p>
            <w:r>
              <w:t>192 | 38.4%</w:t>
            </w:r>
          </w:p>
        </w:tc>
      </w:tr>
      <w:tr>
        <w:tc>
          <w:tcPr>
            <w:tcW w:type="dxa" w:w="4320"/>
            <w:tcBorders>
              <w:top w:val="single" w:sz="4" w:color="D9D9D9"/>
              <w:left w:val="single" w:sz="4" w:color="D9D9D9"/>
              <w:bottom w:val="single" w:sz="4" w:color="D9D9D9"/>
              <w:right w:val="single" w:sz="4" w:color="D9D9D9"/>
            </w:tcBorders>
          </w:tcPr>
          <w:p>
            <w:r>
              <w:t>Average delivery duration</w:t>
            </w:r>
          </w:p>
        </w:tc>
        <w:tc>
          <w:tcPr>
            <w:tcW w:type="dxa" w:w="4320"/>
            <w:tcBorders>
              <w:top w:val="single" w:sz="4" w:color="D9D9D9"/>
              <w:left w:val="single" w:sz="4" w:color="D9D9D9"/>
              <w:bottom w:val="single" w:sz="4" w:color="D9D9D9"/>
              <w:right w:val="single" w:sz="4" w:color="D9D9D9"/>
            </w:tcBorders>
          </w:tcPr>
          <w:p>
            <w:r>
              <w:t>4.96 days from dispatch</w:t>
            </w:r>
          </w:p>
        </w:tc>
      </w:tr>
      <w:tr>
        <w:tc>
          <w:tcPr>
            <w:tcW w:type="dxa" w:w="4320"/>
            <w:tcBorders>
              <w:top w:val="single" w:sz="4" w:color="D9D9D9"/>
              <w:left w:val="single" w:sz="4" w:color="D9D9D9"/>
              <w:bottom w:val="single" w:sz="4" w:color="D9D9D9"/>
              <w:right w:val="single" w:sz="4" w:color="D9D9D9"/>
            </w:tcBorders>
          </w:tcPr>
          <w:p>
            <w:r>
              <w:t>Average customer rating</w:t>
            </w:r>
          </w:p>
        </w:tc>
        <w:tc>
          <w:tcPr>
            <w:tcW w:type="dxa" w:w="4320"/>
            <w:tcBorders>
              <w:top w:val="single" w:sz="4" w:color="D9D9D9"/>
              <w:left w:val="single" w:sz="4" w:color="D9D9D9"/>
              <w:bottom w:val="single" w:sz="4" w:color="D9D9D9"/>
              <w:right w:val="single" w:sz="4" w:color="D9D9D9"/>
            </w:tcBorders>
          </w:tcPr>
          <w:p>
            <w:r>
              <w:t>4.64 out of 5</w:t>
            </w:r>
          </w:p>
        </w:tc>
      </w:tr>
      <w:tr>
        <w:tc>
          <w:tcPr>
            <w:tcW w:type="dxa" w:w="4320"/>
            <w:tcBorders>
              <w:top w:val="single" w:sz="4" w:color="D9D9D9"/>
              <w:left w:val="single" w:sz="4" w:color="D9D9D9"/>
              <w:bottom w:val="single" w:sz="4" w:color="D9D9D9"/>
              <w:right w:val="single" w:sz="4" w:color="D9D9D9"/>
            </w:tcBorders>
          </w:tcPr>
          <w:p>
            <w:r>
              <w:t>Revenue</w:t>
            </w:r>
          </w:p>
        </w:tc>
        <w:tc>
          <w:tcPr>
            <w:tcW w:type="dxa" w:w="4320"/>
            <w:tcBorders>
              <w:top w:val="single" w:sz="4" w:color="D9D9D9"/>
              <w:left w:val="single" w:sz="4" w:color="D9D9D9"/>
              <w:bottom w:val="single" w:sz="4" w:color="D9D9D9"/>
              <w:right w:val="single" w:sz="4" w:color="D9D9D9"/>
            </w:tcBorders>
          </w:tcPr>
          <w:p>
            <w:r>
              <w:t>JPY 4,631,502.92</w:t>
            </w:r>
          </w:p>
        </w:tc>
      </w:tr>
      <w:tr>
        <w:tc>
          <w:tcPr>
            <w:tcW w:type="dxa" w:w="4320"/>
            <w:tcBorders>
              <w:top w:val="single" w:sz="4" w:color="D9D9D9"/>
              <w:left w:val="single" w:sz="4" w:color="D9D9D9"/>
              <w:bottom w:val="single" w:sz="4" w:color="D9D9D9"/>
              <w:right w:val="single" w:sz="4" w:color="D9D9D9"/>
            </w:tcBorders>
          </w:tcPr>
          <w:p>
            <w:r>
              <w:t>Shipping cost</w:t>
            </w:r>
          </w:p>
        </w:tc>
        <w:tc>
          <w:tcPr>
            <w:tcW w:type="dxa" w:w="4320"/>
            <w:tcBorders>
              <w:top w:val="single" w:sz="4" w:color="D9D9D9"/>
              <w:left w:val="single" w:sz="4" w:color="D9D9D9"/>
              <w:bottom w:val="single" w:sz="4" w:color="D9D9D9"/>
              <w:right w:val="single" w:sz="4" w:color="D9D9D9"/>
            </w:tcBorders>
          </w:tcPr>
          <w:p>
            <w:r>
              <w:t>JPY 2,775,450.60</w:t>
            </w:r>
          </w:p>
        </w:tc>
      </w:tr>
      <w:tr>
        <w:tc>
          <w:tcPr>
            <w:tcW w:type="dxa" w:w="4320"/>
            <w:tcBorders>
              <w:top w:val="single" w:sz="4" w:color="D9D9D9"/>
              <w:left w:val="single" w:sz="4" w:color="D9D9D9"/>
              <w:bottom w:val="single" w:sz="4" w:color="D9D9D9"/>
              <w:right w:val="single" w:sz="4" w:color="D9D9D9"/>
            </w:tcBorders>
          </w:tcPr>
          <w:p>
            <w:r>
              <w:t>Revenue less shipping cost</w:t>
            </w:r>
          </w:p>
        </w:tc>
        <w:tc>
          <w:tcPr>
            <w:tcW w:type="dxa" w:w="4320"/>
            <w:tcBorders>
              <w:top w:val="single" w:sz="4" w:color="D9D9D9"/>
              <w:left w:val="single" w:sz="4" w:color="D9D9D9"/>
              <w:bottom w:val="single" w:sz="4" w:color="D9D9D9"/>
              <w:right w:val="single" w:sz="4" w:color="D9D9D9"/>
            </w:tcBorders>
          </w:tcPr>
          <w:p>
            <w:r>
              <w:t>JPY 1,856,052.32 | 40.1% of revenue</w:t>
            </w:r>
          </w:p>
        </w:tc>
      </w:tr>
      <w:tr>
        <w:tc>
          <w:tcPr>
            <w:tcW w:type="dxa" w:w="4320"/>
            <w:tcBorders>
              <w:top w:val="single" w:sz="4" w:color="D9D9D9"/>
              <w:left w:val="single" w:sz="4" w:color="D9D9D9"/>
              <w:bottom w:val="single" w:sz="4" w:color="D9D9D9"/>
              <w:right w:val="single" w:sz="4" w:color="D9D9D9"/>
            </w:tcBorders>
          </w:tcPr>
          <w:p>
            <w:r>
              <w:t>Returned shipments</w:t>
            </w:r>
          </w:p>
        </w:tc>
        <w:tc>
          <w:tcPr>
            <w:tcW w:type="dxa" w:w="4320"/>
            <w:tcBorders>
              <w:top w:val="single" w:sz="4" w:color="D9D9D9"/>
              <w:left w:val="single" w:sz="4" w:color="D9D9D9"/>
              <w:bottom w:val="single" w:sz="4" w:color="D9D9D9"/>
              <w:right w:val="single" w:sz="4" w:color="D9D9D9"/>
            </w:tcBorders>
          </w:tcPr>
          <w:p>
            <w:r>
              <w:t>20 | 4.0%</w:t>
            </w:r>
          </w:p>
        </w:tc>
      </w:tr>
    </w:tbl>
    <w:p>
      <w:r>
        <w:t>Revenue less shipping cost is a contribution measure before other expenses, not net profit. The workbook does not include all operating costs.</w:t>
      </w:r>
    </w:p>
    <w:p>
      <w:pPr>
        <w:pStyle w:val="Heading1"/>
      </w:pPr>
      <w:r>
        <w:t>Data quality and reconciliation</w:t>
      </w:r>
    </w:p>
    <w:p>
      <w:r>
        <w:t>There are 500 unique shipment IDs and no duplicate source rows. One Origin City value is missing for shipment JP-00028. All headline KPI fields are complete. Delivery Days and Delay Days match their respective date calculations for every shipment. The five headline KPIs reconcile with the saved METRICS sheet.</w:t>
      </w:r>
    </w:p>
    <w:p>
      <w:r>
        <w:t>The missing origin city does not affect these overall or destination-level calculations, but it should be checked against the original source before analysing routes. No replacement value was assumed and the supplied workbook was not altered.</w:t>
      </w:r>
    </w:p>
    <w:p>
      <w:r>
        <w:br w:type="page"/>
      </w:r>
    </w:p>
    <w:p>
      <w:pPr>
        <w:pStyle w:val="Heading1"/>
      </w:pPr>
      <w:r>
        <w:t>Regional delivery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Borders>
              <w:top w:val="single" w:sz="4" w:color="D9D9D9"/>
              <w:left w:val="single" w:sz="4" w:color="D9D9D9"/>
              <w:bottom w:val="single" w:sz="4" w:color="D9D9D9"/>
              <w:right w:val="single" w:sz="4" w:color="D9D9D9"/>
            </w:tcBorders>
            <w:shd w:fill="E7E6E6"/>
          </w:tcPr>
          <w:p>
            <w:r>
              <w:t>Destination</w:t>
            </w:r>
          </w:p>
        </w:tc>
        <w:tc>
          <w:tcPr>
            <w:tcW w:type="dxa" w:w="2160"/>
            <w:tcBorders>
              <w:top w:val="single" w:sz="4" w:color="D9D9D9"/>
              <w:left w:val="single" w:sz="4" w:color="D9D9D9"/>
              <w:bottom w:val="single" w:sz="4" w:color="D9D9D9"/>
              <w:right w:val="single" w:sz="4" w:color="D9D9D9"/>
            </w:tcBorders>
            <w:shd w:fill="E7E6E6"/>
          </w:tcPr>
          <w:p>
            <w:r>
              <w:t>Shipments</w:t>
            </w:r>
          </w:p>
        </w:tc>
        <w:tc>
          <w:tcPr>
            <w:tcW w:type="dxa" w:w="2160"/>
            <w:tcBorders>
              <w:top w:val="single" w:sz="4" w:color="D9D9D9"/>
              <w:left w:val="single" w:sz="4" w:color="D9D9D9"/>
              <w:bottom w:val="single" w:sz="4" w:color="D9D9D9"/>
              <w:right w:val="single" w:sz="4" w:color="D9D9D9"/>
            </w:tcBorders>
            <w:shd w:fill="E7E6E6"/>
          </w:tcPr>
          <w:p>
            <w:r>
              <w:t>Late</w:t>
            </w:r>
          </w:p>
        </w:tc>
        <w:tc>
          <w:tcPr>
            <w:tcW w:type="dxa" w:w="2160"/>
            <w:tcBorders>
              <w:top w:val="single" w:sz="4" w:color="D9D9D9"/>
              <w:left w:val="single" w:sz="4" w:color="D9D9D9"/>
              <w:bottom w:val="single" w:sz="4" w:color="D9D9D9"/>
              <w:right w:val="single" w:sz="4" w:color="D9D9D9"/>
            </w:tcBorders>
            <w:shd w:fill="E7E6E6"/>
          </w:tcPr>
          <w:p>
            <w:r>
              <w:t>Late rate</w:t>
            </w:r>
          </w:p>
        </w:tc>
      </w:tr>
      <w:tr>
        <w:tc>
          <w:tcPr>
            <w:tcW w:type="dxa" w:w="2160"/>
            <w:tcBorders>
              <w:top w:val="single" w:sz="4" w:color="D9D9D9"/>
              <w:left w:val="single" w:sz="4" w:color="D9D9D9"/>
              <w:bottom w:val="single" w:sz="4" w:color="D9D9D9"/>
              <w:right w:val="single" w:sz="4" w:color="D9D9D9"/>
            </w:tcBorders>
          </w:tcPr>
          <w:p>
            <w:r>
              <w:t>Aichi</w:t>
            </w:r>
          </w:p>
        </w:tc>
        <w:tc>
          <w:tcPr>
            <w:tcW w:type="dxa" w:w="2160"/>
            <w:tcBorders>
              <w:top w:val="single" w:sz="4" w:color="D9D9D9"/>
              <w:left w:val="single" w:sz="4" w:color="D9D9D9"/>
              <w:bottom w:val="single" w:sz="4" w:color="D9D9D9"/>
              <w:right w:val="single" w:sz="4" w:color="D9D9D9"/>
            </w:tcBorders>
          </w:tcPr>
          <w:p>
            <w:r>
              <w:t>102</w:t>
            </w:r>
          </w:p>
        </w:tc>
        <w:tc>
          <w:tcPr>
            <w:tcW w:type="dxa" w:w="2160"/>
            <w:tcBorders>
              <w:top w:val="single" w:sz="4" w:color="D9D9D9"/>
              <w:left w:val="single" w:sz="4" w:color="D9D9D9"/>
              <w:bottom w:val="single" w:sz="4" w:color="D9D9D9"/>
              <w:right w:val="single" w:sz="4" w:color="D9D9D9"/>
            </w:tcBorders>
          </w:tcPr>
          <w:p>
            <w:r>
              <w:t>46</w:t>
            </w:r>
          </w:p>
        </w:tc>
        <w:tc>
          <w:tcPr>
            <w:tcW w:type="dxa" w:w="2160"/>
            <w:tcBorders>
              <w:top w:val="single" w:sz="4" w:color="D9D9D9"/>
              <w:left w:val="single" w:sz="4" w:color="D9D9D9"/>
              <w:bottom w:val="single" w:sz="4" w:color="D9D9D9"/>
              <w:right w:val="single" w:sz="4" w:color="D9D9D9"/>
            </w:tcBorders>
          </w:tcPr>
          <w:p>
            <w:r>
              <w:t>45.1%</w:t>
            </w:r>
          </w:p>
        </w:tc>
      </w:tr>
      <w:tr>
        <w:tc>
          <w:tcPr>
            <w:tcW w:type="dxa" w:w="2160"/>
            <w:tcBorders>
              <w:top w:val="single" w:sz="4" w:color="D9D9D9"/>
              <w:left w:val="single" w:sz="4" w:color="D9D9D9"/>
              <w:bottom w:val="single" w:sz="4" w:color="D9D9D9"/>
              <w:right w:val="single" w:sz="4" w:color="D9D9D9"/>
            </w:tcBorders>
          </w:tcPr>
          <w:p>
            <w:r>
              <w:t>Fukuoka</w:t>
            </w:r>
          </w:p>
        </w:tc>
        <w:tc>
          <w:tcPr>
            <w:tcW w:type="dxa" w:w="2160"/>
            <w:tcBorders>
              <w:top w:val="single" w:sz="4" w:color="D9D9D9"/>
              <w:left w:val="single" w:sz="4" w:color="D9D9D9"/>
              <w:bottom w:val="single" w:sz="4" w:color="D9D9D9"/>
              <w:right w:val="single" w:sz="4" w:color="D9D9D9"/>
            </w:tcBorders>
          </w:tcPr>
          <w:p>
            <w:r>
              <w:t>93</w:t>
            </w:r>
          </w:p>
        </w:tc>
        <w:tc>
          <w:tcPr>
            <w:tcW w:type="dxa" w:w="2160"/>
            <w:tcBorders>
              <w:top w:val="single" w:sz="4" w:color="D9D9D9"/>
              <w:left w:val="single" w:sz="4" w:color="D9D9D9"/>
              <w:bottom w:val="single" w:sz="4" w:color="D9D9D9"/>
              <w:right w:val="single" w:sz="4" w:color="D9D9D9"/>
            </w:tcBorders>
          </w:tcPr>
          <w:p>
            <w:r>
              <w:t>41</w:t>
            </w:r>
          </w:p>
        </w:tc>
        <w:tc>
          <w:tcPr>
            <w:tcW w:type="dxa" w:w="2160"/>
            <w:tcBorders>
              <w:top w:val="single" w:sz="4" w:color="D9D9D9"/>
              <w:left w:val="single" w:sz="4" w:color="D9D9D9"/>
              <w:bottom w:val="single" w:sz="4" w:color="D9D9D9"/>
              <w:right w:val="single" w:sz="4" w:color="D9D9D9"/>
            </w:tcBorders>
          </w:tcPr>
          <w:p>
            <w:r>
              <w:t>44.1%</w:t>
            </w:r>
          </w:p>
        </w:tc>
      </w:tr>
      <w:tr>
        <w:tc>
          <w:tcPr>
            <w:tcW w:type="dxa" w:w="2160"/>
            <w:tcBorders>
              <w:top w:val="single" w:sz="4" w:color="D9D9D9"/>
              <w:left w:val="single" w:sz="4" w:color="D9D9D9"/>
              <w:bottom w:val="single" w:sz="4" w:color="D9D9D9"/>
              <w:right w:val="single" w:sz="4" w:color="D9D9D9"/>
            </w:tcBorders>
          </w:tcPr>
          <w:p>
            <w:r>
              <w:t>Kanagawa</w:t>
            </w:r>
          </w:p>
        </w:tc>
        <w:tc>
          <w:tcPr>
            <w:tcW w:type="dxa" w:w="2160"/>
            <w:tcBorders>
              <w:top w:val="single" w:sz="4" w:color="D9D9D9"/>
              <w:left w:val="single" w:sz="4" w:color="D9D9D9"/>
              <w:bottom w:val="single" w:sz="4" w:color="D9D9D9"/>
              <w:right w:val="single" w:sz="4" w:color="D9D9D9"/>
            </w:tcBorders>
          </w:tcPr>
          <w:p>
            <w:r>
              <w:t>109</w:t>
            </w:r>
          </w:p>
        </w:tc>
        <w:tc>
          <w:tcPr>
            <w:tcW w:type="dxa" w:w="2160"/>
            <w:tcBorders>
              <w:top w:val="single" w:sz="4" w:color="D9D9D9"/>
              <w:left w:val="single" w:sz="4" w:color="D9D9D9"/>
              <w:bottom w:val="single" w:sz="4" w:color="D9D9D9"/>
              <w:right w:val="single" w:sz="4" w:color="D9D9D9"/>
            </w:tcBorders>
          </w:tcPr>
          <w:p>
            <w:r>
              <w:t>40</w:t>
            </w:r>
          </w:p>
        </w:tc>
        <w:tc>
          <w:tcPr>
            <w:tcW w:type="dxa" w:w="2160"/>
            <w:tcBorders>
              <w:top w:val="single" w:sz="4" w:color="D9D9D9"/>
              <w:left w:val="single" w:sz="4" w:color="D9D9D9"/>
              <w:bottom w:val="single" w:sz="4" w:color="D9D9D9"/>
              <w:right w:val="single" w:sz="4" w:color="D9D9D9"/>
            </w:tcBorders>
          </w:tcPr>
          <w:p>
            <w:r>
              <w:t>36.7%</w:t>
            </w:r>
          </w:p>
        </w:tc>
      </w:tr>
      <w:tr>
        <w:tc>
          <w:tcPr>
            <w:tcW w:type="dxa" w:w="2160"/>
            <w:tcBorders>
              <w:top w:val="single" w:sz="4" w:color="D9D9D9"/>
              <w:left w:val="single" w:sz="4" w:color="D9D9D9"/>
              <w:bottom w:val="single" w:sz="4" w:color="D9D9D9"/>
              <w:right w:val="single" w:sz="4" w:color="D9D9D9"/>
            </w:tcBorders>
          </w:tcPr>
          <w:p>
            <w:r>
              <w:t>Osaka</w:t>
            </w:r>
          </w:p>
        </w:tc>
        <w:tc>
          <w:tcPr>
            <w:tcW w:type="dxa" w:w="2160"/>
            <w:tcBorders>
              <w:top w:val="single" w:sz="4" w:color="D9D9D9"/>
              <w:left w:val="single" w:sz="4" w:color="D9D9D9"/>
              <w:bottom w:val="single" w:sz="4" w:color="D9D9D9"/>
              <w:right w:val="single" w:sz="4" w:color="D9D9D9"/>
            </w:tcBorders>
          </w:tcPr>
          <w:p>
            <w:r>
              <w:t>102</w:t>
            </w:r>
          </w:p>
        </w:tc>
        <w:tc>
          <w:tcPr>
            <w:tcW w:type="dxa" w:w="2160"/>
            <w:tcBorders>
              <w:top w:val="single" w:sz="4" w:color="D9D9D9"/>
              <w:left w:val="single" w:sz="4" w:color="D9D9D9"/>
              <w:bottom w:val="single" w:sz="4" w:color="D9D9D9"/>
              <w:right w:val="single" w:sz="4" w:color="D9D9D9"/>
            </w:tcBorders>
          </w:tcPr>
          <w:p>
            <w:r>
              <w:t>33</w:t>
            </w:r>
          </w:p>
        </w:tc>
        <w:tc>
          <w:tcPr>
            <w:tcW w:type="dxa" w:w="2160"/>
            <w:tcBorders>
              <w:top w:val="single" w:sz="4" w:color="D9D9D9"/>
              <w:left w:val="single" w:sz="4" w:color="D9D9D9"/>
              <w:bottom w:val="single" w:sz="4" w:color="D9D9D9"/>
              <w:right w:val="single" w:sz="4" w:color="D9D9D9"/>
            </w:tcBorders>
          </w:tcPr>
          <w:p>
            <w:r>
              <w:t>32.4%</w:t>
            </w:r>
          </w:p>
        </w:tc>
      </w:tr>
      <w:tr>
        <w:tc>
          <w:tcPr>
            <w:tcW w:type="dxa" w:w="2160"/>
            <w:tcBorders>
              <w:top w:val="single" w:sz="4" w:color="D9D9D9"/>
              <w:left w:val="single" w:sz="4" w:color="D9D9D9"/>
              <w:bottom w:val="single" w:sz="4" w:color="D9D9D9"/>
              <w:right w:val="single" w:sz="4" w:color="D9D9D9"/>
            </w:tcBorders>
          </w:tcPr>
          <w:p>
            <w:r>
              <w:t>Tokyo</w:t>
            </w:r>
          </w:p>
        </w:tc>
        <w:tc>
          <w:tcPr>
            <w:tcW w:type="dxa" w:w="2160"/>
            <w:tcBorders>
              <w:top w:val="single" w:sz="4" w:color="D9D9D9"/>
              <w:left w:val="single" w:sz="4" w:color="D9D9D9"/>
              <w:bottom w:val="single" w:sz="4" w:color="D9D9D9"/>
              <w:right w:val="single" w:sz="4" w:color="D9D9D9"/>
            </w:tcBorders>
          </w:tcPr>
          <w:p>
            <w:r>
              <w:t>94</w:t>
            </w:r>
          </w:p>
        </w:tc>
        <w:tc>
          <w:tcPr>
            <w:tcW w:type="dxa" w:w="2160"/>
            <w:tcBorders>
              <w:top w:val="single" w:sz="4" w:color="D9D9D9"/>
              <w:left w:val="single" w:sz="4" w:color="D9D9D9"/>
              <w:bottom w:val="single" w:sz="4" w:color="D9D9D9"/>
              <w:right w:val="single" w:sz="4" w:color="D9D9D9"/>
            </w:tcBorders>
          </w:tcPr>
          <w:p>
            <w:r>
              <w:t>32</w:t>
            </w:r>
          </w:p>
        </w:tc>
        <w:tc>
          <w:tcPr>
            <w:tcW w:type="dxa" w:w="2160"/>
            <w:tcBorders>
              <w:top w:val="single" w:sz="4" w:color="D9D9D9"/>
              <w:left w:val="single" w:sz="4" w:color="D9D9D9"/>
              <w:bottom w:val="single" w:sz="4" w:color="D9D9D9"/>
              <w:right w:val="single" w:sz="4" w:color="D9D9D9"/>
            </w:tcBorders>
          </w:tcPr>
          <w:p>
            <w:r>
              <w:t>34.0%</w:t>
            </w:r>
          </w:p>
        </w:tc>
      </w:tr>
    </w:tbl>
    <w:p>
      <w:r>
        <w:t>Kanagawa received the most shipments (109; 21.8% of the total). Aichi recorded the most late deliveries (46) and the highest late rate (45.1%), followed by Fukuoka at 44.1%. Aichi also had the longest regional average duration at 5.50 days. Its late rate exceeded Osaka’s by 12.7 percentage points.</w:t>
      </w:r>
    </w:p>
    <w:p>
      <w:r>
        <w:t>Aichi and Fukuoka warrant investigation by carrier, mode and route. These patterns identify where to investigate; the dataset does not establish the reasons for delays.</w:t>
      </w:r>
    </w:p>
    <w:p>
      <w:pPr>
        <w:pStyle w:val="Heading1"/>
      </w:pPr>
      <w:r>
        <w:t>Carrier performance and revenue</w:t>
      </w:r>
    </w:p>
    <w:p>
      <w:r>
        <w:t>Yamato Transport handled the most shipments (144) and generated the highest revenue, JPY 1,376,312.15. Shipping costs were JPY 825,959.40, leaving JPY 550,352.75 before other expenses. Its late rate was also the highest among carriers at 42.4% (61 of 144 shipments), compared with Japan Post’s 33.0% (38 of 115).</w:t>
      </w:r>
    </w:p>
    <w:p>
      <w:r>
        <w:t>Sagawa Express Economy had the longest average duration among carrier and mode combinations at 8.03 days, narrowly above Yamato Transport Economy at 8.02 days. Such small differences should not drive supplier decisions without considering sample sizes, route mix and service promises.</w:t>
      </w:r>
    </w:p>
    <w:p>
      <w:pPr>
        <w:pStyle w:val="Heading1"/>
      </w:pPr>
      <w:r>
        <w:t>Shipping mode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Borders>
              <w:top w:val="single" w:sz="4" w:color="D9D9D9"/>
              <w:left w:val="single" w:sz="4" w:color="D9D9D9"/>
              <w:bottom w:val="single" w:sz="4" w:color="D9D9D9"/>
              <w:right w:val="single" w:sz="4" w:color="D9D9D9"/>
            </w:tcBorders>
            <w:shd w:fill="E7E6E6"/>
          </w:tcPr>
          <w:p>
            <w:r>
              <w:t>Mode</w:t>
            </w:r>
          </w:p>
        </w:tc>
        <w:tc>
          <w:tcPr>
            <w:tcW w:type="dxa" w:w="2160"/>
            <w:tcBorders>
              <w:top w:val="single" w:sz="4" w:color="D9D9D9"/>
              <w:left w:val="single" w:sz="4" w:color="D9D9D9"/>
              <w:bottom w:val="single" w:sz="4" w:color="D9D9D9"/>
              <w:right w:val="single" w:sz="4" w:color="D9D9D9"/>
            </w:tcBorders>
            <w:shd w:fill="E7E6E6"/>
          </w:tcPr>
          <w:p>
            <w:r>
              <w:t>Shipments</w:t>
            </w:r>
          </w:p>
        </w:tc>
        <w:tc>
          <w:tcPr>
            <w:tcW w:type="dxa" w:w="2160"/>
            <w:tcBorders>
              <w:top w:val="single" w:sz="4" w:color="D9D9D9"/>
              <w:left w:val="single" w:sz="4" w:color="D9D9D9"/>
              <w:bottom w:val="single" w:sz="4" w:color="D9D9D9"/>
              <w:right w:val="single" w:sz="4" w:color="D9D9D9"/>
            </w:tcBorders>
            <w:shd w:fill="E7E6E6"/>
          </w:tcPr>
          <w:p>
            <w:r>
              <w:t>Average days</w:t>
            </w:r>
          </w:p>
        </w:tc>
        <w:tc>
          <w:tcPr>
            <w:tcW w:type="dxa" w:w="2160"/>
            <w:tcBorders>
              <w:top w:val="single" w:sz="4" w:color="D9D9D9"/>
              <w:left w:val="single" w:sz="4" w:color="D9D9D9"/>
              <w:bottom w:val="single" w:sz="4" w:color="D9D9D9"/>
              <w:right w:val="single" w:sz="4" w:color="D9D9D9"/>
            </w:tcBorders>
            <w:shd w:fill="E7E6E6"/>
          </w:tcPr>
          <w:p>
            <w:r>
              <w:t>Late rate</w:t>
            </w:r>
          </w:p>
        </w:tc>
      </w:tr>
      <w:tr>
        <w:tc>
          <w:tcPr>
            <w:tcW w:type="dxa" w:w="2160"/>
            <w:tcBorders>
              <w:top w:val="single" w:sz="4" w:color="D9D9D9"/>
              <w:left w:val="single" w:sz="4" w:color="D9D9D9"/>
              <w:bottom w:val="single" w:sz="4" w:color="D9D9D9"/>
              <w:right w:val="single" w:sz="4" w:color="D9D9D9"/>
            </w:tcBorders>
          </w:tcPr>
          <w:p>
            <w:r>
              <w:t>Economy</w:t>
            </w:r>
          </w:p>
        </w:tc>
        <w:tc>
          <w:tcPr>
            <w:tcW w:type="dxa" w:w="2160"/>
            <w:tcBorders>
              <w:top w:val="single" w:sz="4" w:color="D9D9D9"/>
              <w:left w:val="single" w:sz="4" w:color="D9D9D9"/>
              <w:bottom w:val="single" w:sz="4" w:color="D9D9D9"/>
              <w:right w:val="single" w:sz="4" w:color="D9D9D9"/>
            </w:tcBorders>
          </w:tcPr>
          <w:p>
            <w:r>
              <w:t>172</w:t>
            </w:r>
          </w:p>
        </w:tc>
        <w:tc>
          <w:tcPr>
            <w:tcW w:type="dxa" w:w="2160"/>
            <w:tcBorders>
              <w:top w:val="single" w:sz="4" w:color="D9D9D9"/>
              <w:left w:val="single" w:sz="4" w:color="D9D9D9"/>
              <w:bottom w:val="single" w:sz="4" w:color="D9D9D9"/>
              <w:right w:val="single" w:sz="4" w:color="D9D9D9"/>
            </w:tcBorders>
          </w:tcPr>
          <w:p>
            <w:r>
              <w:t>7.83</w:t>
            </w:r>
          </w:p>
        </w:tc>
        <w:tc>
          <w:tcPr>
            <w:tcW w:type="dxa" w:w="2160"/>
            <w:tcBorders>
              <w:top w:val="single" w:sz="4" w:color="D9D9D9"/>
              <w:left w:val="single" w:sz="4" w:color="D9D9D9"/>
              <w:bottom w:val="single" w:sz="4" w:color="D9D9D9"/>
              <w:right w:val="single" w:sz="4" w:color="D9D9D9"/>
            </w:tcBorders>
          </w:tcPr>
          <w:p>
            <w:r>
              <w:t>39.5%</w:t>
            </w:r>
          </w:p>
        </w:tc>
      </w:tr>
      <w:tr>
        <w:tc>
          <w:tcPr>
            <w:tcW w:type="dxa" w:w="2160"/>
            <w:tcBorders>
              <w:top w:val="single" w:sz="4" w:color="D9D9D9"/>
              <w:left w:val="single" w:sz="4" w:color="D9D9D9"/>
              <w:bottom w:val="single" w:sz="4" w:color="D9D9D9"/>
              <w:right w:val="single" w:sz="4" w:color="D9D9D9"/>
            </w:tcBorders>
          </w:tcPr>
          <w:p>
            <w:r>
              <w:t>Express</w:t>
            </w:r>
          </w:p>
        </w:tc>
        <w:tc>
          <w:tcPr>
            <w:tcW w:type="dxa" w:w="2160"/>
            <w:tcBorders>
              <w:top w:val="single" w:sz="4" w:color="D9D9D9"/>
              <w:left w:val="single" w:sz="4" w:color="D9D9D9"/>
              <w:bottom w:val="single" w:sz="4" w:color="D9D9D9"/>
              <w:right w:val="single" w:sz="4" w:color="D9D9D9"/>
            </w:tcBorders>
          </w:tcPr>
          <w:p>
            <w:r>
              <w:t>163</w:t>
            </w:r>
          </w:p>
        </w:tc>
        <w:tc>
          <w:tcPr>
            <w:tcW w:type="dxa" w:w="2160"/>
            <w:tcBorders>
              <w:top w:val="single" w:sz="4" w:color="D9D9D9"/>
              <w:left w:val="single" w:sz="4" w:color="D9D9D9"/>
              <w:bottom w:val="single" w:sz="4" w:color="D9D9D9"/>
              <w:right w:val="single" w:sz="4" w:color="D9D9D9"/>
            </w:tcBorders>
          </w:tcPr>
          <w:p>
            <w:r>
              <w:t>2.36</w:t>
            </w:r>
          </w:p>
        </w:tc>
        <w:tc>
          <w:tcPr>
            <w:tcW w:type="dxa" w:w="2160"/>
            <w:tcBorders>
              <w:top w:val="single" w:sz="4" w:color="D9D9D9"/>
              <w:left w:val="single" w:sz="4" w:color="D9D9D9"/>
              <w:bottom w:val="single" w:sz="4" w:color="D9D9D9"/>
              <w:right w:val="single" w:sz="4" w:color="D9D9D9"/>
            </w:tcBorders>
          </w:tcPr>
          <w:p>
            <w:r>
              <w:t>44.2%</w:t>
            </w:r>
          </w:p>
        </w:tc>
      </w:tr>
      <w:tr>
        <w:tc>
          <w:tcPr>
            <w:tcW w:type="dxa" w:w="2160"/>
            <w:tcBorders>
              <w:top w:val="single" w:sz="4" w:color="D9D9D9"/>
              <w:left w:val="single" w:sz="4" w:color="D9D9D9"/>
              <w:bottom w:val="single" w:sz="4" w:color="D9D9D9"/>
              <w:right w:val="single" w:sz="4" w:color="D9D9D9"/>
            </w:tcBorders>
          </w:tcPr>
          <w:p>
            <w:r>
              <w:t>Standard</w:t>
            </w:r>
          </w:p>
        </w:tc>
        <w:tc>
          <w:tcPr>
            <w:tcW w:type="dxa" w:w="2160"/>
            <w:tcBorders>
              <w:top w:val="single" w:sz="4" w:color="D9D9D9"/>
              <w:left w:val="single" w:sz="4" w:color="D9D9D9"/>
              <w:bottom w:val="single" w:sz="4" w:color="D9D9D9"/>
              <w:right w:val="single" w:sz="4" w:color="D9D9D9"/>
            </w:tcBorders>
          </w:tcPr>
          <w:p>
            <w:r>
              <w:t>165</w:t>
            </w:r>
          </w:p>
        </w:tc>
        <w:tc>
          <w:tcPr>
            <w:tcW w:type="dxa" w:w="2160"/>
            <w:tcBorders>
              <w:top w:val="single" w:sz="4" w:color="D9D9D9"/>
              <w:left w:val="single" w:sz="4" w:color="D9D9D9"/>
              <w:bottom w:val="single" w:sz="4" w:color="D9D9D9"/>
              <w:right w:val="single" w:sz="4" w:color="D9D9D9"/>
            </w:tcBorders>
          </w:tcPr>
          <w:p>
            <w:r>
              <w:t>4.56</w:t>
            </w:r>
          </w:p>
        </w:tc>
        <w:tc>
          <w:tcPr>
            <w:tcW w:type="dxa" w:w="2160"/>
            <w:tcBorders>
              <w:top w:val="single" w:sz="4" w:color="D9D9D9"/>
              <w:left w:val="single" w:sz="4" w:color="D9D9D9"/>
              <w:bottom w:val="single" w:sz="4" w:color="D9D9D9"/>
              <w:right w:val="single" w:sz="4" w:color="D9D9D9"/>
            </w:tcBorders>
          </w:tcPr>
          <w:p>
            <w:r>
              <w:t>31.5%</w:t>
            </w:r>
          </w:p>
        </w:tc>
      </w:tr>
    </w:tbl>
    <w:p>
      <w:r>
        <w:t>Express was fastest but missed promised dates for 72 shipments. Standard had the lowest late rate at 31.5%. Longer Economy duration does not itself mean poorer reliability because different modes have different service promises.</w:t>
      </w:r>
    </w:p>
    <w:p>
      <w:pPr>
        <w:pStyle w:val="Heading1"/>
      </w:pPr>
      <w:r>
        <w:t>Customer experience</w:t>
      </w:r>
    </w:p>
    <w:p>
      <w:r>
        <w:t>Books had the highest average category rating at 4.69, followed by Electronics at 4.68. Books shipped by Economy had the highest category and mode average at 4.742, narrowly above Clothing Standard at 4.741. Both round to 4.74, so they should be described as effectively tied at two decimal places.</w:t>
      </w:r>
    </w:p>
    <w:p>
      <w:r>
        <w:t>On-time shipments averaged 4.86 out of 5, compared with 4.29 for late shipments. The 0.57-point gap is an association within fictional data and does not prove that lateness caused lower ratings.</w:t>
      </w:r>
    </w:p>
    <w:p>
      <w:r>
        <w:br w:type="page"/>
      </w:r>
    </w:p>
    <w:p>
      <w:pPr>
        <w:pStyle w:val="Heading1"/>
      </w:pPr>
      <w:r>
        <w:t>Recommendations</w:t>
      </w:r>
    </w:p>
    <w:p>
      <w:pPr>
        <w:pStyle w:val="ListBullet"/>
      </w:pPr>
      <w:r>
        <w:t>Investigate Aichi and Fukuoka first. Review late shipments by route, carrier and mode, and collect verified delay reasons before attributing causes.</w:t>
      </w:r>
    </w:p>
    <w:p>
      <w:pPr>
        <w:pStyle w:val="ListBullet"/>
      </w:pPr>
      <w:r>
        <w:t>Review Express delivery promises. Monitor promised-date compliance alongside average duration, and test whether service commitments reflect route and dispatch conditions.</w:t>
      </w:r>
    </w:p>
    <w:p>
      <w:pPr>
        <w:pStyle w:val="ListBullet"/>
      </w:pPr>
      <w:r>
        <w:t>Assess Yamato Transport on comparable shipments. Consider its high volume and revenue alongside its late rate; do not rank carriers using revenue alone.</w:t>
      </w:r>
    </w:p>
    <w:p>
      <w:pPr>
        <w:pStyle w:val="ListBullet"/>
      </w:pPr>
      <w:r>
        <w:t>Balance service quality and cost. Track on-time rate, contribution per shipment, ratings and returns together when evaluating carrier performance.</w:t>
      </w:r>
    </w:p>
    <w:p>
      <w:pPr>
        <w:pStyle w:val="ListBullet"/>
      </w:pPr>
      <w:r>
        <w:t>Resolve the missing origin city for JP-00028 using a verified source. Add completeness checks for required fields and retain an auditable correction log.</w:t>
      </w:r>
    </w:p>
    <w:p>
      <w:pPr>
        <w:pStyle w:val="ListBullet"/>
      </w:pPr>
      <w:r>
        <w:t>Keep the dashboard transparent. Display active slicer filters, the reporting period, JPY currency and KPI definitions. Refresh PivotTables and reconcile totals before publishing.</w:t>
      </w:r>
    </w:p>
    <w:p>
      <w:pPr>
        <w:pStyle w:val="Heading1"/>
      </w:pPr>
      <w:r>
        <w:t>KPI definitions</w:t>
      </w:r>
    </w:p>
    <w:p>
      <w:r>
        <w:t>On-time rate = on-time shipments ÷ all shipments. Group late rate = late shipments in the group ÷ all shipments in the same group. Delivery duration = actual delivery date − dispatch date. Delay days = the greater of zero and actual delivery date − promised delivery date.</w:t>
      </w:r>
    </w:p>
    <w:p>
      <w:r>
        <w:t>Contribution = revenue − shipping cost. Contribution margin = contribution ÷ revenue. Return rate = returned shipments ÷ all shipments. Customer rating = the mean recorded rating on the 1–5 scale.</w:t>
      </w:r>
    </w:p>
    <w:p>
      <w:pPr>
        <w:pStyle w:val="Heading1"/>
      </w:pPr>
      <w:r>
        <w:t>Limitations</w:t>
      </w:r>
    </w:p>
    <w:p>
      <w:r>
        <w:t>This is a fictional practice dataset. No external benchmark or management service target was supplied. Route mix, distance, package characteristics and service promises may differ between groups. No verified delay reasons, complete operating costs or intervention results are available. The analysis supports investigation and reporting practice rather than claims about real operational impact.</w:t>
      </w:r>
    </w:p>
    <w:p>
      <w:pPr>
        <w:pStyle w:val="Heading1"/>
      </w:pPr>
      <w:r>
        <w:t>Conclusion</w:t>
      </w:r>
    </w:p>
    <w:p>
      <w:r>
        <w:t>The main analytical finding is that Aichi combines a high late count with the highest regional late rate, while Express combines fast average delivery with weaker promised-date compliance. Monitoring both volumes and rates gives a clearer picture than either measure alone. The project demonstrates Excel reporting, KPI reconciliation, data-quality checking and practical interpretation of logistics data.</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