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China Hospital Operations Analysis</w:t>
      </w:r>
    </w:p>
    <w:p>
      <w:r>
        <w:t>Prepared by Samuel Faremola | Excel portfolio project | 24 October 2026</w:t>
      </w:r>
    </w:p>
    <w:p>
      <w:pPr>
        <w:pStyle w:val="Heading1"/>
      </w:pPr>
      <w:r>
        <w:t>Executive findings</w:t>
      </w:r>
    </w:p>
    <w:p>
      <w:r>
        <w:t>The synthetic dataset contains 500 visit records dated 1 January to 28 December 2025. Total treatment cost is CNY 4,461,080, average recorded length of stay is 6.54 days and average satisfaction is 2.98 out of 5. Of the records, 112 are marked as readmitted within 30 days, equivalent to 22.4% of all visits.</w:t>
      </w:r>
    </w:p>
    <w:p>
      <w:r>
        <w:t>Orthopedics has the most visits and the longest average wait among departments. Emergency has the highest total treatment cost and lowest departmental satisfaction. Cardiology has the highest proportion of records marked as readmitted. These are descriptive findings for a fictional scenario, not evidence about actual Chinese healthcare.</w:t>
      </w:r>
    </w:p>
    <w:p>
      <w:pPr>
        <w:pStyle w:val="Heading1"/>
      </w:pPr>
      <w:r>
        <w:t>Data source and validation</w:t>
      </w:r>
    </w:p>
    <w:p>
      <w:r>
        <w:t>Source: China_Hospital_Operations(sample).xlsx, Data, METRICS and the saved PivotTables. The Read Me sheet explicitly states that the data and hospitals are fictional. Validation found 500 unique Visit IDs, no duplicate rows and no missing values across the 12 source columns.</w:t>
      </w:r>
    </w:p>
    <w:p>
      <w:r>
        <w:t>All four cached KPI results reconcile to source calculations. METRICS uses GETPIVOTDATA for visit count, treatment cost, length of stay and satisfaction, with separate display formulas for the cards. This confirms the formula structure and saved values; native Excel interaction was not independently tested during this review.</w:t>
      </w:r>
    </w:p>
    <w:p>
      <w:pPr>
        <w:pStyle w:val="Heading1"/>
      </w:pPr>
      <w:r>
        <w:t>Verified headline measures</w:t>
      </w:r>
    </w:p>
    <w:tbl>
      <w:tblPr>
        <w:tblStyle w:val="TableGrid"/>
        <w:tblW w:type="auto" w:w="0"/>
        <w:tblLook w:firstColumn="1" w:firstRow="1" w:lastColumn="0" w:lastRow="0" w:noHBand="0" w:noVBand="1" w:val="04A0"/>
      </w:tblPr>
      <w:tblGrid>
        <w:gridCol w:w="4320"/>
        <w:gridCol w:w="4320"/>
      </w:tblGrid>
      <w:tr>
        <w:tc>
          <w:tcPr>
            <w:tcW w:type="dxa" w:w="4320"/>
          </w:tcPr>
          <w:p>
            <w:r>
              <w:t>Measure</w:t>
            </w:r>
          </w:p>
        </w:tc>
        <w:tc>
          <w:tcPr>
            <w:tcW w:type="dxa" w:w="4320"/>
          </w:tcPr>
          <w:p>
            <w:r>
              <w:t>Result</w:t>
            </w:r>
          </w:p>
        </w:tc>
      </w:tr>
      <w:tr>
        <w:tc>
          <w:tcPr>
            <w:tcW w:type="dxa" w:w="4320"/>
          </w:tcPr>
          <w:p>
            <w:r>
              <w:t>Visit records</w:t>
            </w:r>
          </w:p>
        </w:tc>
        <w:tc>
          <w:tcPr>
            <w:tcW w:type="dxa" w:w="4320"/>
          </w:tcPr>
          <w:p>
            <w:r>
              <w:t>500</w:t>
            </w:r>
          </w:p>
        </w:tc>
      </w:tr>
      <w:tr>
        <w:tc>
          <w:tcPr>
            <w:tcW w:type="dxa" w:w="4320"/>
          </w:tcPr>
          <w:p>
            <w:r>
              <w:t>Treatment cost</w:t>
            </w:r>
          </w:p>
        </w:tc>
        <w:tc>
          <w:tcPr>
            <w:tcW w:type="dxa" w:w="4320"/>
          </w:tcPr>
          <w:p>
            <w:r>
              <w:t>CNY 4,461,080</w:t>
            </w:r>
          </w:p>
        </w:tc>
      </w:tr>
      <w:tr>
        <w:tc>
          <w:tcPr>
            <w:tcW w:type="dxa" w:w="4320"/>
          </w:tcPr>
          <w:p>
            <w:r>
              <w:t>Average cost per visit</w:t>
            </w:r>
          </w:p>
        </w:tc>
        <w:tc>
          <w:tcPr>
            <w:tcW w:type="dxa" w:w="4320"/>
          </w:tcPr>
          <w:p>
            <w:r>
              <w:t>CNY 8,922.16</w:t>
            </w:r>
          </w:p>
        </w:tc>
      </w:tr>
      <w:tr>
        <w:tc>
          <w:tcPr>
            <w:tcW w:type="dxa" w:w="4320"/>
          </w:tcPr>
          <w:p>
            <w:r>
              <w:t>Average wait</w:t>
            </w:r>
          </w:p>
        </w:tc>
        <w:tc>
          <w:tcPr>
            <w:tcW w:type="dxa" w:w="4320"/>
          </w:tcPr>
          <w:p>
            <w:r>
              <w:t>88.91 minutes</w:t>
            </w:r>
          </w:p>
        </w:tc>
      </w:tr>
      <w:tr>
        <w:tc>
          <w:tcPr>
            <w:tcW w:type="dxa" w:w="4320"/>
          </w:tcPr>
          <w:p>
            <w:r>
              <w:t>Average recorded length of stay</w:t>
            </w:r>
          </w:p>
        </w:tc>
        <w:tc>
          <w:tcPr>
            <w:tcW w:type="dxa" w:w="4320"/>
          </w:tcPr>
          <w:p>
            <w:r>
              <w:t>6.54 days</w:t>
            </w:r>
          </w:p>
        </w:tc>
      </w:tr>
      <w:tr>
        <w:tc>
          <w:tcPr>
            <w:tcW w:type="dxa" w:w="4320"/>
          </w:tcPr>
          <w:p>
            <w:r>
              <w:t>Average satisfaction</w:t>
            </w:r>
          </w:p>
        </w:tc>
        <w:tc>
          <w:tcPr>
            <w:tcW w:type="dxa" w:w="4320"/>
          </w:tcPr>
          <w:p>
            <w:r>
              <w:t>2.98 out of 5</w:t>
            </w:r>
          </w:p>
        </w:tc>
      </w:tr>
      <w:tr>
        <w:tc>
          <w:tcPr>
            <w:tcW w:type="dxa" w:w="4320"/>
          </w:tcPr>
          <w:p>
            <w:r>
              <w:t>Records marked readmitted within 30 days</w:t>
            </w:r>
          </w:p>
        </w:tc>
        <w:tc>
          <w:tcPr>
            <w:tcW w:type="dxa" w:w="4320"/>
          </w:tcPr>
          <w:p>
            <w:r>
              <w:t>112 | 22.4% of all visits</w:t>
            </w:r>
          </w:p>
        </w:tc>
      </w:tr>
    </w:tbl>
    <w:p>
      <w:pPr>
        <w:pStyle w:val="Heading1"/>
        <w:pageBreakBefore/>
      </w:pPr>
      <w:r>
        <w:t>Department comparison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Department</w:t>
            </w:r>
          </w:p>
        </w:tc>
        <w:tc>
          <w:tcPr>
            <w:tcW w:type="dxa" w:w="2160"/>
          </w:tcPr>
          <w:p>
            <w:r>
              <w:t>Visits</w:t>
            </w:r>
          </w:p>
        </w:tc>
        <w:tc>
          <w:tcPr>
            <w:tcW w:type="dxa" w:w="2160"/>
          </w:tcPr>
          <w:p>
            <w:r>
              <w:t>Average wait</w:t>
            </w:r>
          </w:p>
        </w:tc>
        <w:tc>
          <w:tcPr>
            <w:tcW w:type="dxa" w:w="2160"/>
          </w:tcPr>
          <w:p>
            <w:r>
              <w:t>Readmitted records</w:t>
            </w:r>
          </w:p>
        </w:tc>
      </w:tr>
      <w:tr>
        <w:tc>
          <w:tcPr>
            <w:tcW w:type="dxa" w:w="2160"/>
          </w:tcPr>
          <w:p>
            <w:r>
              <w:t>Cardiology</w:t>
            </w:r>
          </w:p>
        </w:tc>
        <w:tc>
          <w:tcPr>
            <w:tcW w:type="dxa" w:w="2160"/>
          </w:tcPr>
          <w:p>
            <w:r>
              <w:t>93</w:t>
            </w:r>
          </w:p>
        </w:tc>
        <w:tc>
          <w:tcPr>
            <w:tcW w:type="dxa" w:w="2160"/>
          </w:tcPr>
          <w:p>
            <w:r>
              <w:t>90.27 min</w:t>
            </w:r>
          </w:p>
        </w:tc>
        <w:tc>
          <w:tcPr>
            <w:tcW w:type="dxa" w:w="2160"/>
          </w:tcPr>
          <w:p>
            <w:r>
              <w:t>26 | 28.0%</w:t>
            </w:r>
          </w:p>
        </w:tc>
      </w:tr>
      <w:tr>
        <w:tc>
          <w:tcPr>
            <w:tcW w:type="dxa" w:w="2160"/>
          </w:tcPr>
          <w:p>
            <w:r>
              <w:t>Emergency</w:t>
            </w:r>
          </w:p>
        </w:tc>
        <w:tc>
          <w:tcPr>
            <w:tcW w:type="dxa" w:w="2160"/>
          </w:tcPr>
          <w:p>
            <w:r>
              <w:t>106</w:t>
            </w:r>
          </w:p>
        </w:tc>
        <w:tc>
          <w:tcPr>
            <w:tcW w:type="dxa" w:w="2160"/>
          </w:tcPr>
          <w:p>
            <w:r>
              <w:t>89.54 min</w:t>
            </w:r>
          </w:p>
        </w:tc>
        <w:tc>
          <w:tcPr>
            <w:tcW w:type="dxa" w:w="2160"/>
          </w:tcPr>
          <w:p>
            <w:r>
              <w:t>20 | 18.9%</w:t>
            </w:r>
          </w:p>
        </w:tc>
      </w:tr>
      <w:tr>
        <w:tc>
          <w:tcPr>
            <w:tcW w:type="dxa" w:w="2160"/>
          </w:tcPr>
          <w:p>
            <w:r>
              <w:t>General Medicine</w:t>
            </w:r>
          </w:p>
        </w:tc>
        <w:tc>
          <w:tcPr>
            <w:tcW w:type="dxa" w:w="2160"/>
          </w:tcPr>
          <w:p>
            <w:r>
              <w:t>93</w:t>
            </w:r>
          </w:p>
        </w:tc>
        <w:tc>
          <w:tcPr>
            <w:tcW w:type="dxa" w:w="2160"/>
          </w:tcPr>
          <w:p>
            <w:r>
              <w:t>86.90 min</w:t>
            </w:r>
          </w:p>
        </w:tc>
        <w:tc>
          <w:tcPr>
            <w:tcW w:type="dxa" w:w="2160"/>
          </w:tcPr>
          <w:p>
            <w:r>
              <w:t>20 | 21.5%</w:t>
            </w:r>
          </w:p>
        </w:tc>
      </w:tr>
      <w:tr>
        <w:tc>
          <w:tcPr>
            <w:tcW w:type="dxa" w:w="2160"/>
          </w:tcPr>
          <w:p>
            <w:r>
              <w:t>Orthopedics</w:t>
            </w:r>
          </w:p>
        </w:tc>
        <w:tc>
          <w:tcPr>
            <w:tcW w:type="dxa" w:w="2160"/>
          </w:tcPr>
          <w:p>
            <w:r>
              <w:t>108</w:t>
            </w:r>
          </w:p>
        </w:tc>
        <w:tc>
          <w:tcPr>
            <w:tcW w:type="dxa" w:w="2160"/>
          </w:tcPr>
          <w:p>
            <w:r>
              <w:t>91.67 min</w:t>
            </w:r>
          </w:p>
        </w:tc>
        <w:tc>
          <w:tcPr>
            <w:tcW w:type="dxa" w:w="2160"/>
          </w:tcPr>
          <w:p>
            <w:r>
              <w:t>22 | 20.4%</w:t>
            </w:r>
          </w:p>
        </w:tc>
      </w:tr>
      <w:tr>
        <w:tc>
          <w:tcPr>
            <w:tcW w:type="dxa" w:w="2160"/>
          </w:tcPr>
          <w:p>
            <w:r>
              <w:t>Pediatrics</w:t>
            </w:r>
          </w:p>
        </w:tc>
        <w:tc>
          <w:tcPr>
            <w:tcW w:type="dxa" w:w="2160"/>
          </w:tcPr>
          <w:p>
            <w:r>
              <w:t>100</w:t>
            </w:r>
          </w:p>
        </w:tc>
        <w:tc>
          <w:tcPr>
            <w:tcW w:type="dxa" w:w="2160"/>
          </w:tcPr>
          <w:p>
            <w:r>
              <w:t>85.86 min</w:t>
            </w:r>
          </w:p>
        </w:tc>
        <w:tc>
          <w:tcPr>
            <w:tcW w:type="dxa" w:w="2160"/>
          </w:tcPr>
          <w:p>
            <w:r>
              <w:t>24 | 24.0%</w:t>
            </w:r>
          </w:p>
        </w:tc>
      </w:tr>
    </w:tbl>
    <w:p>
      <w:r>
        <w:t>Orthopedics accounts for 21.6% of visits and has the highest departmental average wait. Pediatrics has the longest recorded average stay at 6.77 days. Emergency records the largest total treatment cost (CNY 986,243) and lowest average satisfaction (2.75/5). Volume, case mix and service requirements should be considered before interpreting these differences.</w:t>
      </w:r>
    </w:p>
    <w:p>
      <w:pPr>
        <w:pStyle w:val="Heading1"/>
      </w:pPr>
      <w:r>
        <w:t>Hospital and province findings</w:t>
      </w:r>
    </w:p>
    <w:p>
      <w:r>
        <w:t>Chengdu Medical in Sichuan has the most visits (110; 22.0% of the dataset) and the longest average recorded stay (6.95 days). Hangzhou General has the highest total treatment cost at CNY 1,030,804. Beijing City Hospital has the highest average wait at 92.32 minutes, compared with Shanghai Central at 84.20 minutes.</w:t>
      </w:r>
    </w:p>
    <w:p>
      <w:r>
        <w:t>Shanghai Central has the highest hospital average satisfaction at 3.12/5. Guangzhou Health Centre has the highest proportion of visits marked as readmitted at 26.4% (23 of 87), while Shanghai Central has the lowest at 17.0% (17 of 100). Chengdu Medical has the largest readmitted count (25), illustrating why counts and proportions should be shown together.</w:t>
      </w:r>
    </w:p>
    <w:p>
      <w:r>
        <w:t>Each province maps to one hospital in this dataset, so hospital and province comparisons are two views of the same grouping. They should not be treated as independent supporting evidence.</w:t>
      </w:r>
    </w:p>
    <w:p>
      <w:pPr>
        <w:pStyle w:val="Heading1"/>
      </w:pPr>
      <w:r>
        <w:t>Visit type and interpretation</w:t>
      </w:r>
    </w:p>
    <w:p>
      <w:r>
        <w:t>Emergency and Inpatient each contain 172 visits; Outpatient contains 156. Outpatient has the longest average wait at 92.13 minutes and lowest average satisfaction at 2.88/5. These descriptive differences do not establish that waiting time caused lower satisfaction.</w:t>
      </w:r>
    </w:p>
    <w:p>
      <w:r>
        <w:t>The dataset records multi-day stays for Outpatient and Emergency visits as well as Inpatient visits. Retain the supplied definition when describing the overall KPI, but validate what length of stay represents before using it as an inpatient-only measure.</w:t>
      </w:r>
    </w:p>
    <w:p>
      <w:pPr>
        <w:pStyle w:val="Heading1"/>
        <w:pageBreakBefore/>
      </w:pPr>
      <w:r>
        <w:t>Recommendations</w:t>
      </w:r>
    </w:p>
    <w:p>
      <w:pPr>
        <w:pStyle w:val="ListBullet"/>
      </w:pPr>
      <w:r>
        <w:t>Investigate waits in Orthopedics and at Beijing City Hospital. Add time-of-day, staffing and demand information before identifying operational causes or changing capacity.</w:t>
      </w:r>
    </w:p>
    <w:p>
      <w:pPr>
        <w:pStyle w:val="ListBullet"/>
      </w:pPr>
      <w:r>
        <w:t>Review the Emergency department’s combination of cost and satisfaction. Examine cost per visit and case mix rather than interpreting total cost alone as inefficiency.</w:t>
      </w:r>
    </w:p>
    <w:p>
      <w:pPr>
        <w:pStyle w:val="ListBullet"/>
      </w:pPr>
      <w:r>
        <w:t>Investigate records flagged as readmitted in Cardiology and Guangzhou Health Centre. Validate eligibility, patient linkage and planned versus unplanned readmissions before drawing quality-of-care conclusions.</w:t>
      </w:r>
    </w:p>
    <w:p>
      <w:pPr>
        <w:pStyle w:val="ListBullet"/>
      </w:pPr>
      <w:r>
        <w:t>Improve presentation: label the satisfaction chart accurately, show scores on the 1–5 scale, and avoid presenting shares of average scores as shares of patient satisfaction.</w:t>
      </w:r>
    </w:p>
    <w:p>
      <w:pPr>
        <w:pStyle w:val="ListBullet"/>
      </w:pPr>
      <w:r>
        <w:t>Keep cost and length of stay on clearly labelled separate scales or separate charts. Confirm both slicers affect all relevant PivotTables and KPI cards, then test a single selection and the cleared-filter view.</w:t>
      </w:r>
    </w:p>
    <w:p>
      <w:pPr>
        <w:pStyle w:val="Heading1"/>
      </w:pPr>
      <w:r>
        <w:t>Definitions and limitations</w:t>
      </w:r>
    </w:p>
    <w:p>
      <w:r>
        <w:t>Visit count is the count of Visit IDs, not unique patients. Mean wait, stay and satisfaction use all non-missing source records. The readmission proportion is Yes records divided by all visit records in the relevant group. It is not a validated clinical readmission rate: patient identifiers, eligible discharges, follow-up completeness and planned readmission status are unavailable.</w:t>
      </w:r>
    </w:p>
    <w:p>
      <w:r>
        <w:t>Treatment cost is neither revenue nor profit. No benchmarks, clinical severity adjustments or verified operational causes were supplied. The synthetic dataset supports portfolio analysis and reporting practice; it does not justify real clinical recommendations or claims of achieved service improvements.</w:t>
      </w:r>
    </w:p>
    <w:p>
      <w:pPr>
        <w:pStyle w:val="Heading1"/>
      </w:pPr>
      <w:r>
        <w:t>Conclusion</w:t>
      </w:r>
    </w:p>
    <w:p>
      <w:r>
        <w:t>This project demonstrates Excel dashboards, slicer-linked KPI formulas, data validation and interpretation of hospital operations data. Its strongest reporting approach combines volumes with comparable rates, states measure definitions clearly and distinguishes descriptive findings from causes requiring further investigation.</w:t>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