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D44F8" w14:textId="6C4314D1" w:rsidR="009029E3" w:rsidRPr="009029E3" w:rsidRDefault="009029E3" w:rsidP="009029E3">
      <w:pPr>
        <w:rPr>
          <w:b/>
          <w:sz w:val="32"/>
          <w:szCs w:val="32"/>
        </w:rPr>
      </w:pPr>
      <w:r>
        <w:rPr>
          <w:b/>
          <w:sz w:val="32"/>
          <w:szCs w:val="32"/>
        </w:rPr>
        <w:t>GAI declaration</w:t>
      </w:r>
    </w:p>
    <w:p w14:paraId="2E87F36D" w14:textId="2DE80255" w:rsidR="009029E3" w:rsidRPr="00103BB0" w:rsidRDefault="009029E3" w:rsidP="009029E3">
      <w:pPr>
        <w:rPr>
          <w:bCs/>
        </w:rPr>
      </w:pPr>
      <w:r w:rsidRPr="00103BB0">
        <w:t>I</w:t>
      </w:r>
      <w:r w:rsidRPr="00103BB0">
        <w:rPr>
          <w:bCs/>
        </w:rPr>
        <w:t xml:space="preserve"> did use generative </w:t>
      </w:r>
      <w:r>
        <w:rPr>
          <w:bCs/>
        </w:rPr>
        <w:t>AI</w:t>
      </w:r>
      <w:r w:rsidRPr="00103BB0">
        <w:rPr>
          <w:bCs/>
        </w:rPr>
        <w:t xml:space="preserve"> in the production of this report, specifically, I used ChatGPT 3.5 </w:t>
      </w:r>
      <w:r>
        <w:rPr>
          <w:bCs/>
        </w:rPr>
        <w:t xml:space="preserve">to aid in the learning of how to implement different normalisation techniques like </w:t>
      </w:r>
      <w:r>
        <w:t>standard normal variate normalisation (SN) and total area normalisation (TAN)</w:t>
      </w:r>
      <w:r>
        <w:rPr>
          <w:bCs/>
        </w:rPr>
        <w:t xml:space="preserve">. </w:t>
      </w:r>
    </w:p>
    <w:p w14:paraId="4C713841" w14:textId="77777777" w:rsidR="009029E3" w:rsidRDefault="009029E3" w:rsidP="00411CC5">
      <w:pPr>
        <w:rPr>
          <w:sz w:val="28"/>
          <w:szCs w:val="28"/>
          <w:u w:val="single"/>
        </w:rPr>
      </w:pPr>
    </w:p>
    <w:p w14:paraId="398BCDB8" w14:textId="044454AE" w:rsidR="000A00DC" w:rsidRPr="00AD1550" w:rsidRDefault="000A00DC" w:rsidP="00411CC5">
      <w:pPr>
        <w:rPr>
          <w:sz w:val="28"/>
          <w:szCs w:val="28"/>
          <w:u w:val="single"/>
        </w:rPr>
      </w:pPr>
      <w:r w:rsidRPr="00AD1550">
        <w:rPr>
          <w:sz w:val="28"/>
          <w:szCs w:val="28"/>
          <w:u w:val="single"/>
        </w:rPr>
        <w:t>Metabolomic analysis of hypoxi</w:t>
      </w:r>
      <w:r w:rsidR="00AD1550" w:rsidRPr="00AD1550">
        <w:rPr>
          <w:sz w:val="28"/>
          <w:szCs w:val="28"/>
          <w:u w:val="single"/>
        </w:rPr>
        <w:t xml:space="preserve">c neuroblastoma using a CAM model and NMR spectroscopy </w:t>
      </w:r>
    </w:p>
    <w:p w14:paraId="0962B0CB" w14:textId="4DA47791" w:rsidR="00411CC5" w:rsidRDefault="00411CC5" w:rsidP="00411CC5">
      <w:pPr>
        <w:rPr>
          <w:u w:val="single"/>
        </w:rPr>
      </w:pPr>
      <w:r w:rsidRPr="00AC3217">
        <w:rPr>
          <w:u w:val="single"/>
        </w:rPr>
        <w:t>(</w:t>
      </w:r>
      <w:proofErr w:type="spellStart"/>
      <w:r w:rsidRPr="00AC3217">
        <w:rPr>
          <w:u w:val="single"/>
        </w:rPr>
        <w:t>i</w:t>
      </w:r>
      <w:proofErr w:type="spellEnd"/>
      <w:r w:rsidRPr="00AC3217">
        <w:rPr>
          <w:u w:val="single"/>
        </w:rPr>
        <w:t>) Study Rationale</w:t>
      </w:r>
      <w:r w:rsidR="00426EAF" w:rsidRPr="00AC3217">
        <w:rPr>
          <w:u w:val="single"/>
        </w:rPr>
        <w:t xml:space="preserve"> </w:t>
      </w:r>
    </w:p>
    <w:p w14:paraId="6C0EFDFC" w14:textId="13E9A98C" w:rsidR="00E950F4" w:rsidRPr="00AC3217" w:rsidRDefault="003C76E3" w:rsidP="00427335">
      <w:r w:rsidRPr="00AC3217">
        <w:t xml:space="preserve">Metabolomics is a </w:t>
      </w:r>
      <w:r w:rsidR="0093181F">
        <w:t>powerful</w:t>
      </w:r>
      <w:r w:rsidRPr="00AC3217">
        <w:t xml:space="preserve"> analytical approach for </w:t>
      </w:r>
      <w:r w:rsidR="0093181F">
        <w:t>investigating</w:t>
      </w:r>
      <w:r w:rsidRPr="00AC3217">
        <w:t xml:space="preserve"> dynamic changes in small</w:t>
      </w:r>
      <w:r w:rsidR="00CC7937" w:rsidRPr="00AC3217">
        <w:t xml:space="preserve">-molecule </w:t>
      </w:r>
      <w:r w:rsidR="009029E3">
        <w:t>metabolites</w:t>
      </w:r>
      <w:r w:rsidRPr="00AC3217">
        <w:t xml:space="preserve"> </w:t>
      </w:r>
      <w:r w:rsidR="00CC7937" w:rsidRPr="00AC3217">
        <w:t xml:space="preserve">within </w:t>
      </w:r>
      <w:r w:rsidRPr="00AC3217">
        <w:t>biofluids</w:t>
      </w:r>
      <w:r w:rsidR="00CC7937" w:rsidRPr="00AC3217">
        <w:t xml:space="preserve"> to help </w:t>
      </w:r>
      <w:r w:rsidR="0093181F">
        <w:t>understand the biochemical states of a phenotype</w:t>
      </w:r>
      <w:r w:rsidR="00CC7937" w:rsidRPr="00AC3217">
        <w:t xml:space="preserve"> (Akyol et al., 2023)</w:t>
      </w:r>
      <w:r w:rsidRPr="00AC3217">
        <w:t>.</w:t>
      </w:r>
      <w:r w:rsidR="00CC7937" w:rsidRPr="00AC3217">
        <w:t xml:space="preserve"> These changes can reveal </w:t>
      </w:r>
      <w:r w:rsidR="00DF4100" w:rsidRPr="00AC3217">
        <w:t>perturbations</w:t>
      </w:r>
      <w:r w:rsidR="00CC7937" w:rsidRPr="00AC3217">
        <w:t xml:space="preserve"> to the genome, transcriptome, and proteome (Guo et al., 2019). </w:t>
      </w:r>
      <w:r w:rsidR="00E950F4" w:rsidRPr="00AC3217">
        <w:t xml:space="preserve">Unlike other omics that measure stable molecular entities </w:t>
      </w:r>
      <w:r w:rsidR="0093181F">
        <w:t>(</w:t>
      </w:r>
      <w:r w:rsidR="00E950F4" w:rsidRPr="00AC3217">
        <w:t>DNA and proteins</w:t>
      </w:r>
      <w:r w:rsidR="0093181F">
        <w:t>),</w:t>
      </w:r>
      <w:r w:rsidR="00E950F4" w:rsidRPr="00AC3217">
        <w:t xml:space="preserve"> metabolomics </w:t>
      </w:r>
      <w:r w:rsidR="00427335">
        <w:t xml:space="preserve">is </w:t>
      </w:r>
      <w:r w:rsidR="00E950F4" w:rsidRPr="00AC3217">
        <w:t xml:space="preserve">highly sensitive to environmental changes and experimental design, </w:t>
      </w:r>
      <w:r w:rsidR="00427335">
        <w:t>with</w:t>
      </w:r>
      <w:r w:rsidR="00E950F4" w:rsidRPr="00AC3217">
        <w:t xml:space="preserve"> minor alterations </w:t>
      </w:r>
      <w:r w:rsidR="00427335">
        <w:t>to</w:t>
      </w:r>
      <w:r w:rsidR="00E950F4" w:rsidRPr="00AC3217">
        <w:t xml:space="preserve"> sample preparation, </w:t>
      </w:r>
      <w:r w:rsidR="00DF4100" w:rsidRPr="00AC3217">
        <w:t>handling</w:t>
      </w:r>
      <w:r w:rsidR="00E950F4" w:rsidRPr="00AC3217">
        <w:t xml:space="preserve">, or analysis significantly </w:t>
      </w:r>
      <w:r w:rsidR="00427335">
        <w:t>affecting</w:t>
      </w:r>
      <w:r w:rsidR="00E950F4" w:rsidRPr="00AC3217">
        <w:t xml:space="preserve"> </w:t>
      </w:r>
      <w:r w:rsidR="009029E3">
        <w:t xml:space="preserve">the </w:t>
      </w:r>
      <w:r w:rsidR="00E950F4" w:rsidRPr="00AC3217">
        <w:t>observed metabolic profile</w:t>
      </w:r>
      <w:r w:rsidR="00E30D32" w:rsidRPr="00AC3217">
        <w:t xml:space="preserve"> (</w:t>
      </w:r>
      <w:proofErr w:type="spellStart"/>
      <w:r w:rsidR="00E30D32" w:rsidRPr="00AC3217">
        <w:t>Emwas</w:t>
      </w:r>
      <w:proofErr w:type="spellEnd"/>
      <w:r w:rsidR="00E30D32" w:rsidRPr="00AC3217">
        <w:t xml:space="preserve"> et al., 2019)</w:t>
      </w:r>
      <w:r w:rsidR="00E950F4" w:rsidRPr="00AC3217">
        <w:t>. This highlights the critical importance of robust experimental design</w:t>
      </w:r>
      <w:r w:rsidR="00A753BC" w:rsidRPr="00AC3217">
        <w:t xml:space="preserve"> </w:t>
      </w:r>
      <w:r w:rsidR="00107EC2" w:rsidRPr="00AC3217">
        <w:t>(Kohler et al., 2016)</w:t>
      </w:r>
      <w:r w:rsidR="00E950F4" w:rsidRPr="00AC3217">
        <w:t>.</w:t>
      </w:r>
    </w:p>
    <w:p w14:paraId="0F5963D2" w14:textId="1F59AD5E" w:rsidR="00427335" w:rsidRPr="00AC3217" w:rsidRDefault="00CC7937" w:rsidP="00411CC5">
      <w:r w:rsidRPr="00AC3217">
        <w:t>Metabolic reprogramming has a pivotal role in the progression of n</w:t>
      </w:r>
      <w:r w:rsidR="003C76E3" w:rsidRPr="00AC3217">
        <w:t xml:space="preserve">euroblastoma, an aggressive </w:t>
      </w:r>
      <w:r w:rsidRPr="00AC3217">
        <w:t>paediatric</w:t>
      </w:r>
      <w:r w:rsidR="003C76E3" w:rsidRPr="00AC3217">
        <w:t xml:space="preserve"> cancer</w:t>
      </w:r>
      <w:r w:rsidRPr="00AC3217">
        <w:t xml:space="preserve"> that rewires cellular metabolism to increase fuel and growth production (Bansal, Gupta and Ding, 2022)</w:t>
      </w:r>
      <w:r w:rsidR="00D241C8" w:rsidRPr="00AC3217">
        <w:t xml:space="preserve">. By exposing the neuroblastoma cells to low oxygen (1% O2), hypoxic preconditioning can </w:t>
      </w:r>
      <w:r w:rsidR="00FE768B" w:rsidRPr="00AC3217">
        <w:t>affect</w:t>
      </w:r>
      <w:r w:rsidR="00D241C8" w:rsidRPr="00AC3217">
        <w:t xml:space="preserve"> tumour oxygenation and the metabolic signature in vivo. As hypoxia is known to induce cellular pathways that enhance proliferation and survival of cancer cells, a chick embryo</w:t>
      </w:r>
      <w:r w:rsidR="00FE768B" w:rsidRPr="00AC3217">
        <w:t xml:space="preserve"> chorioallantoic membrane (CAM) model </w:t>
      </w:r>
      <w:r w:rsidR="00D241C8" w:rsidRPr="00AC3217">
        <w:t>was used to assess the resulting metabolic profile of tumour cells exposed to 1% and 21% oxygen compared to normal control cells exposed to 1% and 21% oxygen</w:t>
      </w:r>
      <w:r w:rsidR="006E011E" w:rsidRPr="00AC3217">
        <w:t xml:space="preserve"> (Patiño-Morales et al., 2023)</w:t>
      </w:r>
      <w:r w:rsidR="00D241C8" w:rsidRPr="00AC3217">
        <w:t xml:space="preserve">. </w:t>
      </w:r>
      <w:r w:rsidR="00427335">
        <w:t>This study aims to reveal metabolic changes in tumour cells under hypoxic conditions, potentially identifying biomarkers or therapeutic targets.</w:t>
      </w:r>
    </w:p>
    <w:p w14:paraId="2D8AFC98" w14:textId="77777777" w:rsidR="00FE768B" w:rsidRPr="00AC3217" w:rsidRDefault="00FE768B" w:rsidP="00411CC5"/>
    <w:p w14:paraId="17CA4E03" w14:textId="77777777" w:rsidR="003C76E3" w:rsidRPr="00AC3217" w:rsidRDefault="003C76E3" w:rsidP="00411CC5"/>
    <w:p w14:paraId="59F3B706" w14:textId="77777777" w:rsidR="00FC32EE" w:rsidRDefault="00411CC5" w:rsidP="00411CC5">
      <w:pPr>
        <w:rPr>
          <w:u w:val="single"/>
        </w:rPr>
      </w:pPr>
      <w:r w:rsidRPr="00AC3217">
        <w:rPr>
          <w:u w:val="single"/>
        </w:rPr>
        <w:t>(ii) Study Selection and Experimental Design</w:t>
      </w:r>
      <w:r w:rsidR="001372EC">
        <w:rPr>
          <w:u w:val="single"/>
        </w:rPr>
        <w:t xml:space="preserve"> </w:t>
      </w:r>
    </w:p>
    <w:p w14:paraId="5E8CA862" w14:textId="4D5DAB06" w:rsidR="004060CA" w:rsidRDefault="00DA4D8A" w:rsidP="0032499F">
      <w:r w:rsidRPr="00AC3217">
        <w:t>H</w:t>
      </w:r>
      <w:r w:rsidR="00E2653C" w:rsidRPr="00AC3217">
        <w:t xml:space="preserve">ypoxic preconditioning on </w:t>
      </w:r>
      <w:r w:rsidRPr="00AC3217">
        <w:t>tumour oxygenation was measured using fibre-optic oxygen sensors</w:t>
      </w:r>
      <w:r w:rsidR="003250EE">
        <w:t xml:space="preserve"> </w:t>
      </w:r>
      <w:r w:rsidR="003250EE" w:rsidRPr="003250EE">
        <w:t>(Presens.de, 2015)</w:t>
      </w:r>
      <w:r w:rsidRPr="00AC3217">
        <w:t xml:space="preserve">. Samples consisted of tumours formed by SK-N-AS neuroblastoma cells that were preconditioned in hypoxia or </w:t>
      </w:r>
      <w:proofErr w:type="spellStart"/>
      <w:r w:rsidRPr="00AC3217">
        <w:t>normoxia</w:t>
      </w:r>
      <w:proofErr w:type="spellEnd"/>
      <w:r w:rsidRPr="00AC3217">
        <w:t xml:space="preserve"> and implanted into the CAM of a chick embryo. This provides </w:t>
      </w:r>
      <w:r w:rsidR="00F5064C" w:rsidRPr="00AC3217">
        <w:t xml:space="preserve">an </w:t>
      </w:r>
      <w:r w:rsidR="003508F6" w:rsidRPr="00AC3217">
        <w:t>opportunity to assess the metabolic impact of hypoxia at a cellular level, capturing cellular metabolism and the tumour microenvironment</w:t>
      </w:r>
      <w:r w:rsidR="00F27929" w:rsidRPr="00AC3217">
        <w:t xml:space="preserve"> (</w:t>
      </w:r>
      <w:proofErr w:type="spellStart"/>
      <w:r w:rsidR="00F27929" w:rsidRPr="00AC3217">
        <w:t>Ribatti</w:t>
      </w:r>
      <w:proofErr w:type="spellEnd"/>
      <w:r w:rsidR="00F27929" w:rsidRPr="00AC3217">
        <w:t>, 2017)</w:t>
      </w:r>
      <w:r w:rsidR="003508F6" w:rsidRPr="00AC3217">
        <w:t xml:space="preserve">. </w:t>
      </w:r>
    </w:p>
    <w:p w14:paraId="1F217ADC" w14:textId="3EBED550" w:rsidR="000B1AAB" w:rsidRPr="00AC3217" w:rsidRDefault="000B1AAB" w:rsidP="000B1AAB">
      <w:r>
        <w:t>C</w:t>
      </w:r>
      <w:r w:rsidRPr="00AC3217">
        <w:t xml:space="preserve">ontrolling oxygen is essential for reproducibility (Rogers et al., 2025). This was controlled by culturing the neuroblastoma cells under strictly controlled oxygen conditions, with 1% O2 for hypoxia, and 21% O2 for </w:t>
      </w:r>
      <w:proofErr w:type="spellStart"/>
      <w:r w:rsidRPr="00AC3217">
        <w:t>normoxia</w:t>
      </w:r>
      <w:proofErr w:type="spellEnd"/>
      <w:r w:rsidRPr="00AC3217">
        <w:t xml:space="preserve">. </w:t>
      </w:r>
      <w:r>
        <w:t>C</w:t>
      </w:r>
      <w:r w:rsidRPr="00AC3217">
        <w:t xml:space="preserve">ulture conditions were controlled by using the same cell </w:t>
      </w:r>
      <w:r>
        <w:t>line</w:t>
      </w:r>
      <w:r w:rsidRPr="00AC3217">
        <w:t xml:space="preserve"> (SK-N-AS), passage number, culture medium and incubation periods for all experimental replicates, minimising variability due to external factors. Finally, the metabolite extraction process was controlled by rapidly washing cells with ice-cold PBS, harvesting and </w:t>
      </w:r>
      <w:r>
        <w:t>immediately</w:t>
      </w:r>
      <w:r w:rsidRPr="00AC3217">
        <w:t xml:space="preserve"> </w:t>
      </w:r>
      <w:r w:rsidRPr="00AC3217">
        <w:lastRenderedPageBreak/>
        <w:t xml:space="preserve">freezing with liquid nitrogen to minimise post-harvest metabolic activity to ensure the features reflect their true cellular state (Al-Mutawa et al., 2018). </w:t>
      </w:r>
      <w:r>
        <w:t>The study’s overall workflow is summarised in Figure 1.</w:t>
      </w:r>
    </w:p>
    <w:p w14:paraId="3F64F540" w14:textId="77777777" w:rsidR="000B1AAB" w:rsidRDefault="000B1AAB" w:rsidP="0032499F"/>
    <w:p w14:paraId="2274622E" w14:textId="0E352BAD" w:rsidR="00CF001B" w:rsidRDefault="00CF001B" w:rsidP="0032499F">
      <w:r>
        <w:rPr>
          <w:noProof/>
        </w:rPr>
        <w:drawing>
          <wp:inline distT="0" distB="0" distL="0" distR="0" wp14:anchorId="50C6BCAA" wp14:editId="4BD8831A">
            <wp:extent cx="5731510" cy="2934335"/>
            <wp:effectExtent l="0" t="0" r="2540" b="0"/>
            <wp:docPr id="12446630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3015" name="Picture 2" descr="A screenshot of a computer scre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057AFBE3" w14:textId="5212D286" w:rsidR="002F19E2" w:rsidRDefault="00CF001B" w:rsidP="0032499F">
      <w:r w:rsidRPr="000B27FC">
        <w:rPr>
          <w:b/>
          <w:bCs/>
        </w:rPr>
        <w:t>Figure 1. Experimental design and data processing to investigate the metabolomic effects of hypoxia on neuroblastoma cells.</w:t>
      </w:r>
      <w:r w:rsidR="002F19E2">
        <w:t xml:space="preserve"> Based on research from </w:t>
      </w:r>
      <w:r w:rsidR="002F19E2" w:rsidRPr="002F19E2">
        <w:t xml:space="preserve">Al-Mutawa et al., </w:t>
      </w:r>
      <w:r w:rsidR="002F19E2">
        <w:t>(</w:t>
      </w:r>
      <w:r w:rsidR="002F19E2" w:rsidRPr="002F19E2">
        <w:t>2018)</w:t>
      </w:r>
      <w:r w:rsidR="002F19E2">
        <w:t xml:space="preserve">. Created in </w:t>
      </w:r>
      <w:proofErr w:type="spellStart"/>
      <w:r w:rsidR="002F19E2">
        <w:t>Biorender</w:t>
      </w:r>
      <w:proofErr w:type="spellEnd"/>
      <w:r w:rsidR="002F19E2">
        <w:t>.</w:t>
      </w:r>
    </w:p>
    <w:p w14:paraId="080AE153" w14:textId="5A4DF724" w:rsidR="00F5435B" w:rsidRDefault="003508F6" w:rsidP="0032499F">
      <w:r w:rsidRPr="00AC3217">
        <w:t xml:space="preserve">Additionally, the CAM model creates a cost- and time-effective in vivo system </w:t>
      </w:r>
      <w:r w:rsidR="00F5435B">
        <w:t xml:space="preserve">for </w:t>
      </w:r>
      <w:r w:rsidR="00E950F4" w:rsidRPr="00AC3217">
        <w:t>analysis of direct metabolic responses to hypoxia at a cellular level and in a living organism</w:t>
      </w:r>
      <w:r w:rsidR="00F5435B">
        <w:t xml:space="preserve"> </w:t>
      </w:r>
      <w:r w:rsidR="00F5435B" w:rsidRPr="00AC3217">
        <w:t>(Al-Mutawa et al., 2018)</w:t>
      </w:r>
      <w:r w:rsidR="00E950F4" w:rsidRPr="00AC3217">
        <w:t>.</w:t>
      </w:r>
      <w:r w:rsidRPr="00AC3217">
        <w:t xml:space="preserve"> </w:t>
      </w:r>
      <w:r w:rsidR="00F5435B">
        <w:t>B</w:t>
      </w:r>
      <w:r w:rsidR="00F5435B" w:rsidRPr="00AC3217">
        <w:t xml:space="preserve">y combining in vitro (cell culture) and in vivo (CAM model) approaches, this study can observe how hypoxia directly affects cell metabolism (in vitro) and assess metabolic changes that influence tumour growth in a living system (in vivo). </w:t>
      </w:r>
      <w:r w:rsidRPr="00AC3217">
        <w:t xml:space="preserve">However, this model </w:t>
      </w:r>
      <w:r w:rsidR="00F5435B">
        <w:t>doesn’t</w:t>
      </w:r>
      <w:r w:rsidRPr="00AC3217">
        <w:t xml:space="preserve"> fully replicate the complexity of human tumour biology</w:t>
      </w:r>
      <w:r w:rsidR="00E950F4" w:rsidRPr="00AC3217">
        <w:t>,</w:t>
      </w:r>
      <w:r w:rsidRPr="00AC3217">
        <w:t xml:space="preserve"> and the in vitro cell culture may lack interactions </w:t>
      </w:r>
      <w:r w:rsidR="00F27929" w:rsidRPr="00AC3217">
        <w:t>within</w:t>
      </w:r>
      <w:r w:rsidRPr="00AC3217">
        <w:t xml:space="preserve"> </w:t>
      </w:r>
      <w:r w:rsidR="00670F98" w:rsidRPr="00AC3217">
        <w:t>humans</w:t>
      </w:r>
      <w:r w:rsidRPr="00AC3217">
        <w:t>.</w:t>
      </w:r>
      <w:r w:rsidR="009D7A10" w:rsidRPr="00AC3217">
        <w:t xml:space="preserve"> </w:t>
      </w:r>
    </w:p>
    <w:p w14:paraId="57690A69" w14:textId="29B2D0C6" w:rsidR="009D7A10" w:rsidRPr="00AC3217" w:rsidRDefault="004060CA" w:rsidP="000B1AAB">
      <w:r>
        <w:t>N</w:t>
      </w:r>
      <w:r w:rsidR="009D7A10" w:rsidRPr="00AC3217">
        <w:t xml:space="preserve">uclear magnetic resonance (NMR) spectroscopy </w:t>
      </w:r>
      <w:r>
        <w:t xml:space="preserve">was used </w:t>
      </w:r>
      <w:r w:rsidR="009D7A10" w:rsidRPr="00AC3217">
        <w:t xml:space="preserve">for metabolite profiling. This </w:t>
      </w:r>
      <w:r>
        <w:t xml:space="preserve">is </w:t>
      </w:r>
      <w:r w:rsidR="00F5064C" w:rsidRPr="00AC3217">
        <w:t>non-destructive</w:t>
      </w:r>
      <w:r w:rsidR="009D7A10" w:rsidRPr="00AC3217">
        <w:t xml:space="preserve"> </w:t>
      </w:r>
      <w:r w:rsidR="00F5064C" w:rsidRPr="00AC3217">
        <w:t xml:space="preserve">and allows </w:t>
      </w:r>
      <w:r>
        <w:t>multiple-dimensional</w:t>
      </w:r>
      <w:r w:rsidR="00F5064C" w:rsidRPr="00AC3217">
        <w:t xml:space="preserve"> experiments on a single sample</w:t>
      </w:r>
      <w:r>
        <w:t xml:space="preserve"> </w:t>
      </w:r>
      <w:r w:rsidR="003250EE" w:rsidRPr="003250EE">
        <w:t>(Marion, 2013</w:t>
      </w:r>
      <w:r w:rsidR="003250EE">
        <w:t xml:space="preserve">; </w:t>
      </w:r>
      <w:proofErr w:type="spellStart"/>
      <w:r w:rsidR="00F5064C" w:rsidRPr="00AC3217">
        <w:t>Letertre</w:t>
      </w:r>
      <w:proofErr w:type="spellEnd"/>
      <w:r w:rsidR="00F5064C" w:rsidRPr="00AC3217">
        <w:t>, Giraudeau and de Tullio, 2021)</w:t>
      </w:r>
      <w:r w:rsidR="009D7A10" w:rsidRPr="00AC3217">
        <w:t>.</w:t>
      </w:r>
      <w:r w:rsidR="00F5435B" w:rsidRPr="00AC3217">
        <w:t xml:space="preserve"> </w:t>
      </w:r>
      <w:r w:rsidR="00F5435B">
        <w:t>NMR has</w:t>
      </w:r>
      <w:r w:rsidR="00F5435B" w:rsidRPr="00AC3217">
        <w:t xml:space="preserve"> broad coverage, </w:t>
      </w:r>
      <w:r w:rsidR="00F5435B">
        <w:t>detecting</w:t>
      </w:r>
      <w:r w:rsidR="00F5435B" w:rsidRPr="00AC3217">
        <w:t xml:space="preserve"> a wide range of metabolites in a single run</w:t>
      </w:r>
      <w:r w:rsidR="00F5435B">
        <w:t>,</w:t>
      </w:r>
      <w:r w:rsidR="000B1AAB">
        <w:t xml:space="preserve"> and</w:t>
      </w:r>
      <w:r w:rsidR="009D7A10" w:rsidRPr="00AC3217">
        <w:t xml:space="preserve"> provides highly reproducible quantitative data with TSP internal standard for chemical calibration</w:t>
      </w:r>
      <w:r w:rsidR="000B1AAB">
        <w:t xml:space="preserve">. This is beneficial when </w:t>
      </w:r>
      <w:r w:rsidR="009D7A10" w:rsidRPr="00AC3217">
        <w:t>comparing metabolic profiles across various conditions</w:t>
      </w:r>
      <w:r w:rsidR="00F5064C" w:rsidRPr="00AC3217">
        <w:t xml:space="preserve"> (Markley et al., 2017)</w:t>
      </w:r>
      <w:r w:rsidR="009D7A10" w:rsidRPr="00AC3217">
        <w:t>. However, NMR is typically less sensitive than mass spectrometry (MS), needing higher concentrations to detect low-abundance metabolites</w:t>
      </w:r>
      <w:r w:rsidR="00B540F9" w:rsidRPr="00AC3217">
        <w:t xml:space="preserve"> (Gowda and Raftery, 2022)</w:t>
      </w:r>
      <w:r w:rsidR="009D7A10" w:rsidRPr="00AC3217">
        <w:t xml:space="preserve">. </w:t>
      </w:r>
      <w:r w:rsidR="00087466">
        <w:t xml:space="preserve">Also, </w:t>
      </w:r>
      <w:r w:rsidR="00FB47FF">
        <w:t>l</w:t>
      </w:r>
      <w:r w:rsidR="00087466">
        <w:t>ower</w:t>
      </w:r>
      <w:r w:rsidR="009D7A10" w:rsidRPr="00AC3217">
        <w:t xml:space="preserve"> resolution mean</w:t>
      </w:r>
      <w:r w:rsidR="00087466">
        <w:t>s</w:t>
      </w:r>
      <w:r w:rsidR="009D7A10" w:rsidRPr="00AC3217">
        <w:t xml:space="preserve"> that overlapping chemical shifts are challenging to resolve, making it hard to distinguish similar compounds. Furthermore, NMR spectrometers, like 700 MHz used in this study, are expensive to acquire and maintain</w:t>
      </w:r>
      <w:r w:rsidR="00B540F9" w:rsidRPr="00AC3217">
        <w:t xml:space="preserve"> (Larive, Barding and Dinges, 2014)</w:t>
      </w:r>
      <w:r w:rsidR="009D7A10" w:rsidRPr="00AC3217">
        <w:t>.</w:t>
      </w:r>
    </w:p>
    <w:p w14:paraId="3616113A" w14:textId="3F9DEFAA" w:rsidR="009D7A10" w:rsidRPr="00AC3217" w:rsidRDefault="009D7A10" w:rsidP="0032499F">
      <w:r w:rsidRPr="00AC3217">
        <w:t>Alternatively</w:t>
      </w:r>
      <w:r w:rsidR="00B540F9" w:rsidRPr="00AC3217">
        <w:t>,</w:t>
      </w:r>
      <w:r w:rsidRPr="00AC3217">
        <w:t xml:space="preserve"> liquid chromatography-mass spectrometry (LC-MS) could have been used for this metabolomic analysis. LC-MS has higher </w:t>
      </w:r>
      <w:r w:rsidR="00B540F9" w:rsidRPr="00AC3217">
        <w:t>sensitivity</w:t>
      </w:r>
      <w:r w:rsidRPr="00AC3217">
        <w:t>, broader coverage</w:t>
      </w:r>
      <w:r w:rsidR="00B540F9" w:rsidRPr="00AC3217">
        <w:t>,</w:t>
      </w:r>
      <w:r w:rsidRPr="00AC3217">
        <w:t xml:space="preserve"> flexible sample preparation techniques, and diverse ionisation methods that can detect polar and non-polar </w:t>
      </w:r>
      <w:r w:rsidRPr="00AC3217">
        <w:lastRenderedPageBreak/>
        <w:t>metabolites</w:t>
      </w:r>
      <w:r w:rsidR="002B3FED" w:rsidRPr="00AC3217">
        <w:t xml:space="preserve"> (Stanislava </w:t>
      </w:r>
      <w:proofErr w:type="spellStart"/>
      <w:r w:rsidR="002B3FED" w:rsidRPr="00AC3217">
        <w:t>Rakusanova</w:t>
      </w:r>
      <w:proofErr w:type="spellEnd"/>
      <w:r w:rsidR="002B3FED" w:rsidRPr="00AC3217">
        <w:t xml:space="preserve"> and Cajka, 2024)</w:t>
      </w:r>
      <w:r w:rsidRPr="00AC3217">
        <w:t>. However, this requires ex</w:t>
      </w:r>
      <w:r w:rsidR="00DF6D9A" w:rsidRPr="00AC3217">
        <w:t>tensive sample preparation and can be less reproducible du</w:t>
      </w:r>
      <w:r w:rsidR="000B1AAB">
        <w:t>e</w:t>
      </w:r>
      <w:r w:rsidR="00B540F9" w:rsidRPr="00AC3217">
        <w:t>,</w:t>
      </w:r>
      <w:r w:rsidR="00DF6D9A" w:rsidRPr="00AC3217">
        <w:t xml:space="preserve"> adding variability between runs. Moreover, ion suppression can occur due to the sample matrix, affecting the </w:t>
      </w:r>
      <w:r w:rsidR="00435A71" w:rsidRPr="00AC3217">
        <w:t xml:space="preserve">metabolite </w:t>
      </w:r>
      <w:r w:rsidR="00DF6D9A" w:rsidRPr="00AC3217">
        <w:t>detection sensitivity</w:t>
      </w:r>
      <w:r w:rsidR="002B3FED" w:rsidRPr="00AC3217">
        <w:t xml:space="preserve"> (Mei et al., 2002)</w:t>
      </w:r>
      <w:r w:rsidR="00435A71" w:rsidRPr="00AC3217">
        <w:t xml:space="preserve">. </w:t>
      </w:r>
    </w:p>
    <w:p w14:paraId="27C5170A" w14:textId="2AC9E3F3" w:rsidR="00411CC5" w:rsidRPr="00AC3217" w:rsidRDefault="00435A71" w:rsidP="00411CC5">
      <w:r w:rsidRPr="00AC3217">
        <w:t xml:space="preserve">Despite the advantages of LC-MS, NMR was chosen due to </w:t>
      </w:r>
      <w:r w:rsidR="00670F98" w:rsidRPr="00AC3217">
        <w:t>its</w:t>
      </w:r>
      <w:r w:rsidRPr="00AC3217">
        <w:t xml:space="preserve"> superior </w:t>
      </w:r>
      <w:r w:rsidR="00670F98" w:rsidRPr="00AC3217">
        <w:t>reproducibility</w:t>
      </w:r>
      <w:r w:rsidRPr="00AC3217">
        <w:t xml:space="preserve">, non-destructive workflow and ability to compare relative metabolite concentrations across samples. </w:t>
      </w:r>
    </w:p>
    <w:p w14:paraId="471E36AD" w14:textId="77777777" w:rsidR="000C3029" w:rsidRPr="00AC3217" w:rsidRDefault="000C3029" w:rsidP="00411CC5"/>
    <w:p w14:paraId="2A5EB1C2" w14:textId="49E9B6A6" w:rsidR="00411CC5" w:rsidRDefault="00411CC5" w:rsidP="00411CC5">
      <w:pPr>
        <w:rPr>
          <w:u w:val="single"/>
        </w:rPr>
      </w:pPr>
      <w:r w:rsidRPr="00AC3217">
        <w:rPr>
          <w:u w:val="single"/>
        </w:rPr>
        <w:t>(iii) Data Preparation</w:t>
      </w:r>
    </w:p>
    <w:p w14:paraId="5CB1B71C" w14:textId="0BEFD358" w:rsidR="008C5732" w:rsidRPr="00AC3217" w:rsidRDefault="008C5732" w:rsidP="008A637A">
      <w:r w:rsidRPr="00AC3217">
        <w:t>The raw NMR spectra were initially normalised to the internal standard trimethylsilyl propionate (TSP</w:t>
      </w:r>
      <w:r w:rsidR="00F47C1A" w:rsidRPr="00AC3217">
        <w:t>)</w:t>
      </w:r>
      <w:r w:rsidR="009D7228">
        <w:t xml:space="preserve">, </w:t>
      </w:r>
      <w:r w:rsidRPr="00AC3217">
        <w:t xml:space="preserve">ensuring chemical </w:t>
      </w:r>
      <w:r w:rsidR="009D7228">
        <w:t>shift</w:t>
      </w:r>
      <w:r w:rsidRPr="00AC3217">
        <w:t xml:space="preserve"> align</w:t>
      </w:r>
      <w:r w:rsidR="009D7228">
        <w:t>ment</w:t>
      </w:r>
      <w:r w:rsidRPr="00AC3217">
        <w:t xml:space="preserve"> across samples</w:t>
      </w:r>
      <w:r w:rsidR="00F77EC4" w:rsidRPr="00AC3217">
        <w:t xml:space="preserve"> to improve the reliability of peak identification and quantification</w:t>
      </w:r>
      <w:r w:rsidR="00876E22" w:rsidRPr="00AC3217">
        <w:t xml:space="preserve"> (Gowda and Raftery, 2022)</w:t>
      </w:r>
      <w:r w:rsidR="00F77EC4" w:rsidRPr="00AC3217">
        <w:t xml:space="preserve">. </w:t>
      </w:r>
      <w:r w:rsidRPr="00AC3217">
        <w:t>However, despite TSP normalisation being essential for peak consistency and spectral alignment, it doesn’t correct for differences in dilution effects, sample concentration</w:t>
      </w:r>
      <w:r w:rsidR="00F47C1A" w:rsidRPr="00AC3217">
        <w:t>,</w:t>
      </w:r>
      <w:r w:rsidRPr="00AC3217">
        <w:t xml:space="preserve"> or complete signal intensity among samples</w:t>
      </w:r>
      <w:r w:rsidR="00876E22" w:rsidRPr="00AC3217">
        <w:t xml:space="preserve"> (Grasso et al., 2022)</w:t>
      </w:r>
      <w:r w:rsidR="00F47C1A" w:rsidRPr="00AC3217">
        <w:t xml:space="preserve">. Therefore, further normalisation techniques were required to confirm that the observed metabolic variations reflected true biological differences. </w:t>
      </w:r>
    </w:p>
    <w:p w14:paraId="3875CC80" w14:textId="7005737E" w:rsidR="00AB08BF" w:rsidRPr="00AC3217" w:rsidRDefault="00F509C4" w:rsidP="008A637A">
      <w:r>
        <w:t>M</w:t>
      </w:r>
      <w:r w:rsidR="006E1083" w:rsidRPr="00AC3217">
        <w:t>edian normalisation (MN) adjusts the intensity of each sample by dividing each value by the median intensity of the sample, ensuring comparable data without changing the variance structure between metabolites. Unlike methods such as PQN or TAN, which adjust values relative to a reference, causing proportional intensity scaling, MN keeps the relative distribution of metabolite intensities within each sample. This preserves the natural variability of each metabolite, which is crucial for univariate analysis</w:t>
      </w:r>
      <w:r w:rsidR="00350958" w:rsidRPr="00AC3217">
        <w:t xml:space="preserve"> in detecting statistically significant differences between groups</w:t>
      </w:r>
      <w:r w:rsidR="009D7228">
        <w:t>,</w:t>
      </w:r>
      <w:r w:rsidR="00350958" w:rsidRPr="00AC3217">
        <w:t xml:space="preserve"> e.g. </w:t>
      </w:r>
      <w:proofErr w:type="spellStart"/>
      <w:r w:rsidR="00350958" w:rsidRPr="00AC3217">
        <w:t>normoxia</w:t>
      </w:r>
      <w:proofErr w:type="spellEnd"/>
      <w:r w:rsidR="00350958" w:rsidRPr="00AC3217">
        <w:t xml:space="preserve"> vs. hypoxia</w:t>
      </w:r>
      <w:r w:rsidR="009D7228">
        <w:t xml:space="preserve"> </w:t>
      </w:r>
      <w:r w:rsidR="00DC0230" w:rsidRPr="00AC3217">
        <w:t>(Jauhiainen et al., 2014)</w:t>
      </w:r>
      <w:r w:rsidR="008A637A" w:rsidRPr="00AC3217">
        <w:t xml:space="preserve">. </w:t>
      </w:r>
    </w:p>
    <w:p w14:paraId="7655E7D8" w14:textId="675825B2" w:rsidR="00F509C4" w:rsidRDefault="008A637A" w:rsidP="008A637A">
      <w:r w:rsidRPr="00AC3217">
        <w:t>In contrast</w:t>
      </w:r>
      <w:r w:rsidR="004E298A" w:rsidRPr="00AC3217">
        <w:t>, PQN</w:t>
      </w:r>
      <w:r w:rsidRPr="00AC3217">
        <w:t xml:space="preserve"> accounts for dilution effects and sample concentration differences by scaling samples based on the reference spectrum (control). This method divides each </w:t>
      </w:r>
      <w:r w:rsidR="00F509C4">
        <w:t>intensity</w:t>
      </w:r>
      <w:r w:rsidRPr="00AC3217">
        <w:t xml:space="preserve"> by a sample-specific quotient, the median ratio of all </w:t>
      </w:r>
      <w:r w:rsidR="00EE4CA8" w:rsidRPr="00AC3217">
        <w:t>sample intensities</w:t>
      </w:r>
      <w:r w:rsidRPr="00AC3217">
        <w:t xml:space="preserve"> to the reference</w:t>
      </w:r>
      <w:r w:rsidR="00F509C4">
        <w:t xml:space="preserve">, </w:t>
      </w:r>
      <w:r w:rsidRPr="00AC3217">
        <w:t xml:space="preserve">correcting systematic dilution effects and does not assume </w:t>
      </w:r>
      <w:r w:rsidR="00D05F89" w:rsidRPr="00AC3217">
        <w:t>a balanced total signal across samples</w:t>
      </w:r>
      <w:r w:rsidR="00DC0230" w:rsidRPr="00AC3217">
        <w:t xml:space="preserve"> (Dieterle et al., 2006)</w:t>
      </w:r>
      <w:r w:rsidR="00D05F89" w:rsidRPr="00AC3217">
        <w:t>. However, this requires a good reference sample and may not be ideal if many metabolites vary dramatically between conditions.</w:t>
      </w:r>
      <w:r w:rsidRPr="00AC3217">
        <w:t xml:space="preserve"> </w:t>
      </w:r>
      <w:r w:rsidR="00A12B29" w:rsidRPr="00AC3217">
        <w:t xml:space="preserve">Given that the study hypothesises that metabolism will differ significantly between hypoxic and </w:t>
      </w:r>
      <w:proofErr w:type="spellStart"/>
      <w:r w:rsidR="00A12B29" w:rsidRPr="00AC3217">
        <w:t>normoxic</w:t>
      </w:r>
      <w:proofErr w:type="spellEnd"/>
      <w:r w:rsidR="00A12B29" w:rsidRPr="00AC3217">
        <w:t xml:space="preserve"> cells, PQN may not be </w:t>
      </w:r>
      <w:r w:rsidR="00F509C4">
        <w:t xml:space="preserve">suitable. MN with </w:t>
      </w:r>
      <w:proofErr w:type="spellStart"/>
      <w:r w:rsidR="00F509C4">
        <w:t>Glog</w:t>
      </w:r>
      <w:proofErr w:type="spellEnd"/>
      <w:r w:rsidR="00F509C4">
        <w:t xml:space="preserve"> transformation was chosen as it had the lowest RSD (Figure </w:t>
      </w:r>
      <w:r w:rsidR="00CF001B">
        <w:t>2</w:t>
      </w:r>
      <w:r w:rsidR="00F509C4">
        <w:t xml:space="preserve">) and reduced dimensionality across features (Figure </w:t>
      </w:r>
      <w:r w:rsidR="00CF001B">
        <w:t>3</w:t>
      </w:r>
      <w:r w:rsidR="00F509C4">
        <w:t>).</w:t>
      </w:r>
    </w:p>
    <w:p w14:paraId="0F3B5A19" w14:textId="6680996C" w:rsidR="009D7228" w:rsidRDefault="009D7228" w:rsidP="008A637A">
      <w:r w:rsidRPr="00AC3217">
        <w:rPr>
          <w:noProof/>
        </w:rPr>
        <w:lastRenderedPageBreak/>
        <w:drawing>
          <wp:inline distT="0" distB="0" distL="0" distR="0" wp14:anchorId="5CB21463" wp14:editId="36C4FCB9">
            <wp:extent cx="5008341" cy="2736300"/>
            <wp:effectExtent l="0" t="0" r="1905" b="6985"/>
            <wp:docPr id="514218735" name="Picture 1" descr="A graph with different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18735" name="Picture 1" descr="A graph with different colored boxes&#10;&#10;AI-generated content may be incorrect."/>
                    <pic:cNvPicPr/>
                  </pic:nvPicPr>
                  <pic:blipFill rotWithShape="1">
                    <a:blip r:embed="rId6"/>
                    <a:srcRect t="8036" b="5403"/>
                    <a:stretch/>
                  </pic:blipFill>
                  <pic:spPr bwMode="auto">
                    <a:xfrm>
                      <a:off x="0" y="0"/>
                      <a:ext cx="5010849" cy="2737670"/>
                    </a:xfrm>
                    <a:prstGeom prst="rect">
                      <a:avLst/>
                    </a:prstGeom>
                    <a:ln>
                      <a:noFill/>
                    </a:ln>
                    <a:extLst>
                      <a:ext uri="{53640926-AAD7-44D8-BBD7-CCE9431645EC}">
                        <a14:shadowObscured xmlns:a14="http://schemas.microsoft.com/office/drawing/2010/main"/>
                      </a:ext>
                    </a:extLst>
                  </pic:spPr>
                </pic:pic>
              </a:graphicData>
            </a:graphic>
          </wp:inline>
        </w:drawing>
      </w:r>
    </w:p>
    <w:p w14:paraId="639536F6" w14:textId="0ABAB05B" w:rsidR="002F19E2" w:rsidRPr="00AC3217" w:rsidRDefault="009D7228" w:rsidP="002F19E2">
      <w:r w:rsidRPr="000B27FC">
        <w:rPr>
          <w:b/>
          <w:bCs/>
        </w:rPr>
        <w:t xml:space="preserve">Figure </w:t>
      </w:r>
      <w:r w:rsidR="00CF001B" w:rsidRPr="000B27FC">
        <w:rPr>
          <w:b/>
          <w:bCs/>
        </w:rPr>
        <w:t>2</w:t>
      </w:r>
      <w:r w:rsidRPr="000B27FC">
        <w:rPr>
          <w:b/>
          <w:bCs/>
        </w:rPr>
        <w:t xml:space="preserve">. The effect of normalisation techniques on the RSD </w:t>
      </w:r>
      <w:r w:rsidR="002F19E2" w:rsidRPr="000B27FC">
        <w:rPr>
          <w:b/>
          <w:bCs/>
        </w:rPr>
        <w:t xml:space="preserve">with metabolomic data of neuroblastoma across hypoxic and </w:t>
      </w:r>
      <w:proofErr w:type="spellStart"/>
      <w:r w:rsidR="002F19E2" w:rsidRPr="000B27FC">
        <w:rPr>
          <w:b/>
          <w:bCs/>
        </w:rPr>
        <w:t>normoxic</w:t>
      </w:r>
      <w:proofErr w:type="spellEnd"/>
      <w:r w:rsidR="002F19E2" w:rsidRPr="000B27FC">
        <w:rPr>
          <w:b/>
          <w:bCs/>
        </w:rPr>
        <w:t xml:space="preserve"> conditions.</w:t>
      </w:r>
      <w:r w:rsidR="000B27FC">
        <w:t xml:space="preserve"> Boxplots comparing the relative standard deviation (RSD) of metabolite intensities across the raw spectra and different normalisation methods: median, median with </w:t>
      </w:r>
      <w:proofErr w:type="spellStart"/>
      <w:r w:rsidR="000B27FC">
        <w:t>Glog</w:t>
      </w:r>
      <w:proofErr w:type="spellEnd"/>
      <w:r w:rsidR="000B27FC">
        <w:t xml:space="preserve">, probabilistic quotient normalisation (PQN), PQN with </w:t>
      </w:r>
      <w:proofErr w:type="spellStart"/>
      <w:r w:rsidR="000B27FC">
        <w:t>Glog</w:t>
      </w:r>
      <w:proofErr w:type="spellEnd"/>
      <w:r w:rsidR="000B27FC">
        <w:t xml:space="preserve">, standard normal variate normalisation (SN), SN with </w:t>
      </w:r>
      <w:proofErr w:type="spellStart"/>
      <w:r w:rsidR="000B27FC">
        <w:t>Glog</w:t>
      </w:r>
      <w:proofErr w:type="spellEnd"/>
      <w:r w:rsidR="000B27FC">
        <w:t xml:space="preserve">, total area normalisation (TAN), TAN with </w:t>
      </w:r>
      <w:proofErr w:type="spellStart"/>
      <w:r w:rsidR="000B27FC">
        <w:t>Glog</w:t>
      </w:r>
      <w:proofErr w:type="spellEnd"/>
      <w:r w:rsidR="000B27FC">
        <w:t xml:space="preserve">. </w:t>
      </w:r>
    </w:p>
    <w:p w14:paraId="44DDEC0C" w14:textId="6E6A7499" w:rsidR="009D7228" w:rsidRPr="00AC3217" w:rsidRDefault="009D7228" w:rsidP="009D7228"/>
    <w:p w14:paraId="10B55D0C" w14:textId="77777777" w:rsidR="009D7228" w:rsidRPr="00AC3217" w:rsidRDefault="009D7228" w:rsidP="009D7228"/>
    <w:p w14:paraId="02F816C0" w14:textId="77777777" w:rsidR="00D05F89" w:rsidRPr="00AC3217" w:rsidRDefault="00D05F89" w:rsidP="008A637A"/>
    <w:p w14:paraId="4D65C7E1" w14:textId="40520C68" w:rsidR="009A38D2" w:rsidRPr="009A38D2" w:rsidRDefault="009A38D2" w:rsidP="009A38D2">
      <w:r w:rsidRPr="00AC3217">
        <w:rPr>
          <w:noProof/>
        </w:rPr>
        <w:lastRenderedPageBreak/>
        <w:drawing>
          <wp:inline distT="0" distB="0" distL="0" distR="0" wp14:anchorId="7A348F2E" wp14:editId="1F349F66">
            <wp:extent cx="5731510" cy="4984115"/>
            <wp:effectExtent l="0" t="0" r="2540" b="6985"/>
            <wp:docPr id="28430045" name="Picture 6"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0045" name="Picture 6" descr="A collage of graph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984115"/>
                    </a:xfrm>
                    <a:prstGeom prst="rect">
                      <a:avLst/>
                    </a:prstGeom>
                    <a:noFill/>
                    <a:ln>
                      <a:noFill/>
                    </a:ln>
                  </pic:spPr>
                </pic:pic>
              </a:graphicData>
            </a:graphic>
          </wp:inline>
        </w:drawing>
      </w:r>
    </w:p>
    <w:p w14:paraId="4051F015" w14:textId="681CCC9F" w:rsidR="008B0C08" w:rsidRPr="00B6520F" w:rsidRDefault="008B0C08" w:rsidP="008A637A">
      <w:r w:rsidRPr="00B6520F">
        <w:rPr>
          <w:b/>
          <w:bCs/>
        </w:rPr>
        <w:t xml:space="preserve">Figure </w:t>
      </w:r>
      <w:r w:rsidR="00CF001B" w:rsidRPr="00B6520F">
        <w:rPr>
          <w:b/>
          <w:bCs/>
        </w:rPr>
        <w:t>3</w:t>
      </w:r>
      <w:r w:rsidR="00511491" w:rsidRPr="00B6520F">
        <w:rPr>
          <w:b/>
          <w:bCs/>
        </w:rPr>
        <w:t xml:space="preserve">. </w:t>
      </w:r>
      <w:r w:rsidR="002F19E2" w:rsidRPr="00B6520F">
        <w:rPr>
          <w:b/>
          <w:bCs/>
        </w:rPr>
        <w:t xml:space="preserve"> Scatter graphs of n</w:t>
      </w:r>
      <w:r w:rsidR="00511491" w:rsidRPr="00B6520F">
        <w:rPr>
          <w:b/>
          <w:bCs/>
        </w:rPr>
        <w:t>ormalisation techniques</w:t>
      </w:r>
      <w:r w:rsidR="00D31A97" w:rsidRPr="00B6520F">
        <w:rPr>
          <w:b/>
          <w:bCs/>
        </w:rPr>
        <w:t xml:space="preserve"> </w:t>
      </w:r>
      <w:r w:rsidR="002F19E2" w:rsidRPr="00B6520F">
        <w:rPr>
          <w:b/>
          <w:bCs/>
        </w:rPr>
        <w:t xml:space="preserve">with </w:t>
      </w:r>
      <w:r w:rsidR="00D31A97" w:rsidRPr="00B6520F">
        <w:rPr>
          <w:b/>
          <w:bCs/>
        </w:rPr>
        <w:t xml:space="preserve">metabolomic </w:t>
      </w:r>
      <w:r w:rsidR="00AC3217" w:rsidRPr="00B6520F">
        <w:rPr>
          <w:b/>
          <w:bCs/>
        </w:rPr>
        <w:t>data</w:t>
      </w:r>
      <w:r w:rsidR="002F19E2" w:rsidRPr="00B6520F">
        <w:rPr>
          <w:b/>
          <w:bCs/>
        </w:rPr>
        <w:t xml:space="preserve"> of neuroblastoma across hypoxic and </w:t>
      </w:r>
      <w:proofErr w:type="spellStart"/>
      <w:r w:rsidR="002F19E2" w:rsidRPr="00B6520F">
        <w:rPr>
          <w:b/>
          <w:bCs/>
        </w:rPr>
        <w:t>normoxic</w:t>
      </w:r>
      <w:proofErr w:type="spellEnd"/>
      <w:r w:rsidR="002F19E2" w:rsidRPr="00B6520F">
        <w:rPr>
          <w:b/>
          <w:bCs/>
        </w:rPr>
        <w:t xml:space="preserve"> conditions.</w:t>
      </w:r>
      <w:r w:rsidR="00B6520F">
        <w:rPr>
          <w:b/>
          <w:bCs/>
        </w:rPr>
        <w:t xml:space="preserve"> </w:t>
      </w:r>
      <w:r w:rsidR="00B6520F">
        <w:t xml:space="preserve">The raw data is compared to </w:t>
      </w:r>
      <w:r w:rsidR="000B27FC">
        <w:t xml:space="preserve">median normalisation, Probabilistic </w:t>
      </w:r>
      <w:r w:rsidR="000B27FC" w:rsidRPr="000B27FC">
        <w:t>Quotient Normali</w:t>
      </w:r>
      <w:r w:rsidR="000B27FC">
        <w:t>s</w:t>
      </w:r>
      <w:r w:rsidR="000B27FC" w:rsidRPr="000B27FC">
        <w:t xml:space="preserve">ation (PQN), and </w:t>
      </w:r>
      <w:r w:rsidR="000B27FC">
        <w:t>m</w:t>
      </w:r>
      <w:r w:rsidR="000B27FC" w:rsidRPr="000B27FC">
        <w:t xml:space="preserve">edian </w:t>
      </w:r>
      <w:r w:rsidR="000B27FC">
        <w:t>n</w:t>
      </w:r>
      <w:r w:rsidR="000B27FC" w:rsidRPr="000B27FC">
        <w:t>ormali</w:t>
      </w:r>
      <w:r w:rsidR="000B27FC">
        <w:t>s</w:t>
      </w:r>
      <w:r w:rsidR="000B27FC" w:rsidRPr="000B27FC">
        <w:t xml:space="preserve">ation + GLOG </w:t>
      </w:r>
      <w:r w:rsidR="000B27FC">
        <w:t>t</w:t>
      </w:r>
      <w:r w:rsidR="000B27FC" w:rsidRPr="000B27FC">
        <w:t>ransformation</w:t>
      </w:r>
      <w:r w:rsidR="000B27FC">
        <w:t xml:space="preserve">. </w:t>
      </w:r>
    </w:p>
    <w:p w14:paraId="66D21C15" w14:textId="77777777" w:rsidR="003349F9" w:rsidRPr="00AC3217" w:rsidRDefault="003349F9" w:rsidP="00D05F89"/>
    <w:p w14:paraId="013C2ADA" w14:textId="116F3B94" w:rsidR="00411CC5" w:rsidRDefault="00411CC5" w:rsidP="008A637A">
      <w:pPr>
        <w:rPr>
          <w:u w:val="single"/>
        </w:rPr>
      </w:pPr>
      <w:r w:rsidRPr="00AC3217">
        <w:rPr>
          <w:u w:val="single"/>
        </w:rPr>
        <w:t>(iv) Univariate Data Analysis</w:t>
      </w:r>
      <w:r w:rsidR="001372EC">
        <w:rPr>
          <w:u w:val="single"/>
        </w:rPr>
        <w:t xml:space="preserve"> </w:t>
      </w:r>
    </w:p>
    <w:p w14:paraId="12C86E4A" w14:textId="64D4188F" w:rsidR="0078551D" w:rsidRDefault="00C55548" w:rsidP="004A05E4">
      <w:r>
        <w:t xml:space="preserve">The dataset consisted of 354 </w:t>
      </w:r>
      <w:r w:rsidR="00582AC7">
        <w:t>spectra bins</w:t>
      </w:r>
      <w:r>
        <w:t xml:space="preserve"> and 72 </w:t>
      </w:r>
      <w:r w:rsidR="00582AC7">
        <w:t xml:space="preserve">unpaired </w:t>
      </w:r>
      <w:r>
        <w:t xml:space="preserve">samples with </w:t>
      </w:r>
      <w:r w:rsidR="00582AC7">
        <w:t xml:space="preserve">no missing values. </w:t>
      </w:r>
      <w:r w:rsidR="0078551D">
        <w:t xml:space="preserve">The Shapiro-Wilk test </w:t>
      </w:r>
      <w:r w:rsidR="0078551D" w:rsidRPr="0078551D">
        <w:t>(Shapiro and Francia, 1972)</w:t>
      </w:r>
      <w:r w:rsidR="0078551D">
        <w:t xml:space="preserve"> was applied to each metabolite for normality interpretation. This revealed that the majority (81.92%) of metabolites were non-normal (p ≤ 0.05; Table 1). </w:t>
      </w:r>
    </w:p>
    <w:p w14:paraId="37A88BF6" w14:textId="55DC22D9" w:rsidR="009752C8" w:rsidRPr="00B6520F" w:rsidRDefault="009752C8" w:rsidP="004A05E4">
      <w:pPr>
        <w:rPr>
          <w:b/>
          <w:bCs/>
        </w:rPr>
      </w:pPr>
      <w:r w:rsidRPr="00B6520F">
        <w:rPr>
          <w:b/>
          <w:bCs/>
        </w:rPr>
        <w:t>Table 1. Metabolite distribution</w:t>
      </w:r>
      <w:r w:rsidR="002F19E2" w:rsidRPr="00B6520F">
        <w:rPr>
          <w:b/>
          <w:bCs/>
        </w:rPr>
        <w:t xml:space="preserve"> in </w:t>
      </w:r>
      <w:r w:rsidR="00B6520F" w:rsidRPr="00B6520F">
        <w:rPr>
          <w:b/>
          <w:bCs/>
        </w:rPr>
        <w:t xml:space="preserve">metabolomic data of neuroblastoma across hypoxic and </w:t>
      </w:r>
      <w:proofErr w:type="spellStart"/>
      <w:r w:rsidR="00B6520F" w:rsidRPr="00B6520F">
        <w:rPr>
          <w:b/>
          <w:bCs/>
        </w:rPr>
        <w:t>normoxic</w:t>
      </w:r>
      <w:proofErr w:type="spellEnd"/>
      <w:r w:rsidR="00B6520F" w:rsidRPr="00B6520F">
        <w:rPr>
          <w:b/>
          <w:bCs/>
        </w:rPr>
        <w:t xml:space="preserve"> conditions.</w:t>
      </w:r>
    </w:p>
    <w:tbl>
      <w:tblPr>
        <w:tblStyle w:val="TableGrid"/>
        <w:tblW w:w="0" w:type="auto"/>
        <w:tblLook w:val="04A0" w:firstRow="1" w:lastRow="0" w:firstColumn="1" w:lastColumn="0" w:noHBand="0" w:noVBand="1"/>
      </w:tblPr>
      <w:tblGrid>
        <w:gridCol w:w="3005"/>
        <w:gridCol w:w="3005"/>
        <w:gridCol w:w="3006"/>
      </w:tblGrid>
      <w:tr w:rsidR="009752C8" w14:paraId="24F17586" w14:textId="77777777" w:rsidTr="009752C8">
        <w:tc>
          <w:tcPr>
            <w:tcW w:w="3005" w:type="dxa"/>
          </w:tcPr>
          <w:p w14:paraId="10C16182" w14:textId="61EE5F55" w:rsidR="009752C8" w:rsidRDefault="009752C8" w:rsidP="004A05E4">
            <w:r>
              <w:t>Distribution Category</w:t>
            </w:r>
          </w:p>
        </w:tc>
        <w:tc>
          <w:tcPr>
            <w:tcW w:w="3005" w:type="dxa"/>
          </w:tcPr>
          <w:p w14:paraId="65C67930" w14:textId="43B13BFA" w:rsidR="009752C8" w:rsidRDefault="009752C8" w:rsidP="004A05E4">
            <w:r>
              <w:t>Count</w:t>
            </w:r>
          </w:p>
        </w:tc>
        <w:tc>
          <w:tcPr>
            <w:tcW w:w="3006" w:type="dxa"/>
          </w:tcPr>
          <w:p w14:paraId="0A2412CA" w14:textId="4CA6DDEB" w:rsidR="009752C8" w:rsidRDefault="009752C8" w:rsidP="004A05E4">
            <w:r>
              <w:t>Percentage (%)</w:t>
            </w:r>
          </w:p>
        </w:tc>
      </w:tr>
      <w:tr w:rsidR="009752C8" w14:paraId="42D0E8A0" w14:textId="77777777" w:rsidTr="009752C8">
        <w:tc>
          <w:tcPr>
            <w:tcW w:w="3005" w:type="dxa"/>
          </w:tcPr>
          <w:p w14:paraId="5E365A9D" w14:textId="4DA345FE" w:rsidR="009752C8" w:rsidRDefault="009752C8" w:rsidP="004A05E4">
            <w:r>
              <w:t>Normal</w:t>
            </w:r>
          </w:p>
        </w:tc>
        <w:tc>
          <w:tcPr>
            <w:tcW w:w="3005" w:type="dxa"/>
          </w:tcPr>
          <w:p w14:paraId="663F1711" w14:textId="2DF348E6" w:rsidR="009752C8" w:rsidRDefault="009752C8" w:rsidP="004A05E4">
            <w:r>
              <w:t>64</w:t>
            </w:r>
          </w:p>
        </w:tc>
        <w:tc>
          <w:tcPr>
            <w:tcW w:w="3006" w:type="dxa"/>
          </w:tcPr>
          <w:p w14:paraId="1D64E5CF" w14:textId="55BD4B1A" w:rsidR="009752C8" w:rsidRDefault="009752C8" w:rsidP="004A05E4">
            <w:r>
              <w:t>18.08</w:t>
            </w:r>
          </w:p>
        </w:tc>
      </w:tr>
      <w:tr w:rsidR="009752C8" w14:paraId="223BE8C6" w14:textId="77777777" w:rsidTr="009752C8">
        <w:tc>
          <w:tcPr>
            <w:tcW w:w="3005" w:type="dxa"/>
          </w:tcPr>
          <w:p w14:paraId="63792554" w14:textId="4064C591" w:rsidR="009752C8" w:rsidRDefault="009752C8" w:rsidP="004A05E4">
            <w:r>
              <w:t>Non-normal</w:t>
            </w:r>
          </w:p>
        </w:tc>
        <w:tc>
          <w:tcPr>
            <w:tcW w:w="3005" w:type="dxa"/>
          </w:tcPr>
          <w:p w14:paraId="3999F43D" w14:textId="659300D3" w:rsidR="009752C8" w:rsidRDefault="009752C8" w:rsidP="004A05E4">
            <w:r>
              <w:t>290</w:t>
            </w:r>
          </w:p>
        </w:tc>
        <w:tc>
          <w:tcPr>
            <w:tcW w:w="3006" w:type="dxa"/>
          </w:tcPr>
          <w:p w14:paraId="623B9123" w14:textId="0A649798" w:rsidR="009752C8" w:rsidRDefault="009752C8" w:rsidP="004A05E4">
            <w:r>
              <w:t>81.92</w:t>
            </w:r>
          </w:p>
        </w:tc>
      </w:tr>
    </w:tbl>
    <w:p w14:paraId="7ECF534B" w14:textId="77777777" w:rsidR="00C55548" w:rsidRDefault="00C55548" w:rsidP="004A05E4"/>
    <w:p w14:paraId="1EC6F96F" w14:textId="4F0C1961" w:rsidR="009302F3" w:rsidRPr="00AC3217" w:rsidRDefault="00C55548" w:rsidP="004A05E4">
      <w:r>
        <w:lastRenderedPageBreak/>
        <w:t xml:space="preserve">Given the high proportion of non-normally distributed metabolites, a non-parametric analysis of variance (ANOVA) test was chosen </w:t>
      </w:r>
      <w:r w:rsidRPr="00AC3217">
        <w:t>to determine the presence of statistically significant differences in the means of a continuous variable across more than two groups. The assumptions made were that the data was normalised and transformed correctly, with a homogeneity of variances.</w:t>
      </w:r>
      <w:r>
        <w:t xml:space="preserve"> The Benjamini-Hochberg (FDR) method was also </w:t>
      </w:r>
      <w:r w:rsidRPr="00AC3217">
        <w:t>used to adjust p-values for multiple testing correction and false discovery rate control. There were 34</w:t>
      </w:r>
      <w:r>
        <w:t>1</w:t>
      </w:r>
      <w:r w:rsidRPr="00AC3217">
        <w:t xml:space="preserve"> significant</w:t>
      </w:r>
      <w:r>
        <w:t xml:space="preserve"> </w:t>
      </w:r>
      <w:r w:rsidRPr="00AC3217">
        <w:t xml:space="preserve">DAMs with FDR-adjusted p-values less than 0.05 (Figure </w:t>
      </w:r>
      <w:r w:rsidR="00CF001B">
        <w:t>4</w:t>
      </w:r>
      <w:r w:rsidRPr="00AC3217">
        <w:t xml:space="preserve">). </w:t>
      </w:r>
      <w:r w:rsidR="009752C8" w:rsidRPr="009752C8">
        <w:rPr>
          <w:noProof/>
        </w:rPr>
        <w:drawing>
          <wp:inline distT="0" distB="0" distL="0" distR="0" wp14:anchorId="27D13106" wp14:editId="76732D3C">
            <wp:extent cx="5731510" cy="2676525"/>
            <wp:effectExtent l="0" t="0" r="2540" b="9525"/>
            <wp:docPr id="28949176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91769" name="Picture 1" descr="A screen shot of a graph&#10;&#10;AI-generated content may be incorrect."/>
                    <pic:cNvPicPr/>
                  </pic:nvPicPr>
                  <pic:blipFill>
                    <a:blip r:embed="rId8"/>
                    <a:stretch>
                      <a:fillRect/>
                    </a:stretch>
                  </pic:blipFill>
                  <pic:spPr>
                    <a:xfrm>
                      <a:off x="0" y="0"/>
                      <a:ext cx="5731510" cy="2676525"/>
                    </a:xfrm>
                    <a:prstGeom prst="rect">
                      <a:avLst/>
                    </a:prstGeom>
                  </pic:spPr>
                </pic:pic>
              </a:graphicData>
            </a:graphic>
          </wp:inline>
        </w:drawing>
      </w:r>
    </w:p>
    <w:p w14:paraId="4C5B7EB7" w14:textId="4D558F23" w:rsidR="00BC0FF3" w:rsidRDefault="000725AB" w:rsidP="00411CC5">
      <w:r w:rsidRPr="005B7495">
        <w:rPr>
          <w:b/>
          <w:bCs/>
        </w:rPr>
        <w:t xml:space="preserve">Figure </w:t>
      </w:r>
      <w:r w:rsidR="00CF001B">
        <w:rPr>
          <w:b/>
          <w:bCs/>
        </w:rPr>
        <w:t>4</w:t>
      </w:r>
      <w:r w:rsidRPr="005B7495">
        <w:rPr>
          <w:b/>
          <w:bCs/>
        </w:rPr>
        <w:t xml:space="preserve">. </w:t>
      </w:r>
      <w:r w:rsidR="009752C8">
        <w:rPr>
          <w:b/>
          <w:bCs/>
        </w:rPr>
        <w:t xml:space="preserve">Non-parametric </w:t>
      </w:r>
      <w:r w:rsidRPr="005B7495">
        <w:rPr>
          <w:b/>
          <w:bCs/>
        </w:rPr>
        <w:t>ANOVA Scatter plot of metabolite features found in neuroblastoma cells across different oxygen conditions</w:t>
      </w:r>
      <w:r w:rsidRPr="00AC3217">
        <w:t xml:space="preserve">. The plot presents the results of </w:t>
      </w:r>
      <w:r w:rsidR="00BC7D6F" w:rsidRPr="00AC3217">
        <w:t xml:space="preserve">a </w:t>
      </w:r>
      <w:r w:rsidRPr="00AC3217">
        <w:t xml:space="preserve">one-way ANOVA analysis integrated in </w:t>
      </w:r>
      <w:proofErr w:type="spellStart"/>
      <w:r w:rsidRPr="00AC3217">
        <w:t>MetaboAnalyst</w:t>
      </w:r>
      <w:proofErr w:type="spellEnd"/>
      <w:r w:rsidRPr="00AC3217">
        <w:t xml:space="preserve">. The x-axis indexes the </w:t>
      </w:r>
      <w:r w:rsidR="00BC7D6F" w:rsidRPr="00AC3217">
        <w:t>metabolites,</w:t>
      </w:r>
      <w:r w:rsidRPr="00AC3217">
        <w:t xml:space="preserve"> and the y-axis represents the -log(p-value) of their abundance differences across experimental conditions</w:t>
      </w:r>
      <w:r w:rsidR="00C84AF8" w:rsidRPr="00AC3217">
        <w:t xml:space="preserve"> (control, normal hypoxic, tumour </w:t>
      </w:r>
      <w:proofErr w:type="spellStart"/>
      <w:r w:rsidR="00C84AF8" w:rsidRPr="00AC3217">
        <w:t>normoxic</w:t>
      </w:r>
      <w:proofErr w:type="spellEnd"/>
      <w:r w:rsidR="00C84AF8" w:rsidRPr="00AC3217">
        <w:t>, tumour hypoxic).</w:t>
      </w:r>
      <w:r w:rsidR="00E42DCE">
        <w:t xml:space="preserve"> Created with </w:t>
      </w:r>
      <w:proofErr w:type="spellStart"/>
      <w:r w:rsidR="00E42DCE">
        <w:t>MetaboAnalyst</w:t>
      </w:r>
      <w:proofErr w:type="spellEnd"/>
      <w:r w:rsidR="00E42DCE">
        <w:t xml:space="preserve"> </w:t>
      </w:r>
      <w:r w:rsidR="00E42DCE" w:rsidRPr="00E42DCE">
        <w:t>(Xia et al., 2009)</w:t>
      </w:r>
      <w:r w:rsidR="00E42DCE">
        <w:t>.</w:t>
      </w:r>
    </w:p>
    <w:p w14:paraId="62013661" w14:textId="77777777" w:rsidR="002F19E2" w:rsidRPr="00D92298" w:rsidRDefault="002F19E2" w:rsidP="00411CC5"/>
    <w:p w14:paraId="2EFD23F5" w14:textId="6960F87F" w:rsidR="00FF1A80" w:rsidRDefault="00C55548" w:rsidP="001077E9">
      <w:pPr>
        <w:rPr>
          <w:noProof/>
        </w:rPr>
      </w:pPr>
      <w:r>
        <w:rPr>
          <w:noProof/>
        </w:rPr>
        <w:t>Glutamate reoccured multiple times and was the most significant DAM (p-value=5.1138e</w:t>
      </w:r>
      <w:r>
        <w:rPr>
          <w:noProof/>
          <w:vertAlign w:val="superscript"/>
        </w:rPr>
        <w:t>-14</w:t>
      </w:r>
      <w:r>
        <w:rPr>
          <w:noProof/>
        </w:rPr>
        <w:t xml:space="preserve">). </w:t>
      </w:r>
      <w:r w:rsidR="001077E9">
        <w:rPr>
          <w:noProof/>
        </w:rPr>
        <w:t xml:space="preserve">The distribution of glutamate, glucose, and choline display these metabolites at </w:t>
      </w:r>
      <w:r w:rsidR="00FF1A80">
        <w:rPr>
          <w:noProof/>
        </w:rPr>
        <w:t xml:space="preserve">generally higher </w:t>
      </w:r>
      <w:r w:rsidR="008149A0">
        <w:rPr>
          <w:noProof/>
        </w:rPr>
        <w:t xml:space="preserve">levels </w:t>
      </w:r>
      <w:r w:rsidR="00FF1A80">
        <w:rPr>
          <w:noProof/>
        </w:rPr>
        <w:t>in hypoxic tumour conditions</w:t>
      </w:r>
      <w:r w:rsidR="008149A0">
        <w:rPr>
          <w:noProof/>
        </w:rPr>
        <w:t xml:space="preserve"> compared to normoxic tumour conditions, with clear seperation between the cells and tumours (Figure </w:t>
      </w:r>
      <w:r w:rsidR="00CF001B">
        <w:rPr>
          <w:noProof/>
        </w:rPr>
        <w:t>5</w:t>
      </w:r>
      <w:r w:rsidR="008149A0">
        <w:rPr>
          <w:noProof/>
        </w:rPr>
        <w:t>). However, the post-hoc Tukey’s HSD could not confirm the specifics of group seperation within this non-parametric framework (Table 2). This highlights a limitation of MetaboAnalyst</w:t>
      </w:r>
      <w:r w:rsidR="00E42DCE">
        <w:rPr>
          <w:noProof/>
        </w:rPr>
        <w:t xml:space="preserve"> </w:t>
      </w:r>
      <w:r w:rsidR="00E42DCE" w:rsidRPr="00E42DCE">
        <w:rPr>
          <w:noProof/>
        </w:rPr>
        <w:t>(Xia et al., 2009)</w:t>
      </w:r>
      <w:r w:rsidR="008149A0">
        <w:rPr>
          <w:noProof/>
        </w:rPr>
        <w:t>, as it lacks non-parametric post-hoc tests. Methods such as Dunn’s test should be integrated to maintain non-parametric integrity while allowing pairwise group comparison.</w:t>
      </w:r>
    </w:p>
    <w:p w14:paraId="65BDC6B1" w14:textId="77777777" w:rsidR="002F19E2" w:rsidRDefault="002F19E2" w:rsidP="001077E9">
      <w:pPr>
        <w:rPr>
          <w:noProof/>
        </w:rPr>
      </w:pPr>
    </w:p>
    <w:p w14:paraId="0A582F87" w14:textId="77777777" w:rsidR="002F19E2" w:rsidRDefault="002F19E2" w:rsidP="001077E9">
      <w:pPr>
        <w:rPr>
          <w:noProof/>
        </w:rPr>
      </w:pPr>
    </w:p>
    <w:p w14:paraId="22B1B021" w14:textId="77777777" w:rsidR="002F19E2" w:rsidRDefault="002F19E2" w:rsidP="001077E9">
      <w:pPr>
        <w:rPr>
          <w:noProof/>
        </w:rPr>
      </w:pPr>
    </w:p>
    <w:p w14:paraId="50978CEE" w14:textId="77777777" w:rsidR="002F19E2" w:rsidRDefault="002F19E2" w:rsidP="001077E9">
      <w:pPr>
        <w:rPr>
          <w:noProof/>
        </w:rPr>
      </w:pPr>
    </w:p>
    <w:p w14:paraId="4CAEFB63" w14:textId="77777777" w:rsidR="002F19E2" w:rsidRDefault="002F19E2" w:rsidP="001077E9">
      <w:pPr>
        <w:rPr>
          <w:noProof/>
        </w:rPr>
      </w:pPr>
    </w:p>
    <w:p w14:paraId="3898E583" w14:textId="77777777" w:rsidR="002F19E2" w:rsidRDefault="002F19E2" w:rsidP="001077E9">
      <w:pPr>
        <w:rPr>
          <w:noProof/>
        </w:rPr>
      </w:pPr>
    </w:p>
    <w:p w14:paraId="5F65D10C" w14:textId="77777777" w:rsidR="002F19E2" w:rsidRDefault="002F19E2" w:rsidP="002F19E2">
      <w:pPr>
        <w:rPr>
          <w:noProof/>
        </w:rPr>
      </w:pPr>
    </w:p>
    <w:p w14:paraId="2D6B7277" w14:textId="35528942" w:rsidR="002F19E2" w:rsidRPr="00AC3217" w:rsidRDefault="00BC0FF3" w:rsidP="002F19E2">
      <w:r w:rsidRPr="005B7495">
        <w:rPr>
          <w:b/>
          <w:bCs/>
        </w:rPr>
        <w:t xml:space="preserve">Table </w:t>
      </w:r>
      <w:r w:rsidR="0078551D">
        <w:rPr>
          <w:b/>
          <w:bCs/>
        </w:rPr>
        <w:t>2</w:t>
      </w:r>
      <w:r w:rsidRPr="005B7495">
        <w:rPr>
          <w:b/>
          <w:bCs/>
        </w:rPr>
        <w:t xml:space="preserve">. Results of </w:t>
      </w:r>
      <w:r w:rsidR="00FF1A80">
        <w:rPr>
          <w:b/>
          <w:bCs/>
        </w:rPr>
        <w:t>non-parametric ANOVA (Kruskal-Wallis</w:t>
      </w:r>
      <w:r w:rsidR="00FF1A80" w:rsidRPr="00FF1A80">
        <w:rPr>
          <w:b/>
          <w:bCs/>
          <w:noProof/>
        </w:rPr>
        <w:t>) of metabolite levels between groups</w:t>
      </w:r>
      <w:r w:rsidR="008149A0">
        <w:rPr>
          <w:b/>
          <w:bCs/>
          <w:noProof/>
        </w:rPr>
        <w:t xml:space="preserve"> in MetaboAnalyst</w:t>
      </w:r>
      <w:r w:rsidR="002F19E2">
        <w:rPr>
          <w:b/>
          <w:bCs/>
          <w:noProof/>
        </w:rPr>
        <w:t xml:space="preserve">. </w:t>
      </w:r>
      <w:r w:rsidR="00E42DCE">
        <w:t xml:space="preserve">Created with </w:t>
      </w:r>
      <w:proofErr w:type="spellStart"/>
      <w:r w:rsidR="00E42DCE">
        <w:t>MetaboAnalyst</w:t>
      </w:r>
      <w:proofErr w:type="spellEnd"/>
      <w:r w:rsidR="00E42DCE">
        <w:t xml:space="preserve"> </w:t>
      </w:r>
      <w:r w:rsidR="00E42DCE" w:rsidRPr="00E42DCE">
        <w:t>(Xia et al., 2009)</w:t>
      </w:r>
      <w:r w:rsidR="00E42DCE">
        <w:t>.</w:t>
      </w:r>
    </w:p>
    <w:p w14:paraId="6666DCB6" w14:textId="0DF9EBAF" w:rsidR="00FF1A80" w:rsidRDefault="00FF1A80" w:rsidP="00411CC5">
      <w:pPr>
        <w:rPr>
          <w:u w:val="single"/>
        </w:rPr>
      </w:pPr>
      <w:r w:rsidRPr="00FF1A80">
        <w:rPr>
          <w:noProof/>
          <w:u w:val="single"/>
        </w:rPr>
        <w:drawing>
          <wp:inline distT="0" distB="0" distL="0" distR="0" wp14:anchorId="47D3592A" wp14:editId="2BACF86B">
            <wp:extent cx="4873349" cy="2534400"/>
            <wp:effectExtent l="0" t="0" r="3810" b="0"/>
            <wp:docPr id="484129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9889" name="Picture 1" descr="A screenshot of a computer&#10;&#10;AI-generated content may be incorrect."/>
                    <pic:cNvPicPr/>
                  </pic:nvPicPr>
                  <pic:blipFill>
                    <a:blip r:embed="rId9"/>
                    <a:stretch>
                      <a:fillRect/>
                    </a:stretch>
                  </pic:blipFill>
                  <pic:spPr>
                    <a:xfrm>
                      <a:off x="0" y="0"/>
                      <a:ext cx="4900448" cy="2548493"/>
                    </a:xfrm>
                    <a:prstGeom prst="rect">
                      <a:avLst/>
                    </a:prstGeom>
                  </pic:spPr>
                </pic:pic>
              </a:graphicData>
            </a:graphic>
          </wp:inline>
        </w:drawing>
      </w:r>
    </w:p>
    <w:p w14:paraId="1B933BFD" w14:textId="77777777" w:rsidR="00C55548" w:rsidRDefault="00C55548" w:rsidP="00411CC5">
      <w:pPr>
        <w:rPr>
          <w:u w:val="single"/>
        </w:rPr>
      </w:pPr>
    </w:p>
    <w:p w14:paraId="5EC3FA53" w14:textId="77777777" w:rsidR="00C55548" w:rsidRPr="00AC3217" w:rsidRDefault="00C55548" w:rsidP="00411CC5">
      <w:pPr>
        <w:rPr>
          <w:u w:val="single"/>
        </w:rPr>
      </w:pPr>
    </w:p>
    <w:p w14:paraId="4C2A8FB2" w14:textId="77777777" w:rsidR="00D92298" w:rsidRPr="00AC3217" w:rsidRDefault="00D92298" w:rsidP="00D92298">
      <w:r w:rsidRPr="00AC3217">
        <w:rPr>
          <w:noProof/>
        </w:rPr>
        <w:drawing>
          <wp:inline distT="0" distB="0" distL="0" distR="0" wp14:anchorId="40D8B5F9" wp14:editId="73448A62">
            <wp:extent cx="4809600" cy="4182423"/>
            <wp:effectExtent l="0" t="0" r="0" b="8890"/>
            <wp:docPr id="1123064471" name="Picture 8" descr="A collage of images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64471" name="Picture 8" descr="A collage of images of different colored shap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3543" cy="4185852"/>
                    </a:xfrm>
                    <a:prstGeom prst="rect">
                      <a:avLst/>
                    </a:prstGeom>
                    <a:noFill/>
                    <a:ln>
                      <a:noFill/>
                    </a:ln>
                  </pic:spPr>
                </pic:pic>
              </a:graphicData>
            </a:graphic>
          </wp:inline>
        </w:drawing>
      </w:r>
    </w:p>
    <w:p w14:paraId="20429AEE" w14:textId="25D7E1F7" w:rsidR="002F19E2" w:rsidRPr="00B6520F" w:rsidRDefault="00D92298" w:rsidP="002F19E2">
      <w:r w:rsidRPr="002F19E2">
        <w:rPr>
          <w:b/>
          <w:bCs/>
        </w:rPr>
        <w:t xml:space="preserve">Figure </w:t>
      </w:r>
      <w:r w:rsidR="00CF001B" w:rsidRPr="002F19E2">
        <w:rPr>
          <w:b/>
          <w:bCs/>
        </w:rPr>
        <w:t>5</w:t>
      </w:r>
      <w:r w:rsidRPr="002F19E2">
        <w:rPr>
          <w:b/>
          <w:bCs/>
        </w:rPr>
        <w:t xml:space="preserve">. Violin plots of </w:t>
      </w:r>
      <w:r w:rsidR="00B6520F">
        <w:rPr>
          <w:b/>
          <w:bCs/>
        </w:rPr>
        <w:t>significant metabolites</w:t>
      </w:r>
      <w:r w:rsidRPr="002F19E2">
        <w:rPr>
          <w:b/>
          <w:bCs/>
        </w:rPr>
        <w:t xml:space="preserve"> </w:t>
      </w:r>
      <w:r w:rsidR="002F19E2" w:rsidRPr="002F19E2">
        <w:rPr>
          <w:b/>
          <w:bCs/>
        </w:rPr>
        <w:t xml:space="preserve">in neuroblastoma across hypoxic and </w:t>
      </w:r>
      <w:proofErr w:type="spellStart"/>
      <w:r w:rsidR="002F19E2" w:rsidRPr="002F19E2">
        <w:rPr>
          <w:b/>
          <w:bCs/>
        </w:rPr>
        <w:t>normoxic</w:t>
      </w:r>
      <w:proofErr w:type="spellEnd"/>
      <w:r w:rsidR="002F19E2" w:rsidRPr="002F19E2">
        <w:rPr>
          <w:b/>
          <w:bCs/>
        </w:rPr>
        <w:t xml:space="preserve"> conditions.</w:t>
      </w:r>
      <w:r w:rsidR="00B6520F">
        <w:rPr>
          <w:b/>
          <w:bCs/>
        </w:rPr>
        <w:t xml:space="preserve"> </w:t>
      </w:r>
      <w:r w:rsidR="00B6520F">
        <w:t xml:space="preserve">The violin plots display the distribution of glutamate, glucose, and choline across cell and tumour samples in hypoxic (Cell1, Tumour1) and </w:t>
      </w:r>
      <w:proofErr w:type="spellStart"/>
      <w:r w:rsidR="00B6520F">
        <w:t>normoxic</w:t>
      </w:r>
      <w:proofErr w:type="spellEnd"/>
      <w:r w:rsidR="00B6520F">
        <w:t xml:space="preserve"> (Cell21, </w:t>
      </w:r>
      <w:r w:rsidR="00B6520F">
        <w:lastRenderedPageBreak/>
        <w:t xml:space="preserve">Tumour21) conditions. </w:t>
      </w:r>
      <w:r w:rsidR="00E42DCE">
        <w:t xml:space="preserve">Created with </w:t>
      </w:r>
      <w:proofErr w:type="spellStart"/>
      <w:r w:rsidR="00E42DCE">
        <w:t>MetaboAnalyst</w:t>
      </w:r>
      <w:proofErr w:type="spellEnd"/>
      <w:r w:rsidR="00E42DCE">
        <w:t xml:space="preserve"> </w:t>
      </w:r>
      <w:r w:rsidR="00E42DCE" w:rsidRPr="00E42DCE">
        <w:t>(Xia et al., 2009)</w:t>
      </w:r>
      <w:r w:rsidR="00E42DCE">
        <w:t xml:space="preserve">. Formatted with </w:t>
      </w:r>
      <w:proofErr w:type="spellStart"/>
      <w:r w:rsidR="00E42DCE">
        <w:t>BioRender</w:t>
      </w:r>
      <w:proofErr w:type="spellEnd"/>
      <w:r w:rsidR="00E42DCE">
        <w:t>.</w:t>
      </w:r>
    </w:p>
    <w:p w14:paraId="17D77CBA" w14:textId="363E63F2" w:rsidR="00D92298" w:rsidRPr="005B7495" w:rsidRDefault="00D92298" w:rsidP="00D92298">
      <w:pPr>
        <w:rPr>
          <w:b/>
          <w:bCs/>
        </w:rPr>
      </w:pPr>
    </w:p>
    <w:p w14:paraId="5ECF277B" w14:textId="77777777" w:rsidR="00D92298" w:rsidRPr="00AC3217" w:rsidRDefault="00D92298" w:rsidP="00035E33">
      <w:pPr>
        <w:rPr>
          <w:noProof/>
          <w:u w:val="single"/>
        </w:rPr>
      </w:pPr>
    </w:p>
    <w:p w14:paraId="0ABA9C6F" w14:textId="13278DB5" w:rsidR="00035E33" w:rsidRPr="00AC3217" w:rsidRDefault="00035E33" w:rsidP="00035E33">
      <w:pPr>
        <w:rPr>
          <w:u w:val="single"/>
        </w:rPr>
      </w:pPr>
    </w:p>
    <w:p w14:paraId="409ED05F" w14:textId="734D4CA4" w:rsidR="00411CC5" w:rsidRDefault="00411CC5" w:rsidP="00411CC5">
      <w:pPr>
        <w:rPr>
          <w:u w:val="single"/>
        </w:rPr>
      </w:pPr>
      <w:r w:rsidRPr="00AC3217">
        <w:rPr>
          <w:u w:val="single"/>
        </w:rPr>
        <w:t>(v) Multivariate Data Analysis</w:t>
      </w:r>
      <w:r w:rsidR="001372EC">
        <w:rPr>
          <w:u w:val="single"/>
        </w:rPr>
        <w:t xml:space="preserve"> </w:t>
      </w:r>
    </w:p>
    <w:p w14:paraId="4A9CE5F8" w14:textId="03178675" w:rsidR="005A66C8" w:rsidRPr="00AC3217" w:rsidRDefault="00426EAF" w:rsidP="004B2BB4">
      <w:r w:rsidRPr="00AC3217">
        <w:t>Principal</w:t>
      </w:r>
      <w:r w:rsidR="004D4316" w:rsidRPr="00AC3217">
        <w:t xml:space="preserve"> coordinate analysis (PCA) was performed to explore the clustering and variance of metabolite abundance across the </w:t>
      </w:r>
      <w:r w:rsidR="00DD006C" w:rsidRPr="00AC3217">
        <w:t xml:space="preserve">four </w:t>
      </w:r>
      <w:r w:rsidR="004D4316" w:rsidRPr="00AC3217">
        <w:t xml:space="preserve">experimental conditions. </w:t>
      </w:r>
      <w:r w:rsidR="00DD006C" w:rsidRPr="00AC3217">
        <w:t xml:space="preserve">PCA, </w:t>
      </w:r>
      <w:r w:rsidR="007F2183" w:rsidRPr="00AC3217">
        <w:t>an</w:t>
      </w:r>
      <w:r w:rsidR="00DD006C" w:rsidRPr="00AC3217">
        <w:t xml:space="preserve"> unsupervised multivariate analysis technique, reduces data dimensionality while retaining the data’s most important variance. The PCA plot (</w:t>
      </w:r>
      <w:r w:rsidR="004D4316" w:rsidRPr="00AC3217">
        <w:t xml:space="preserve">Figure </w:t>
      </w:r>
      <w:r w:rsidR="00CF001B">
        <w:t>6</w:t>
      </w:r>
      <w:r w:rsidR="00DD006C" w:rsidRPr="00AC3217">
        <w:t>)</w:t>
      </w:r>
      <w:r w:rsidR="004D4316" w:rsidRPr="00AC3217">
        <w:t xml:space="preserve"> illustrates the distribution of samples across the first two </w:t>
      </w:r>
      <w:r w:rsidR="00DD006C" w:rsidRPr="00AC3217">
        <w:t>principal</w:t>
      </w:r>
      <w:r w:rsidR="004D4316" w:rsidRPr="00AC3217">
        <w:t xml:space="preserve"> components. Hypoxic conditions displayed more </w:t>
      </w:r>
      <w:r w:rsidR="00C26462" w:rsidRPr="00AC3217">
        <w:t>variation</w:t>
      </w:r>
      <w:r w:rsidR="004D4316" w:rsidRPr="00AC3217">
        <w:t xml:space="preserve"> compared </w:t>
      </w:r>
      <w:r w:rsidR="00C26462" w:rsidRPr="00AC3217">
        <w:t>with</w:t>
      </w:r>
      <w:r w:rsidR="004D4316" w:rsidRPr="00AC3217">
        <w:t xml:space="preserve"> </w:t>
      </w:r>
      <w:proofErr w:type="spellStart"/>
      <w:r w:rsidR="004D4316" w:rsidRPr="00AC3217">
        <w:t>normoxic</w:t>
      </w:r>
      <w:proofErr w:type="spellEnd"/>
      <w:r w:rsidR="004D4316" w:rsidRPr="00AC3217">
        <w:t xml:space="preserve"> conditions, which clustered tightly </w:t>
      </w:r>
      <w:r w:rsidR="00C26462" w:rsidRPr="00AC3217">
        <w:t xml:space="preserve">near the hypoxic samples. Cells clustered separately </w:t>
      </w:r>
      <w:r w:rsidRPr="00AC3217">
        <w:t>from</w:t>
      </w:r>
      <w:r w:rsidR="00C26462" w:rsidRPr="00AC3217">
        <w:t xml:space="preserve"> tumours with the most separation across PC1 (48.4%). A PERMANOVA test was performed to validate the observed separation between groups, </w:t>
      </w:r>
      <w:r w:rsidR="0072682F" w:rsidRPr="00AC3217">
        <w:t xml:space="preserve">yielding an F value of 46.864, R-squared of 0.674, and a p-value of 0.001 (based on 999 permutations). </w:t>
      </w:r>
    </w:p>
    <w:p w14:paraId="4651CE93" w14:textId="3F25A80D" w:rsidR="005A66C8" w:rsidRPr="00AC3217" w:rsidRDefault="00BE3047" w:rsidP="004B2BB4">
      <w:r w:rsidRPr="00AC3217">
        <w:rPr>
          <w:noProof/>
        </w:rPr>
        <w:drawing>
          <wp:inline distT="0" distB="0" distL="0" distR="0" wp14:anchorId="22ACD4DD" wp14:editId="6D7725BC">
            <wp:extent cx="5731510" cy="5334635"/>
            <wp:effectExtent l="0" t="0" r="2540" b="0"/>
            <wp:docPr id="89263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092" name=""/>
                    <pic:cNvPicPr/>
                  </pic:nvPicPr>
                  <pic:blipFill>
                    <a:blip r:embed="rId11"/>
                    <a:stretch>
                      <a:fillRect/>
                    </a:stretch>
                  </pic:blipFill>
                  <pic:spPr>
                    <a:xfrm>
                      <a:off x="0" y="0"/>
                      <a:ext cx="5731510" cy="5334635"/>
                    </a:xfrm>
                    <a:prstGeom prst="rect">
                      <a:avLst/>
                    </a:prstGeom>
                  </pic:spPr>
                </pic:pic>
              </a:graphicData>
            </a:graphic>
          </wp:inline>
        </w:drawing>
      </w:r>
    </w:p>
    <w:p w14:paraId="784408C7" w14:textId="556EF577" w:rsidR="00A17CAF" w:rsidRPr="00AC3217" w:rsidRDefault="004D4316" w:rsidP="00A17CAF">
      <w:pPr>
        <w:rPr>
          <w:b/>
          <w:bCs/>
        </w:rPr>
      </w:pPr>
      <w:r w:rsidRPr="00AC3217">
        <w:rPr>
          <w:b/>
          <w:bCs/>
        </w:rPr>
        <w:lastRenderedPageBreak/>
        <w:t xml:space="preserve">Figure </w:t>
      </w:r>
      <w:r w:rsidR="00CF001B">
        <w:rPr>
          <w:b/>
          <w:bCs/>
        </w:rPr>
        <w:t>6</w:t>
      </w:r>
      <w:r w:rsidR="00AC3217" w:rsidRPr="00AC3217">
        <w:rPr>
          <w:b/>
          <w:bCs/>
        </w:rPr>
        <w:t>. PCA plot</w:t>
      </w:r>
      <w:r w:rsidR="00AC3217">
        <w:rPr>
          <w:b/>
          <w:bCs/>
        </w:rPr>
        <w:t xml:space="preserve"> </w:t>
      </w:r>
      <w:r w:rsidR="00AC3217" w:rsidRPr="00AC3217">
        <w:rPr>
          <w:b/>
          <w:bCs/>
        </w:rPr>
        <w:t xml:space="preserve">of normal cells and cancer cells across hypoxic and </w:t>
      </w:r>
      <w:proofErr w:type="spellStart"/>
      <w:r w:rsidR="00AC3217" w:rsidRPr="00AC3217">
        <w:rPr>
          <w:b/>
          <w:bCs/>
        </w:rPr>
        <w:t>normoxic</w:t>
      </w:r>
      <w:proofErr w:type="spellEnd"/>
      <w:r w:rsidR="00AC3217" w:rsidRPr="00AC3217">
        <w:rPr>
          <w:b/>
          <w:bCs/>
        </w:rPr>
        <w:t xml:space="preserve"> conditions.</w:t>
      </w:r>
      <w:r w:rsidR="00A17CAF">
        <w:rPr>
          <w:b/>
          <w:bCs/>
        </w:rPr>
        <w:t xml:space="preserve"> </w:t>
      </w:r>
      <w:r w:rsidR="00A17CAF">
        <w:t xml:space="preserve">The </w:t>
      </w:r>
      <w:proofErr w:type="gramStart"/>
      <w:r w:rsidR="00A17CAF">
        <w:t>principle</w:t>
      </w:r>
      <w:proofErr w:type="gramEnd"/>
      <w:r w:rsidR="00A17CAF">
        <w:t xml:space="preserve"> coordinate analysis (PCA) plot shows the separation of groups across component 1 (48.5%) and component 2 (16.7%).</w:t>
      </w:r>
      <w:r w:rsidR="00E42DCE">
        <w:t xml:space="preserve"> Created with </w:t>
      </w:r>
      <w:proofErr w:type="spellStart"/>
      <w:r w:rsidR="00E42DCE">
        <w:t>MetaboAnalyst</w:t>
      </w:r>
      <w:proofErr w:type="spellEnd"/>
      <w:r w:rsidR="00E42DCE">
        <w:t xml:space="preserve"> </w:t>
      </w:r>
      <w:r w:rsidR="00E42DCE" w:rsidRPr="00E42DCE">
        <w:t>(Xia et al., 2009)</w:t>
      </w:r>
      <w:r w:rsidR="00E42DCE">
        <w:t>.</w:t>
      </w:r>
    </w:p>
    <w:p w14:paraId="51E7E6C6" w14:textId="6511A0CB" w:rsidR="00AC3217" w:rsidRPr="00AC3217" w:rsidRDefault="00AC3217" w:rsidP="00AC3217">
      <w:pPr>
        <w:rPr>
          <w:b/>
          <w:bCs/>
        </w:rPr>
      </w:pPr>
    </w:p>
    <w:p w14:paraId="2250A4F7" w14:textId="77777777" w:rsidR="00AC3217" w:rsidRDefault="00AC3217" w:rsidP="004B2BB4"/>
    <w:p w14:paraId="5AEB5732" w14:textId="12FD8128" w:rsidR="004B2BB4" w:rsidRPr="00AC3217" w:rsidRDefault="004B2BB4" w:rsidP="004B2BB4">
      <w:r w:rsidRPr="00AC3217">
        <w:t>PLSDA</w:t>
      </w:r>
    </w:p>
    <w:p w14:paraId="6A10A2D4" w14:textId="18FEEFE7" w:rsidR="00B23460" w:rsidRPr="00B23460" w:rsidRDefault="00B23460" w:rsidP="00B23460">
      <w:r w:rsidRPr="00AC3217">
        <w:rPr>
          <w:b/>
          <w:bCs/>
          <w:noProof/>
        </w:rPr>
        <w:drawing>
          <wp:anchor distT="0" distB="0" distL="114300" distR="114300" simplePos="0" relativeHeight="251658240" behindDoc="0" locked="0" layoutInCell="1" allowOverlap="1" wp14:anchorId="4206C2C2" wp14:editId="06C658D1">
            <wp:simplePos x="0" y="0"/>
            <wp:positionH relativeFrom="margin">
              <wp:align>left</wp:align>
            </wp:positionH>
            <wp:positionV relativeFrom="paragraph">
              <wp:posOffset>1734790</wp:posOffset>
            </wp:positionV>
            <wp:extent cx="5500370" cy="4824730"/>
            <wp:effectExtent l="0" t="0" r="5080" b="0"/>
            <wp:wrapSquare wrapText="bothSides"/>
            <wp:docPr id="2031329233" name="Picture 1" descr="A graph with colored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9233" name="Picture 1" descr="A graph with colored circles and numbers&#10;&#10;AI-generated content may be incorrect."/>
                    <pic:cNvPicPr/>
                  </pic:nvPicPr>
                  <pic:blipFill rotWithShape="1">
                    <a:blip r:embed="rId12">
                      <a:extLst>
                        <a:ext uri="{28A0092B-C50C-407E-A947-70E740481C1C}">
                          <a14:useLocalDpi xmlns:a14="http://schemas.microsoft.com/office/drawing/2010/main" val="0"/>
                        </a:ext>
                      </a:extLst>
                    </a:blip>
                    <a:srcRect t="3458" r="4025"/>
                    <a:stretch/>
                  </pic:blipFill>
                  <pic:spPr bwMode="auto">
                    <a:xfrm>
                      <a:off x="0" y="0"/>
                      <a:ext cx="5500370" cy="482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06C" w:rsidRPr="00AC3217">
        <w:t>The supervised multivariate method, p</w:t>
      </w:r>
      <w:r w:rsidR="00EB0C9A" w:rsidRPr="00AC3217">
        <w:t>artial least squares discriminant analysis (PLS-DA)</w:t>
      </w:r>
      <w:r w:rsidR="00DD006C" w:rsidRPr="00AC3217">
        <w:t xml:space="preserve">, maximises the separation between predefined groups, identifying metabolites most responsible for intergroup separation. </w:t>
      </w:r>
      <w:r w:rsidR="007F2183" w:rsidRPr="00AC3217">
        <w:t xml:space="preserve">Although distinct from the unsupervised PCA, the PLS-DA scores plot (Figure </w:t>
      </w:r>
      <w:r w:rsidR="00CF001B">
        <w:t>7</w:t>
      </w:r>
      <w:r w:rsidR="007F2183" w:rsidRPr="00AC3217">
        <w:t xml:space="preserve">) displays consistent clustering of the four groups, but with greater separation between </w:t>
      </w:r>
      <w:r w:rsidR="00D63F4A">
        <w:t>hypoxic conditions across component 2 (12.6%)</w:t>
      </w:r>
      <w:r w:rsidR="007F2183" w:rsidRPr="00AC3217">
        <w:t xml:space="preserve">. </w:t>
      </w:r>
      <w:r w:rsidR="00D63F4A">
        <w:t>Five</w:t>
      </w:r>
      <w:r w:rsidR="00A9016F" w:rsidRPr="00AC3217">
        <w:t xml:space="preserve">-fold cross-validation </w:t>
      </w:r>
      <w:r w:rsidR="00A903C9" w:rsidRPr="00AC3217">
        <w:t>suggests</w:t>
      </w:r>
      <w:r w:rsidR="00A9016F" w:rsidRPr="00AC3217">
        <w:t xml:space="preserve"> that five components are the optimal, with 100% accuracy, explaining 97.8% of total variance (R2), and </w:t>
      </w:r>
      <w:r w:rsidR="00A903C9" w:rsidRPr="00AC3217">
        <w:t>excellent predictive performance (Q2=0.9521</w:t>
      </w:r>
      <w:r w:rsidR="00D63F4A">
        <w:t>; Table 3</w:t>
      </w:r>
      <w:r w:rsidR="00427335">
        <w:t xml:space="preserve">; Figure </w:t>
      </w:r>
      <w:r w:rsidR="00CF001B">
        <w:t>8</w:t>
      </w:r>
      <w:r w:rsidR="00A903C9" w:rsidRPr="00AC3217">
        <w:t>)</w:t>
      </w:r>
      <w:r w:rsidR="004E1251" w:rsidRPr="00AC3217">
        <w:t>. The</w:t>
      </w:r>
      <w:r w:rsidR="00427335">
        <w:t xml:space="preserve"> driving forces of separation were visualised as a biplot (Figure </w:t>
      </w:r>
      <w:r w:rsidR="00CF001B">
        <w:t>9</w:t>
      </w:r>
      <w:r w:rsidR="00427335">
        <w:t xml:space="preserve">), revealing </w:t>
      </w:r>
      <w:r w:rsidR="00354270">
        <w:t xml:space="preserve">that </w:t>
      </w:r>
      <w:r w:rsidR="00427335">
        <w:t>glutamate and glucose are most strongly associated with tumour samples, particularly under hypoxic conditions.</w:t>
      </w:r>
    </w:p>
    <w:p w14:paraId="3004589F" w14:textId="4FFA3402" w:rsidR="00B23460" w:rsidRPr="00AC3217" w:rsidRDefault="00AC3217" w:rsidP="00B23460">
      <w:pPr>
        <w:rPr>
          <w:b/>
          <w:bCs/>
        </w:rPr>
      </w:pPr>
      <w:r w:rsidRPr="00AC3217">
        <w:rPr>
          <w:b/>
          <w:bCs/>
        </w:rPr>
        <w:t xml:space="preserve">Figure </w:t>
      </w:r>
      <w:r w:rsidR="00CF001B">
        <w:rPr>
          <w:b/>
          <w:bCs/>
        </w:rPr>
        <w:t>7</w:t>
      </w:r>
      <w:r w:rsidRPr="00AC3217">
        <w:rPr>
          <w:b/>
          <w:bCs/>
        </w:rPr>
        <w:t xml:space="preserve">. PLSDA plot of normal cells and cancer cells across hypoxic and </w:t>
      </w:r>
      <w:proofErr w:type="spellStart"/>
      <w:r w:rsidRPr="00AC3217">
        <w:rPr>
          <w:b/>
          <w:bCs/>
        </w:rPr>
        <w:t>normoxic</w:t>
      </w:r>
      <w:proofErr w:type="spellEnd"/>
      <w:r w:rsidRPr="00AC3217">
        <w:rPr>
          <w:b/>
          <w:bCs/>
        </w:rPr>
        <w:t xml:space="preserve"> conditions.</w:t>
      </w:r>
      <w:r w:rsidR="005432BC">
        <w:rPr>
          <w:b/>
          <w:bCs/>
        </w:rPr>
        <w:t xml:space="preserve"> </w:t>
      </w:r>
      <w:r w:rsidR="00A17CAF">
        <w:t>P</w:t>
      </w:r>
      <w:r w:rsidR="00A17CAF" w:rsidRPr="002F19E2">
        <w:t>artial least squares discriminatory analysis (PLS-DA)</w:t>
      </w:r>
      <w:r w:rsidR="00A17CAF">
        <w:t xml:space="preserve"> score plot shows the separation of groups across component 1 (48.5%) and component 2 (12.6%).</w:t>
      </w:r>
      <w:r w:rsidR="00B23460">
        <w:t xml:space="preserve"> The ellipses represent 95% confidence intervals.</w:t>
      </w:r>
      <w:r w:rsidR="00E42DCE">
        <w:t xml:space="preserve"> Created with </w:t>
      </w:r>
      <w:proofErr w:type="spellStart"/>
      <w:r w:rsidR="00E42DCE">
        <w:t>MetaboAnalyst</w:t>
      </w:r>
      <w:proofErr w:type="spellEnd"/>
      <w:r w:rsidR="00E42DCE">
        <w:t xml:space="preserve"> </w:t>
      </w:r>
      <w:r w:rsidR="00E42DCE" w:rsidRPr="00E42DCE">
        <w:t>(Xia et al., 2009)</w:t>
      </w:r>
      <w:r w:rsidR="00E42DCE">
        <w:t>.</w:t>
      </w:r>
    </w:p>
    <w:p w14:paraId="59EB5D66" w14:textId="31C89CFC" w:rsidR="00D544C2" w:rsidRPr="00AC3217" w:rsidRDefault="00D544C2" w:rsidP="004B2BB4">
      <w:pPr>
        <w:rPr>
          <w:b/>
          <w:bCs/>
        </w:rPr>
      </w:pPr>
    </w:p>
    <w:p w14:paraId="24E5520E" w14:textId="3F3A05C2" w:rsidR="004B2BB4" w:rsidRPr="00AC3217" w:rsidRDefault="00BE3047" w:rsidP="004B2BB4">
      <w:r w:rsidRPr="00AC3217">
        <w:rPr>
          <w:noProof/>
        </w:rPr>
        <w:drawing>
          <wp:inline distT="0" distB="0" distL="0" distR="0" wp14:anchorId="2FFBBAFE" wp14:editId="57292BDC">
            <wp:extent cx="5363323" cy="3515216"/>
            <wp:effectExtent l="0" t="0" r="0" b="9525"/>
            <wp:docPr id="72339234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92345" name="Picture 1" descr="A graph of different colored bars&#10;&#10;AI-generated content may be incorrect."/>
                    <pic:cNvPicPr/>
                  </pic:nvPicPr>
                  <pic:blipFill>
                    <a:blip r:embed="rId13"/>
                    <a:stretch>
                      <a:fillRect/>
                    </a:stretch>
                  </pic:blipFill>
                  <pic:spPr>
                    <a:xfrm>
                      <a:off x="0" y="0"/>
                      <a:ext cx="5363323" cy="3515216"/>
                    </a:xfrm>
                    <a:prstGeom prst="rect">
                      <a:avLst/>
                    </a:prstGeom>
                  </pic:spPr>
                </pic:pic>
              </a:graphicData>
            </a:graphic>
          </wp:inline>
        </w:drawing>
      </w:r>
    </w:p>
    <w:p w14:paraId="73290EAC" w14:textId="0924DC51" w:rsidR="00E42DCE" w:rsidRDefault="00AC3217" w:rsidP="004B2BB4">
      <w:r w:rsidRPr="005B7495">
        <w:rPr>
          <w:b/>
          <w:bCs/>
        </w:rPr>
        <w:t xml:space="preserve">Figure </w:t>
      </w:r>
      <w:r w:rsidR="00CF001B">
        <w:rPr>
          <w:b/>
          <w:bCs/>
        </w:rPr>
        <w:t>8</w:t>
      </w:r>
      <w:r w:rsidRPr="005B7495">
        <w:rPr>
          <w:b/>
          <w:bCs/>
        </w:rPr>
        <w:t xml:space="preserve">. PLS-DA </w:t>
      </w:r>
      <w:r w:rsidR="005B7495">
        <w:rPr>
          <w:b/>
          <w:bCs/>
        </w:rPr>
        <w:t>cross-validation</w:t>
      </w:r>
      <w:r w:rsidRPr="005B7495">
        <w:rPr>
          <w:b/>
          <w:bCs/>
        </w:rPr>
        <w:t xml:space="preserve"> results measured by Q2.</w:t>
      </w:r>
      <w:r w:rsidR="002F19E2">
        <w:rPr>
          <w:b/>
          <w:bCs/>
        </w:rPr>
        <w:t xml:space="preserve"> </w:t>
      </w:r>
      <w:r w:rsidR="002F19E2" w:rsidRPr="002F19E2">
        <w:t>The performance of partial least squares discriminatory analysis (PLS-DA) shows explained variance (R</w:t>
      </w:r>
      <w:r w:rsidR="002F19E2" w:rsidRPr="002F19E2">
        <w:rPr>
          <w:vertAlign w:val="superscript"/>
        </w:rPr>
        <w:t>2</w:t>
      </w:r>
      <w:r w:rsidR="002F19E2" w:rsidRPr="002F19E2">
        <w:t>), predictive ability (Q</w:t>
      </w:r>
      <w:r w:rsidR="002F19E2" w:rsidRPr="002F19E2">
        <w:rPr>
          <w:vertAlign w:val="superscript"/>
        </w:rPr>
        <w:t>2</w:t>
      </w:r>
      <w:r w:rsidR="002F19E2" w:rsidRPr="002F19E2">
        <w:t>), and accuracy across different model components. The optimal model is marked by a red star.</w:t>
      </w:r>
      <w:r w:rsidR="00E42DCE">
        <w:t xml:space="preserve"> Created with </w:t>
      </w:r>
      <w:proofErr w:type="spellStart"/>
      <w:r w:rsidR="00E42DCE">
        <w:t>MetaboAnalyst</w:t>
      </w:r>
      <w:proofErr w:type="spellEnd"/>
      <w:r w:rsidR="00E42DCE">
        <w:t xml:space="preserve"> </w:t>
      </w:r>
      <w:r w:rsidR="00E42DCE" w:rsidRPr="00E42DCE">
        <w:t>(Xia et al., 2009)</w:t>
      </w:r>
      <w:r w:rsidR="00E42DCE">
        <w:t>.</w:t>
      </w:r>
    </w:p>
    <w:p w14:paraId="4119CCC2" w14:textId="77777777" w:rsidR="00E42DCE" w:rsidRPr="005B7495" w:rsidRDefault="00E42DCE" w:rsidP="004B2BB4">
      <w:pPr>
        <w:rPr>
          <w:b/>
          <w:bCs/>
        </w:rPr>
      </w:pPr>
    </w:p>
    <w:p w14:paraId="3DD55811" w14:textId="4CE47CA8" w:rsidR="00E42DCE" w:rsidRDefault="00E42DCE" w:rsidP="004B2BB4">
      <w:r w:rsidRPr="00AC3217">
        <w:rPr>
          <w:noProof/>
        </w:rPr>
        <w:drawing>
          <wp:anchor distT="0" distB="0" distL="114300" distR="114300" simplePos="0" relativeHeight="251659264" behindDoc="0" locked="0" layoutInCell="1" allowOverlap="1" wp14:anchorId="476592FE" wp14:editId="0A5ADB7E">
            <wp:simplePos x="0" y="0"/>
            <wp:positionH relativeFrom="margin">
              <wp:align>left</wp:align>
            </wp:positionH>
            <wp:positionV relativeFrom="paragraph">
              <wp:posOffset>382240</wp:posOffset>
            </wp:positionV>
            <wp:extent cx="5183505" cy="1816735"/>
            <wp:effectExtent l="0" t="0" r="0" b="0"/>
            <wp:wrapTopAndBottom/>
            <wp:docPr id="5094471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7171" name="Picture 1" descr="A screenshot of a graph&#10;&#10;AI-generated content may be incorrect."/>
                    <pic:cNvPicPr/>
                  </pic:nvPicPr>
                  <pic:blipFill rotWithShape="1">
                    <a:blip r:embed="rId14">
                      <a:extLst>
                        <a:ext uri="{28A0092B-C50C-407E-A947-70E740481C1C}">
                          <a14:useLocalDpi xmlns:a14="http://schemas.microsoft.com/office/drawing/2010/main" val="0"/>
                        </a:ext>
                      </a:extLst>
                    </a:blip>
                    <a:srcRect t="34437"/>
                    <a:stretch/>
                  </pic:blipFill>
                  <pic:spPr bwMode="auto">
                    <a:xfrm>
                      <a:off x="0" y="0"/>
                      <a:ext cx="5183505" cy="181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3217" w:rsidRPr="005B7495">
        <w:rPr>
          <w:b/>
          <w:bCs/>
        </w:rPr>
        <w:t xml:space="preserve">Table </w:t>
      </w:r>
      <w:r w:rsidR="0078551D">
        <w:rPr>
          <w:b/>
          <w:bCs/>
        </w:rPr>
        <w:t>3</w:t>
      </w:r>
      <w:r w:rsidR="00AC3217" w:rsidRPr="005B7495">
        <w:rPr>
          <w:b/>
          <w:bCs/>
        </w:rPr>
        <w:t xml:space="preserve">. PLS-DA </w:t>
      </w:r>
      <w:r w:rsidR="005B7495">
        <w:rPr>
          <w:b/>
          <w:bCs/>
        </w:rPr>
        <w:t>cross-validation</w:t>
      </w:r>
      <w:r w:rsidR="00AC3217" w:rsidRPr="005B7495">
        <w:rPr>
          <w:b/>
          <w:bCs/>
        </w:rPr>
        <w:t xml:space="preserve"> results details</w:t>
      </w:r>
      <w:r>
        <w:rPr>
          <w:b/>
          <w:bCs/>
        </w:rPr>
        <w:t xml:space="preserve">. </w:t>
      </w:r>
      <w:r>
        <w:t xml:space="preserve">Created with </w:t>
      </w:r>
      <w:proofErr w:type="spellStart"/>
      <w:r>
        <w:t>MetaboAnalyst</w:t>
      </w:r>
      <w:proofErr w:type="spellEnd"/>
      <w:r>
        <w:t xml:space="preserve"> </w:t>
      </w:r>
      <w:r w:rsidRPr="00E42DCE">
        <w:t>(Xia et al., 2009)</w:t>
      </w:r>
      <w:r>
        <w:t>.</w:t>
      </w:r>
      <w:r w:rsidRPr="00E42DCE">
        <w:rPr>
          <w:noProof/>
        </w:rPr>
        <w:t xml:space="preserve"> </w:t>
      </w:r>
    </w:p>
    <w:p w14:paraId="4E524743" w14:textId="0CC64F69" w:rsidR="00BE3047" w:rsidRPr="00AC3217" w:rsidRDefault="00E42DCE" w:rsidP="004B2BB4">
      <w:r>
        <w:lastRenderedPageBreak/>
        <w:t xml:space="preserve"> </w:t>
      </w:r>
      <w:r w:rsidR="00BE3047" w:rsidRPr="00AC3217">
        <w:rPr>
          <w:noProof/>
        </w:rPr>
        <w:drawing>
          <wp:inline distT="0" distB="0" distL="0" distR="0" wp14:anchorId="1910D4E4" wp14:editId="5144395F">
            <wp:extent cx="5731510" cy="6264910"/>
            <wp:effectExtent l="0" t="0" r="2540" b="2540"/>
            <wp:docPr id="749677021" name="Picture 1" descr="A diagram of bi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7021" name="Picture 1" descr="A diagram of bilot&#10;&#10;AI-generated content may be incorrect."/>
                    <pic:cNvPicPr/>
                  </pic:nvPicPr>
                  <pic:blipFill>
                    <a:blip r:embed="rId15"/>
                    <a:stretch>
                      <a:fillRect/>
                    </a:stretch>
                  </pic:blipFill>
                  <pic:spPr>
                    <a:xfrm>
                      <a:off x="0" y="0"/>
                      <a:ext cx="5731510" cy="6264910"/>
                    </a:xfrm>
                    <a:prstGeom prst="rect">
                      <a:avLst/>
                    </a:prstGeom>
                  </pic:spPr>
                </pic:pic>
              </a:graphicData>
            </a:graphic>
          </wp:inline>
        </w:drawing>
      </w:r>
    </w:p>
    <w:p w14:paraId="52A7A507" w14:textId="2829560C" w:rsidR="00B23460" w:rsidRPr="00AC3217" w:rsidRDefault="00AC3217" w:rsidP="00B23460">
      <w:pPr>
        <w:rPr>
          <w:b/>
          <w:bCs/>
        </w:rPr>
      </w:pPr>
      <w:r w:rsidRPr="00AC3217">
        <w:rPr>
          <w:b/>
          <w:bCs/>
        </w:rPr>
        <w:t xml:space="preserve">Figure </w:t>
      </w:r>
      <w:r w:rsidR="00CF001B">
        <w:rPr>
          <w:b/>
          <w:bCs/>
        </w:rPr>
        <w:t>9</w:t>
      </w:r>
      <w:r w:rsidRPr="00AC3217">
        <w:rPr>
          <w:b/>
          <w:bCs/>
        </w:rPr>
        <w:t xml:space="preserve">. Biplot normal cells and cancer cells across hypoxic and </w:t>
      </w:r>
      <w:proofErr w:type="spellStart"/>
      <w:r w:rsidRPr="00AC3217">
        <w:rPr>
          <w:b/>
          <w:bCs/>
        </w:rPr>
        <w:t>normoxic</w:t>
      </w:r>
      <w:proofErr w:type="spellEnd"/>
      <w:r w:rsidRPr="00AC3217">
        <w:rPr>
          <w:b/>
          <w:bCs/>
        </w:rPr>
        <w:t xml:space="preserve"> conditions.</w:t>
      </w:r>
      <w:r w:rsidR="00A17CAF">
        <w:rPr>
          <w:b/>
          <w:bCs/>
        </w:rPr>
        <w:t xml:space="preserve"> </w:t>
      </w:r>
      <w:r w:rsidR="00B23460">
        <w:t>P</w:t>
      </w:r>
      <w:r w:rsidR="00B23460" w:rsidRPr="002F19E2">
        <w:t>artial least squares discriminatory analysis (PLS-DA)</w:t>
      </w:r>
      <w:r w:rsidR="00B23460">
        <w:t xml:space="preserve"> score plot shows the separation of groups across component 1 (48.5%) and component 2 (12.6%). Key metabolites that drive separation are labelled with arrows orientating the separation. The ellipses represent 95% confidence intervals.</w:t>
      </w:r>
      <w:r w:rsidR="00E42DCE">
        <w:t xml:space="preserve"> Created with </w:t>
      </w:r>
      <w:proofErr w:type="spellStart"/>
      <w:r w:rsidR="00E42DCE">
        <w:t>MetaboAnalyst</w:t>
      </w:r>
      <w:proofErr w:type="spellEnd"/>
      <w:r w:rsidR="00E42DCE">
        <w:t xml:space="preserve"> </w:t>
      </w:r>
      <w:r w:rsidR="00E42DCE" w:rsidRPr="00E42DCE">
        <w:t>(Xia et al., 2009)</w:t>
      </w:r>
      <w:r w:rsidR="00E42DCE">
        <w:t>.</w:t>
      </w:r>
    </w:p>
    <w:p w14:paraId="218B8B00" w14:textId="0472E818" w:rsidR="00AC3217" w:rsidRPr="00AC3217" w:rsidRDefault="00AC3217" w:rsidP="004B2BB4"/>
    <w:p w14:paraId="5F755D2D" w14:textId="10B59317" w:rsidR="004B2BB4" w:rsidRPr="00AC3217" w:rsidRDefault="004B2BB4" w:rsidP="004B2BB4"/>
    <w:p w14:paraId="47A36DBA" w14:textId="7094683C" w:rsidR="004B2BB4" w:rsidRPr="00AC3217" w:rsidRDefault="004B2BB4" w:rsidP="004B2BB4"/>
    <w:p w14:paraId="794AF808" w14:textId="58B47DD5" w:rsidR="00035E33" w:rsidRPr="00AC3217" w:rsidRDefault="00035E33" w:rsidP="004B2BB4"/>
    <w:p w14:paraId="1A01005F" w14:textId="77777777" w:rsidR="007C5D61" w:rsidRPr="00AC3217" w:rsidRDefault="007C5D61" w:rsidP="00411CC5">
      <w:pPr>
        <w:rPr>
          <w:u w:val="single"/>
        </w:rPr>
      </w:pPr>
    </w:p>
    <w:p w14:paraId="1E0A4E62" w14:textId="77777777" w:rsidR="007C5D61" w:rsidRPr="00AC3217" w:rsidRDefault="007C5D61" w:rsidP="00411CC5">
      <w:pPr>
        <w:rPr>
          <w:u w:val="single"/>
        </w:rPr>
      </w:pPr>
    </w:p>
    <w:p w14:paraId="73ABED62" w14:textId="24ADBA35" w:rsidR="00411CC5" w:rsidRDefault="00411CC5" w:rsidP="00411CC5">
      <w:pPr>
        <w:rPr>
          <w:u w:val="single"/>
        </w:rPr>
      </w:pPr>
      <w:r w:rsidRPr="00AC3217">
        <w:rPr>
          <w:u w:val="single"/>
        </w:rPr>
        <w:t>(vi) Metabolite Contextualisation</w:t>
      </w:r>
      <w:r w:rsidR="001372EC">
        <w:rPr>
          <w:u w:val="single"/>
        </w:rPr>
        <w:t xml:space="preserve"> </w:t>
      </w:r>
    </w:p>
    <w:p w14:paraId="7D1EA538" w14:textId="3F149044" w:rsidR="007425FB" w:rsidRPr="00AC3217" w:rsidRDefault="007B725B" w:rsidP="007425FB">
      <w:r w:rsidRPr="00AC3217">
        <w:t>Variable importance in projection (VIP) scores identified</w:t>
      </w:r>
      <w:r w:rsidR="00B564CC" w:rsidRPr="00AC3217">
        <w:t xml:space="preserve"> the metabolites most responsible for group separation, </w:t>
      </w:r>
      <w:r w:rsidR="003F0690" w:rsidRPr="00AC3217">
        <w:t>with scores above 1.0 considered significant</w:t>
      </w:r>
      <w:r w:rsidRPr="00AC3217">
        <w:t xml:space="preserve"> (Figure</w:t>
      </w:r>
      <w:r w:rsidR="003113D5">
        <w:t xml:space="preserve"> </w:t>
      </w:r>
      <w:r w:rsidR="00CF001B">
        <w:t>10</w:t>
      </w:r>
      <w:r w:rsidR="003113D5">
        <w:t>)</w:t>
      </w:r>
      <w:r w:rsidR="003F0690" w:rsidRPr="00AC3217">
        <w:t xml:space="preserve">. </w:t>
      </w:r>
    </w:p>
    <w:p w14:paraId="212A90B0" w14:textId="37E9ADC1" w:rsidR="007B725B" w:rsidRPr="00AC3217" w:rsidRDefault="007B725B" w:rsidP="007425FB">
      <w:r w:rsidRPr="00AC3217">
        <w:rPr>
          <w:noProof/>
        </w:rPr>
        <w:drawing>
          <wp:inline distT="0" distB="0" distL="0" distR="0" wp14:anchorId="1ABB8FF8" wp14:editId="7B4CFE19">
            <wp:extent cx="5731510" cy="4743450"/>
            <wp:effectExtent l="0" t="0" r="2540" b="0"/>
            <wp:docPr id="545877" name="Picture 1" descr="A chart with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7" name="Picture 1" descr="A chart with a number of different colored squares&#10;&#10;AI-generated content may be incorrect."/>
                    <pic:cNvPicPr/>
                  </pic:nvPicPr>
                  <pic:blipFill>
                    <a:blip r:embed="rId16"/>
                    <a:stretch>
                      <a:fillRect/>
                    </a:stretch>
                  </pic:blipFill>
                  <pic:spPr>
                    <a:xfrm>
                      <a:off x="0" y="0"/>
                      <a:ext cx="5731510" cy="4743450"/>
                    </a:xfrm>
                    <a:prstGeom prst="rect">
                      <a:avLst/>
                    </a:prstGeom>
                  </pic:spPr>
                </pic:pic>
              </a:graphicData>
            </a:graphic>
          </wp:inline>
        </w:drawing>
      </w:r>
    </w:p>
    <w:p w14:paraId="391E2B32" w14:textId="54D6C567" w:rsidR="00AC3217" w:rsidRPr="00A17CAF" w:rsidRDefault="00AC3217" w:rsidP="007425FB">
      <w:r w:rsidRPr="005B7495">
        <w:rPr>
          <w:b/>
          <w:bCs/>
        </w:rPr>
        <w:t xml:space="preserve">Figure </w:t>
      </w:r>
      <w:r w:rsidR="00CF001B">
        <w:rPr>
          <w:b/>
          <w:bCs/>
        </w:rPr>
        <w:t>10</w:t>
      </w:r>
      <w:r w:rsidRPr="005B7495">
        <w:rPr>
          <w:b/>
          <w:bCs/>
        </w:rPr>
        <w:t xml:space="preserve">. VIP plot </w:t>
      </w:r>
      <w:r w:rsidR="005B7495" w:rsidRPr="005B7495">
        <w:rPr>
          <w:b/>
          <w:bCs/>
        </w:rPr>
        <w:t xml:space="preserve">of normal cells and cancer cells across hypoxic and </w:t>
      </w:r>
      <w:proofErr w:type="spellStart"/>
      <w:r w:rsidR="005B7495" w:rsidRPr="005B7495">
        <w:rPr>
          <w:b/>
          <w:bCs/>
        </w:rPr>
        <w:t>normoxic</w:t>
      </w:r>
      <w:proofErr w:type="spellEnd"/>
      <w:r w:rsidR="005B7495" w:rsidRPr="005B7495">
        <w:rPr>
          <w:b/>
          <w:bCs/>
        </w:rPr>
        <w:t xml:space="preserve"> conditions</w:t>
      </w:r>
      <w:r w:rsidR="00A17CAF">
        <w:rPr>
          <w:b/>
          <w:bCs/>
        </w:rPr>
        <w:t xml:space="preserve">. </w:t>
      </w:r>
      <w:r w:rsidR="00A17CAF">
        <w:t xml:space="preserve">Variance importance in projection (VIP) scores from PLS-DA are on the x-axis and rank metabolites based on their contribution to group separation. The heatmap on the right depicts the metabolite abundances across conditions, with red as high and blue as low. </w:t>
      </w:r>
      <w:r w:rsidR="00E42DCE">
        <w:t xml:space="preserve">Created with </w:t>
      </w:r>
      <w:proofErr w:type="spellStart"/>
      <w:r w:rsidR="00E42DCE">
        <w:t>MetaboAnalyst</w:t>
      </w:r>
      <w:proofErr w:type="spellEnd"/>
      <w:r w:rsidR="00E42DCE">
        <w:t xml:space="preserve"> </w:t>
      </w:r>
      <w:r w:rsidR="00E42DCE" w:rsidRPr="00E42DCE">
        <w:t>(Xia et al., 2009)</w:t>
      </w:r>
      <w:r w:rsidR="00E42DCE">
        <w:t>.</w:t>
      </w:r>
    </w:p>
    <w:p w14:paraId="579E0BF9" w14:textId="77777777" w:rsidR="007B725B" w:rsidRPr="005B7495" w:rsidRDefault="007B725B" w:rsidP="007425FB">
      <w:pPr>
        <w:rPr>
          <w:b/>
          <w:bCs/>
        </w:rPr>
      </w:pPr>
    </w:p>
    <w:p w14:paraId="1C923C7B" w14:textId="359E34DA" w:rsidR="007B725B" w:rsidRPr="00AC3217" w:rsidRDefault="007B725B" w:rsidP="007425FB"/>
    <w:p w14:paraId="3EAB5EAA" w14:textId="23ED9433" w:rsidR="006E621C" w:rsidRPr="000A00DC" w:rsidRDefault="007B725B" w:rsidP="007425FB">
      <w:r w:rsidRPr="00AC3217">
        <w:t>G</w:t>
      </w:r>
      <w:r w:rsidR="00EF404F" w:rsidRPr="00AC3217">
        <w:t xml:space="preserve">lutamate, glucose, and </w:t>
      </w:r>
      <w:r w:rsidR="00866704" w:rsidRPr="00AC3217">
        <w:t>choline</w:t>
      </w:r>
      <w:r w:rsidR="00EF404F" w:rsidRPr="00AC3217">
        <w:t xml:space="preserve"> were selected for pathway analysis</w:t>
      </w:r>
      <w:r w:rsidR="00CF001B">
        <w:t xml:space="preserve"> (Figure 11)</w:t>
      </w:r>
      <w:r w:rsidR="00EF404F" w:rsidRPr="00AC3217">
        <w:t xml:space="preserve"> </w:t>
      </w:r>
      <w:r w:rsidR="00D6753A" w:rsidRPr="00AC3217">
        <w:t xml:space="preserve">due to high </w:t>
      </w:r>
      <w:r w:rsidR="002167D5" w:rsidRPr="00AC3217">
        <w:t xml:space="preserve">VIP scores, </w:t>
      </w:r>
      <w:r w:rsidR="00D6753A" w:rsidRPr="00AC3217">
        <w:t>statistical significance</w:t>
      </w:r>
      <w:r w:rsidR="00866704" w:rsidRPr="00AC3217">
        <w:t xml:space="preserve">, and higher </w:t>
      </w:r>
      <w:r w:rsidR="00D6753A" w:rsidRPr="00AC3217">
        <w:t xml:space="preserve">levels </w:t>
      </w:r>
      <w:r w:rsidR="00866704" w:rsidRPr="00AC3217">
        <w:t>in hypoxic tumour samples</w:t>
      </w:r>
      <w:r w:rsidR="00AC3217" w:rsidRPr="00AC3217">
        <w:t xml:space="preserve"> (Figure </w:t>
      </w:r>
      <w:r w:rsidR="00CF001B">
        <w:t>10</w:t>
      </w:r>
      <w:r w:rsidR="00AC3217" w:rsidRPr="00AC3217">
        <w:t>)</w:t>
      </w:r>
      <w:r w:rsidR="00D6753A" w:rsidRPr="00AC3217">
        <w:t>.</w:t>
      </w:r>
      <w:r w:rsidR="00CF001B">
        <w:t xml:space="preserve"> </w:t>
      </w:r>
      <w:r w:rsidR="003113D5" w:rsidRPr="00AC3217">
        <w:t xml:space="preserve">Neomycin, kanamycin and gentamicin biosynthesis </w:t>
      </w:r>
      <w:r w:rsidR="003113D5">
        <w:t>were</w:t>
      </w:r>
      <w:r w:rsidR="003113D5" w:rsidRPr="00AC3217">
        <w:t xml:space="preserve"> most significant</w:t>
      </w:r>
      <w:r w:rsidR="003113D5">
        <w:t xml:space="preserve"> </w:t>
      </w:r>
      <w:r w:rsidR="003113D5" w:rsidRPr="00AC3217">
        <w:t>(p = 0.0040268</w:t>
      </w:r>
      <w:r w:rsidR="000A00DC">
        <w:t xml:space="preserve">). Via HIF1α upregulation, gentamicin exposure is known to induce a hypoxia-like state in tumour cells </w:t>
      </w:r>
      <w:r w:rsidR="000A00DC" w:rsidRPr="000A00DC">
        <w:t>(Elliott and Jiang, 2019)</w:t>
      </w:r>
      <w:r w:rsidR="000A00DC">
        <w:t xml:space="preserve">. </w:t>
      </w:r>
      <w:r w:rsidR="006E621C" w:rsidRPr="00AC3217">
        <w:t xml:space="preserve">Nitrogen metabolism was associated with glutamate, </w:t>
      </w:r>
      <w:r w:rsidR="00D6753A" w:rsidRPr="00AC3217">
        <w:t>reflecting</w:t>
      </w:r>
      <w:r w:rsidR="006E621C" w:rsidRPr="00AC3217">
        <w:t xml:space="preserve"> </w:t>
      </w:r>
      <w:r w:rsidR="006E621C" w:rsidRPr="00AC3217">
        <w:lastRenderedPageBreak/>
        <w:t xml:space="preserve">evidence </w:t>
      </w:r>
      <w:r w:rsidR="00D6753A" w:rsidRPr="00AC3217">
        <w:t xml:space="preserve">of </w:t>
      </w:r>
      <w:r w:rsidR="006E621C" w:rsidRPr="00AC3217">
        <w:t>an increased demand for nitrogen in tumours (Pavlova and Thompson, 2016)</w:t>
      </w:r>
      <w:r w:rsidR="003113D5">
        <w:t>. However, these pathways h</w:t>
      </w:r>
      <w:r w:rsidR="006E621C" w:rsidRPr="00AC3217">
        <w:t xml:space="preserve">ad an impact value of 0.0. This low impact was common across most mapped pathways (Table </w:t>
      </w:r>
      <w:r w:rsidR="0078551D">
        <w:t>4</w:t>
      </w:r>
      <w:r w:rsidR="006E621C" w:rsidRPr="00AC3217">
        <w:t>).</w:t>
      </w:r>
    </w:p>
    <w:p w14:paraId="1F40F6C5" w14:textId="537B112A" w:rsidR="00593B24" w:rsidRPr="00AC3217" w:rsidRDefault="004A4147" w:rsidP="007425FB">
      <w:r w:rsidRPr="00AC3217">
        <w:t>In contrast, s</w:t>
      </w:r>
      <w:r w:rsidR="00EA0195" w:rsidRPr="00AC3217">
        <w:t xml:space="preserve">tarch and sucrose metabolism was </w:t>
      </w:r>
      <w:r w:rsidR="00523A5C" w:rsidRPr="00AC3217">
        <w:t>the most impacted pathway</w:t>
      </w:r>
      <w:r w:rsidR="00EA0195" w:rsidRPr="00AC3217">
        <w:t xml:space="preserve"> due to glucose presence (impact=0.4207). This mirrors the Warburg effect, where tumour cells have altered glucose metabolism</w:t>
      </w:r>
      <w:r w:rsidR="00242D11" w:rsidRPr="00AC3217">
        <w:t xml:space="preserve"> (Pavlova and Thompson, 2016)</w:t>
      </w:r>
      <w:r w:rsidR="00593B24" w:rsidRPr="00AC3217">
        <w:t>.</w:t>
      </w:r>
      <w:r w:rsidRPr="00AC3217">
        <w:t xml:space="preserve"> </w:t>
      </w:r>
      <w:r w:rsidR="00E74998" w:rsidRPr="00AC3217">
        <w:t>Arginine biosynthesis was also associated with these metabolites,</w:t>
      </w:r>
      <w:r w:rsidR="00D6753A" w:rsidRPr="00AC3217">
        <w:t xml:space="preserve"> with some impact (0.07483). This </w:t>
      </w:r>
      <w:r w:rsidR="007B725B" w:rsidRPr="00AC3217">
        <w:t xml:space="preserve">is </w:t>
      </w:r>
      <w:r w:rsidR="00E74998" w:rsidRPr="00AC3217">
        <w:t>a precursor to nitric oxide</w:t>
      </w:r>
      <w:r w:rsidR="006E621C" w:rsidRPr="00AC3217">
        <w:t>,</w:t>
      </w:r>
      <w:r w:rsidR="00E74998" w:rsidRPr="00AC3217">
        <w:t xml:space="preserve"> which may influence cellular hypoxia responses. </w:t>
      </w:r>
      <w:r w:rsidR="007B725B" w:rsidRPr="00AC3217">
        <w:t>A</w:t>
      </w:r>
      <w:r w:rsidR="00E74998" w:rsidRPr="00AC3217">
        <w:t>rginine is essential for cellular growth and can become limited in rapid growth</w:t>
      </w:r>
      <w:r w:rsidR="007B725B" w:rsidRPr="00AC3217">
        <w:t xml:space="preserve"> phases</w:t>
      </w:r>
      <w:r w:rsidR="00E74998" w:rsidRPr="00AC3217">
        <w:t>, like malignancy</w:t>
      </w:r>
      <w:r w:rsidR="009F187A" w:rsidRPr="00AC3217">
        <w:t xml:space="preserve"> (Albaugh, Pinzon-Guzman and </w:t>
      </w:r>
      <w:proofErr w:type="spellStart"/>
      <w:r w:rsidR="009F187A" w:rsidRPr="00AC3217">
        <w:t>Barbul</w:t>
      </w:r>
      <w:proofErr w:type="spellEnd"/>
      <w:r w:rsidR="009F187A" w:rsidRPr="00AC3217">
        <w:t xml:space="preserve">, 2017). </w:t>
      </w:r>
      <w:r w:rsidR="009C753E" w:rsidRPr="00AC3217">
        <w:t xml:space="preserve"> </w:t>
      </w:r>
    </w:p>
    <w:p w14:paraId="3953BDA6" w14:textId="727D918B" w:rsidR="00EA0195" w:rsidRPr="00AC3217" w:rsidRDefault="007B725B" w:rsidP="007425FB">
      <w:r w:rsidRPr="00AC3217">
        <w:t>The pathways are all</w:t>
      </w:r>
      <w:r w:rsidR="00593B24" w:rsidRPr="00AC3217">
        <w:t xml:space="preserve"> limited by the number of metabolites present, with </w:t>
      </w:r>
      <w:r w:rsidR="009F187A" w:rsidRPr="00AC3217">
        <w:t>a</w:t>
      </w:r>
      <w:r w:rsidR="00593B24" w:rsidRPr="00AC3217">
        <w:t xml:space="preserve"> maximum </w:t>
      </w:r>
      <w:r w:rsidR="009F187A" w:rsidRPr="00AC3217">
        <w:t>of</w:t>
      </w:r>
      <w:r w:rsidR="00593B24" w:rsidRPr="00AC3217">
        <w:t xml:space="preserve"> </w:t>
      </w:r>
      <w:r w:rsidR="00D6753A" w:rsidRPr="00AC3217">
        <w:t>1</w:t>
      </w:r>
      <w:r w:rsidR="00593B24" w:rsidRPr="00AC3217">
        <w:t xml:space="preserve"> </w:t>
      </w:r>
      <w:r w:rsidR="00D6753A" w:rsidRPr="00AC3217">
        <w:t>metabolite</w:t>
      </w:r>
      <w:r w:rsidR="00593B24" w:rsidRPr="00AC3217">
        <w:t xml:space="preserve"> present per pathway. </w:t>
      </w:r>
    </w:p>
    <w:p w14:paraId="414E9BA4" w14:textId="7FB5AF27" w:rsidR="00AC3217" w:rsidRPr="00AC3217" w:rsidRDefault="00866704" w:rsidP="000D0513">
      <w:r w:rsidRPr="00AC3217">
        <w:rPr>
          <w:noProof/>
        </w:rPr>
        <w:drawing>
          <wp:inline distT="0" distB="0" distL="0" distR="0" wp14:anchorId="5848151A" wp14:editId="1FC60083">
            <wp:extent cx="4648849" cy="5163271"/>
            <wp:effectExtent l="0" t="0" r="0" b="0"/>
            <wp:docPr id="645646759" name="Picture 1"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6759" name="Picture 1" descr="A graph of a number of dots&#10;&#10;AI-generated content may be incorrect."/>
                    <pic:cNvPicPr/>
                  </pic:nvPicPr>
                  <pic:blipFill>
                    <a:blip r:embed="rId17"/>
                    <a:stretch>
                      <a:fillRect/>
                    </a:stretch>
                  </pic:blipFill>
                  <pic:spPr>
                    <a:xfrm>
                      <a:off x="0" y="0"/>
                      <a:ext cx="4648849" cy="5163271"/>
                    </a:xfrm>
                    <a:prstGeom prst="rect">
                      <a:avLst/>
                    </a:prstGeom>
                  </pic:spPr>
                </pic:pic>
              </a:graphicData>
            </a:graphic>
          </wp:inline>
        </w:drawing>
      </w:r>
    </w:p>
    <w:p w14:paraId="4FC9DA97" w14:textId="4E5FEADA" w:rsidR="00AC3217" w:rsidRPr="00A17CAF" w:rsidRDefault="00AC3217" w:rsidP="00AC3217">
      <w:r w:rsidRPr="005B7495">
        <w:rPr>
          <w:b/>
          <w:bCs/>
        </w:rPr>
        <w:t>Figure 1</w:t>
      </w:r>
      <w:r w:rsidR="00CF001B">
        <w:rPr>
          <w:b/>
          <w:bCs/>
        </w:rPr>
        <w:t>1</w:t>
      </w:r>
      <w:r w:rsidRPr="005B7495">
        <w:rPr>
          <w:b/>
          <w:bCs/>
        </w:rPr>
        <w:t>. Scatter plot of glutamate, glucose, and choline pathway analysis in hypoxic tumour cells.</w:t>
      </w:r>
      <w:r w:rsidR="00A17CAF">
        <w:rPr>
          <w:b/>
          <w:bCs/>
        </w:rPr>
        <w:t xml:space="preserve"> </w:t>
      </w:r>
      <w:r w:rsidR="00A17CAF">
        <w:t xml:space="preserve">The x-axis is the pathway </w:t>
      </w:r>
      <w:proofErr w:type="gramStart"/>
      <w:r w:rsidR="00A17CAF">
        <w:t>impact</w:t>
      </w:r>
      <w:proofErr w:type="gramEnd"/>
      <w:r w:rsidR="00A17CAF">
        <w:t xml:space="preserve"> and the y-axis represents -log10(p) values, indicating significance. Point size and colour reflect the impact and significance. </w:t>
      </w:r>
      <w:r w:rsidR="00E42DCE">
        <w:t xml:space="preserve">Created with </w:t>
      </w:r>
      <w:proofErr w:type="spellStart"/>
      <w:r w:rsidR="00E42DCE">
        <w:t>MetaboAnalyst</w:t>
      </w:r>
      <w:proofErr w:type="spellEnd"/>
      <w:r w:rsidR="00E42DCE">
        <w:t xml:space="preserve"> </w:t>
      </w:r>
      <w:r w:rsidR="00E42DCE" w:rsidRPr="00E42DCE">
        <w:t>(Xia et al., 2009)</w:t>
      </w:r>
      <w:r w:rsidR="00E42DCE">
        <w:t>.</w:t>
      </w:r>
    </w:p>
    <w:p w14:paraId="33C64550" w14:textId="0DD3C3C7" w:rsidR="00AC3217" w:rsidRPr="005B7495" w:rsidRDefault="00AC3217" w:rsidP="000D0513">
      <w:pPr>
        <w:rPr>
          <w:b/>
          <w:bCs/>
        </w:rPr>
      </w:pPr>
    </w:p>
    <w:p w14:paraId="3752AE35" w14:textId="2E65B36A" w:rsidR="006E621C" w:rsidRPr="005B7495" w:rsidRDefault="006E621C" w:rsidP="000D0513">
      <w:pPr>
        <w:rPr>
          <w:b/>
          <w:bCs/>
        </w:rPr>
      </w:pPr>
      <w:r w:rsidRPr="005B7495">
        <w:rPr>
          <w:b/>
          <w:bCs/>
        </w:rPr>
        <w:lastRenderedPageBreak/>
        <w:t xml:space="preserve">Table </w:t>
      </w:r>
      <w:r w:rsidR="0078551D">
        <w:rPr>
          <w:b/>
          <w:bCs/>
        </w:rPr>
        <w:t>4</w:t>
      </w:r>
      <w:r w:rsidRPr="005B7495">
        <w:rPr>
          <w:b/>
          <w:bCs/>
        </w:rPr>
        <w:t xml:space="preserve">. Pathway enrichment scores of </w:t>
      </w:r>
      <w:r w:rsidR="00AD1550" w:rsidRPr="005B7495">
        <w:rPr>
          <w:b/>
          <w:bCs/>
        </w:rPr>
        <w:t>glucoses</w:t>
      </w:r>
      <w:r w:rsidRPr="005B7495">
        <w:rPr>
          <w:b/>
          <w:bCs/>
        </w:rPr>
        <w:t>, glutamate and choline.</w:t>
      </w:r>
      <w:r w:rsidR="00E42DCE">
        <w:rPr>
          <w:b/>
          <w:bCs/>
        </w:rPr>
        <w:t xml:space="preserve"> </w:t>
      </w:r>
      <w:r w:rsidR="00E42DCE">
        <w:t xml:space="preserve">Created with </w:t>
      </w:r>
      <w:proofErr w:type="spellStart"/>
      <w:r w:rsidR="00E42DCE">
        <w:t>MetaboAnalyst</w:t>
      </w:r>
      <w:proofErr w:type="spellEnd"/>
      <w:r w:rsidR="00E42DCE">
        <w:t xml:space="preserve"> </w:t>
      </w:r>
      <w:r w:rsidR="00E42DCE" w:rsidRPr="00E42DCE">
        <w:t>(Xia et al., 2009)</w:t>
      </w:r>
      <w:r w:rsidR="00E42DCE">
        <w:t>.</w:t>
      </w:r>
    </w:p>
    <w:p w14:paraId="4E0F7446" w14:textId="4E6F46BE" w:rsidR="00D544C2" w:rsidRPr="00AC3217" w:rsidRDefault="00866704" w:rsidP="000D0513">
      <w:r w:rsidRPr="00AC3217">
        <w:rPr>
          <w:noProof/>
        </w:rPr>
        <w:drawing>
          <wp:inline distT="0" distB="0" distL="0" distR="0" wp14:anchorId="1DF9B734" wp14:editId="31C65D07">
            <wp:extent cx="5731510" cy="2277745"/>
            <wp:effectExtent l="0" t="0" r="2540" b="8255"/>
            <wp:docPr id="1807068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434" name="Picture 1" descr="A screenshot of a computer&#10;&#10;AI-generated content may be incorrect."/>
                    <pic:cNvPicPr/>
                  </pic:nvPicPr>
                  <pic:blipFill>
                    <a:blip r:embed="rId18"/>
                    <a:stretch>
                      <a:fillRect/>
                    </a:stretch>
                  </pic:blipFill>
                  <pic:spPr>
                    <a:xfrm>
                      <a:off x="0" y="0"/>
                      <a:ext cx="5731510" cy="2277745"/>
                    </a:xfrm>
                    <a:prstGeom prst="rect">
                      <a:avLst/>
                    </a:prstGeom>
                  </pic:spPr>
                </pic:pic>
              </a:graphicData>
            </a:graphic>
          </wp:inline>
        </w:drawing>
      </w:r>
    </w:p>
    <w:p w14:paraId="69C39607" w14:textId="3A4A22FF" w:rsidR="007C5D61" w:rsidRPr="00AC3217" w:rsidRDefault="007C5D61" w:rsidP="000D0513"/>
    <w:p w14:paraId="6B6BB83B" w14:textId="7F9CB7F5" w:rsidR="007C5D61" w:rsidRPr="00AC3217" w:rsidRDefault="007C5D61" w:rsidP="000D0513"/>
    <w:p w14:paraId="723B1A8A" w14:textId="48668810" w:rsidR="0049044F" w:rsidRPr="00AC3217" w:rsidRDefault="0049044F" w:rsidP="000D0513"/>
    <w:p w14:paraId="2AC78AEA" w14:textId="207E9838" w:rsidR="008A32F9" w:rsidRPr="00AC3217" w:rsidRDefault="008A32F9" w:rsidP="00411CC5">
      <w:pPr>
        <w:rPr>
          <w:b/>
          <w:bCs/>
          <w:u w:val="single"/>
        </w:rPr>
      </w:pPr>
    </w:p>
    <w:p w14:paraId="5BD12B06" w14:textId="287EE1DB" w:rsidR="000D0513" w:rsidRPr="00AC3217" w:rsidRDefault="000D0513" w:rsidP="00411CC5">
      <w:pPr>
        <w:rPr>
          <w:u w:val="single"/>
        </w:rPr>
      </w:pPr>
    </w:p>
    <w:p w14:paraId="3FE71968" w14:textId="5BAFFC71" w:rsidR="005B7495" w:rsidRPr="00AC3217" w:rsidRDefault="00411CC5" w:rsidP="005B7495">
      <w:pPr>
        <w:rPr>
          <w:u w:val="single"/>
        </w:rPr>
      </w:pPr>
      <w:r w:rsidRPr="00AC3217">
        <w:rPr>
          <w:u w:val="single"/>
        </w:rPr>
        <w:t xml:space="preserve">(vii) Summary and </w:t>
      </w:r>
      <w:r w:rsidR="005B7495" w:rsidRPr="00AC3217">
        <w:rPr>
          <w:u w:val="single"/>
        </w:rPr>
        <w:t>Conclusions</w:t>
      </w:r>
    </w:p>
    <w:p w14:paraId="746770C7" w14:textId="12D770BE" w:rsidR="00BE10C1" w:rsidRPr="00AC3217" w:rsidRDefault="009F187A">
      <w:r w:rsidRPr="00AC3217">
        <w:t xml:space="preserve">This study explored the </w:t>
      </w:r>
      <w:r w:rsidR="00A753BC" w:rsidRPr="00AC3217">
        <w:t>metabolic</w:t>
      </w:r>
      <w:r w:rsidRPr="00AC3217">
        <w:t xml:space="preserve"> impact of hypoxia on neuroblastoma cells and tumours using a chick embryo CAM model. </w:t>
      </w:r>
      <w:r w:rsidR="00872B0D" w:rsidRPr="00AC3217">
        <w:t xml:space="preserve">PCA and PLS-DA highlighted key discriminatory metabolites between conditions, including glucose, 3-hydroxybutyrate, glutamate, and betaine/myo-inositol. Pathway analysis revealed alterations in butanoate, nitrogen, galactose, starch and sucrose metabolism, reflecting a trend of hypoxia-induced metabolic reprogramming to deal with rapid growth and limited resources. However, the pathways were limited by a limited number of metabolites per pathway and low impact scores, affecting the robustness of these findings. </w:t>
      </w:r>
    </w:p>
    <w:p w14:paraId="59E9C9C8" w14:textId="29B613B5" w:rsidR="00872B0D" w:rsidRPr="00AC3217" w:rsidRDefault="00872B0D">
      <w:r w:rsidRPr="00AC3217">
        <w:t>Although NMR provides reproducible data</w:t>
      </w:r>
      <w:r w:rsidR="002365C5" w:rsidRPr="00AC3217">
        <w:t xml:space="preserve"> and is non-destructive</w:t>
      </w:r>
      <w:r w:rsidRPr="00AC3217">
        <w:t>, low-abundance metabolites may have been missed</w:t>
      </w:r>
      <w:r w:rsidR="002365C5" w:rsidRPr="00AC3217">
        <w:t>, compared to MS</w:t>
      </w:r>
      <w:r w:rsidR="005B7495">
        <w:t>,</w:t>
      </w:r>
      <w:r w:rsidR="002365C5" w:rsidRPr="00AC3217">
        <w:t xml:space="preserve"> which is more sensitive and detects a broader range of metabolites. This may lead to an underestimation of the metabolic diversity, particularly for low-abundance biologically important metabolites. </w:t>
      </w:r>
    </w:p>
    <w:p w14:paraId="34A6F1FD" w14:textId="04BE6BF2" w:rsidR="002365C5" w:rsidRPr="00AC3217" w:rsidRDefault="002365C5">
      <w:r w:rsidRPr="00AC3217">
        <w:t xml:space="preserve">Additionally, while the CAM model provides an efficient in vivo system, it does not fully replicate the </w:t>
      </w:r>
      <w:r w:rsidR="00C07A3B" w:rsidRPr="00AC3217">
        <w:t xml:space="preserve">complexity of human tumour biology, limiting the application of findings. </w:t>
      </w:r>
    </w:p>
    <w:p w14:paraId="6A50A389" w14:textId="795F54CE" w:rsidR="00A753BC" w:rsidRPr="00AC3217" w:rsidRDefault="00A753BC" w:rsidP="00A753BC">
      <w:pPr>
        <w:tabs>
          <w:tab w:val="left" w:pos="3594"/>
        </w:tabs>
      </w:pPr>
      <w:r w:rsidRPr="00AC3217">
        <w:t xml:space="preserve">Metabolomics helps define metabolic changes linked to genetic differences, environmental </w:t>
      </w:r>
      <w:r w:rsidR="001372EC">
        <w:t>influences</w:t>
      </w:r>
      <w:r w:rsidRPr="00AC3217">
        <w:t xml:space="preserve">, disease, or drug influences (Dunn et al., 2011). </w:t>
      </w:r>
    </w:p>
    <w:p w14:paraId="46935B0D" w14:textId="2740B534" w:rsidR="00C07A3B" w:rsidRPr="00AC3217" w:rsidRDefault="00A753BC" w:rsidP="00A753BC">
      <w:pPr>
        <w:tabs>
          <w:tab w:val="left" w:pos="3594"/>
        </w:tabs>
      </w:pPr>
      <w:r w:rsidRPr="00AC3217">
        <w:t xml:space="preserve">Changes to the low-molecular-weight metabolites in a sample can indicate early biological changes, as major changes can be seen after minor stimuli, due to perturbations in metabolic pathways (Dunn et al., 2011). </w:t>
      </w:r>
      <w:r w:rsidR="00C07A3B" w:rsidRPr="00AC3217">
        <w:t xml:space="preserve">Metabolomics provides insights into cellular metabolism, compared to proteomics which measures protein expression and post-translational modifications. This makes metabolomics more sensitive to environmental changes, such as </w:t>
      </w:r>
      <w:r w:rsidR="00C07A3B" w:rsidRPr="00AC3217">
        <w:lastRenderedPageBreak/>
        <w:t>hypoxia. However</w:t>
      </w:r>
      <w:r w:rsidR="00AC3217" w:rsidRPr="00AC3217">
        <w:t>,</w:t>
      </w:r>
      <w:r w:rsidR="00C07A3B" w:rsidRPr="00AC3217">
        <w:t xml:space="preserve"> this also makes metabolomics vulnerable to technical variability, increasing the demand for careful experimental design, normalising and processing. In contrast, proteomics is generally more robust to experimental validation. Future studies within the field of multi-omics would be valuable, integrating metabolomics, proteomics and transcriptomics to provide a comprehensive overview of active pathways. This omics can be integrated in bioinformatic tools like </w:t>
      </w:r>
      <w:proofErr w:type="spellStart"/>
      <w:r w:rsidR="00C07A3B" w:rsidRPr="00AC3217">
        <w:t>PathIntegrate</w:t>
      </w:r>
      <w:proofErr w:type="spellEnd"/>
      <w:r w:rsidR="00C07A3B" w:rsidRPr="00AC3217">
        <w:t xml:space="preserve"> (Wieder et al., 2024).</w:t>
      </w:r>
    </w:p>
    <w:p w14:paraId="20506D93" w14:textId="1D950E7B" w:rsidR="00C07A3B" w:rsidRDefault="00C07A3B" w:rsidP="00C07A3B">
      <w:r w:rsidRPr="00AC3217">
        <w:t>Future studies could also utilise a targeted metabolomics approach using liquid chromatography-mass spectrometry (LC-MS), offering greater sensitivity and detection capabilities</w:t>
      </w:r>
      <w:r w:rsidR="00F27929" w:rsidRPr="00AC3217">
        <w:t>.</w:t>
      </w:r>
    </w:p>
    <w:p w14:paraId="6ED959C4" w14:textId="77777777" w:rsidR="00B96F93" w:rsidRDefault="00B96F93" w:rsidP="00C07A3B"/>
    <w:p w14:paraId="631C2D93" w14:textId="041F3954" w:rsidR="00EF4A77" w:rsidRDefault="00EF4A77">
      <w:r>
        <w:t>Appendix:</w:t>
      </w:r>
    </w:p>
    <w:p w14:paraId="02E59E10" w14:textId="6ADE8575" w:rsidR="00EF4A77" w:rsidRDefault="00EF4A77">
      <w:r>
        <w:t xml:space="preserve">Normalisation code available: </w:t>
      </w:r>
      <w:hyperlink r:id="rId19" w:history="1">
        <w:r w:rsidRPr="00921851">
          <w:rPr>
            <w:rStyle w:val="Hyperlink"/>
          </w:rPr>
          <w:t>https://github.com/ricefarmer2002/Normalisation-method-comparisons/tree/main</w:t>
        </w:r>
      </w:hyperlink>
      <w:r>
        <w:t xml:space="preserve"> </w:t>
      </w:r>
    </w:p>
    <w:p w14:paraId="085BF3FE" w14:textId="520A1DE6" w:rsidR="00EF4A77" w:rsidRPr="00EF4A77" w:rsidRDefault="00EF4A77" w:rsidP="00EF4A77">
      <w:r w:rsidRPr="00EF4A77">
        <w:drawing>
          <wp:inline distT="0" distB="0" distL="0" distR="0" wp14:anchorId="79D20021" wp14:editId="0E6A3FFA">
            <wp:extent cx="5731510" cy="5731510"/>
            <wp:effectExtent l="0" t="0" r="2540" b="2540"/>
            <wp:docPr id="981752026" name="Picture 2" descr="A qr cod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52026" name="Picture 2" descr="A qr code with a white background&#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DE62F3" w14:textId="77777777" w:rsidR="00EF4A77" w:rsidRDefault="00EF4A77"/>
    <w:p w14:paraId="57015CDD" w14:textId="77777777" w:rsidR="00EF4A77" w:rsidRDefault="00EF4A77"/>
    <w:p w14:paraId="45FBC9FB" w14:textId="77777777" w:rsidR="00EF4A77" w:rsidRDefault="00EF4A77"/>
    <w:p w14:paraId="490B6DDE" w14:textId="77777777" w:rsidR="00EF4A77" w:rsidRDefault="00EF4A77"/>
    <w:p w14:paraId="78485D63" w14:textId="678088C2" w:rsidR="000B1AAB" w:rsidRDefault="000B1AAB">
      <w:r>
        <w:t>Word count: 2018</w:t>
      </w:r>
    </w:p>
    <w:p w14:paraId="38ADDBD8" w14:textId="77777777" w:rsidR="00BD421D" w:rsidRPr="00BD421D" w:rsidRDefault="00BD421D" w:rsidP="00BD421D">
      <w:pPr>
        <w:rPr>
          <w:b/>
          <w:bCs/>
        </w:rPr>
      </w:pPr>
      <w:r w:rsidRPr="00BD421D">
        <w:rPr>
          <w:b/>
          <w:bCs/>
        </w:rPr>
        <w:t>Reference list</w:t>
      </w:r>
    </w:p>
    <w:p w14:paraId="00D7BD6C" w14:textId="77777777" w:rsidR="00BD421D" w:rsidRPr="00BD421D" w:rsidRDefault="00BD421D" w:rsidP="00BD421D">
      <w:r w:rsidRPr="00BD421D">
        <w:t xml:space="preserve">Akyol, S., Ashrafi, N., Yilmaz, A., Turkoglu, O. and Graham, S.F. (2023). Metabolomics: An Emerging ‘Omics’ Platform for Systems Biology and Its Implications for Huntington Disease Research. </w:t>
      </w:r>
      <w:r w:rsidRPr="00BD421D">
        <w:rPr>
          <w:i/>
          <w:iCs/>
        </w:rPr>
        <w:t>Metabolites</w:t>
      </w:r>
      <w:r w:rsidRPr="00BD421D">
        <w:t xml:space="preserve">, [online] 13(12), p.1203. </w:t>
      </w:r>
      <w:proofErr w:type="spellStart"/>
      <w:proofErr w:type="gramStart"/>
      <w:r w:rsidRPr="00BD421D">
        <w:t>doi:https</w:t>
      </w:r>
      <w:proofErr w:type="spellEnd"/>
      <w:r w:rsidRPr="00BD421D">
        <w:t>://doi.org/10.3390/metabo13121203</w:t>
      </w:r>
      <w:proofErr w:type="gramEnd"/>
      <w:r w:rsidRPr="00BD421D">
        <w:t>.</w:t>
      </w:r>
    </w:p>
    <w:p w14:paraId="6F8A8471" w14:textId="77777777" w:rsidR="00BD421D" w:rsidRPr="00BD421D" w:rsidRDefault="00BD421D" w:rsidP="00BD421D">
      <w:r w:rsidRPr="00BD421D">
        <w:t xml:space="preserve">Al-Mutawa, Y.K., Herrmann, A., Corbishley, C., </w:t>
      </w:r>
      <w:proofErr w:type="spellStart"/>
      <w:r w:rsidRPr="00BD421D">
        <w:t>Losty</w:t>
      </w:r>
      <w:proofErr w:type="spellEnd"/>
      <w:r w:rsidRPr="00BD421D">
        <w:t xml:space="preserve">, P.D., Phelan, M.M. and Violaine </w:t>
      </w:r>
      <w:proofErr w:type="spellStart"/>
      <w:r w:rsidRPr="00BD421D">
        <w:t>Sée</w:t>
      </w:r>
      <w:proofErr w:type="spellEnd"/>
      <w:r w:rsidRPr="00BD421D">
        <w:t xml:space="preserve"> (2018). Effects of hypoxic preconditioning on neuroblastoma tumour oxygenation and metabolic signature in a chick embryo model. </w:t>
      </w:r>
      <w:r w:rsidRPr="00BD421D">
        <w:rPr>
          <w:i/>
          <w:iCs/>
        </w:rPr>
        <w:t>Bioscience Reports</w:t>
      </w:r>
      <w:r w:rsidRPr="00BD421D">
        <w:t xml:space="preserve">, [online] 38(4). </w:t>
      </w:r>
      <w:proofErr w:type="spellStart"/>
      <w:proofErr w:type="gramStart"/>
      <w:r w:rsidRPr="00BD421D">
        <w:t>doi:https</w:t>
      </w:r>
      <w:proofErr w:type="spellEnd"/>
      <w:r w:rsidRPr="00BD421D">
        <w:t>://doi.org/10.1042/bsr20180185</w:t>
      </w:r>
      <w:proofErr w:type="gramEnd"/>
      <w:r w:rsidRPr="00BD421D">
        <w:t>.</w:t>
      </w:r>
    </w:p>
    <w:p w14:paraId="3007C356" w14:textId="77777777" w:rsidR="00BD421D" w:rsidRPr="00BD421D" w:rsidRDefault="00BD421D" w:rsidP="00BD421D">
      <w:r w:rsidRPr="00BD421D">
        <w:t xml:space="preserve">Albaugh, V.L., Pinzon-Guzman, C. and </w:t>
      </w:r>
      <w:proofErr w:type="spellStart"/>
      <w:r w:rsidRPr="00BD421D">
        <w:t>Barbul</w:t>
      </w:r>
      <w:proofErr w:type="spellEnd"/>
      <w:r w:rsidRPr="00BD421D">
        <w:t xml:space="preserve">, A. (2017). Arginine Metabolism and Cancer. </w:t>
      </w:r>
      <w:r w:rsidRPr="00BD421D">
        <w:rPr>
          <w:i/>
          <w:iCs/>
        </w:rPr>
        <w:t>Journal of surgical oncology</w:t>
      </w:r>
      <w:r w:rsidRPr="00BD421D">
        <w:t xml:space="preserve">, [online] 115(3), pp.273–280. </w:t>
      </w:r>
      <w:proofErr w:type="spellStart"/>
      <w:proofErr w:type="gramStart"/>
      <w:r w:rsidRPr="00BD421D">
        <w:t>doi:https</w:t>
      </w:r>
      <w:proofErr w:type="spellEnd"/>
      <w:r w:rsidRPr="00BD421D">
        <w:t>://doi.org/10.1002/jso.24490</w:t>
      </w:r>
      <w:proofErr w:type="gramEnd"/>
      <w:r w:rsidRPr="00BD421D">
        <w:t>.</w:t>
      </w:r>
    </w:p>
    <w:p w14:paraId="34DD88FE" w14:textId="77777777" w:rsidR="00BD421D" w:rsidRPr="00BD421D" w:rsidRDefault="00BD421D" w:rsidP="00BD421D">
      <w:r w:rsidRPr="00BD421D">
        <w:t xml:space="preserve">Bansal, M., Gupta, A. and Ding, H.-F. (2022). MYCN and Metabolic Reprogramming in Neuroblastoma. </w:t>
      </w:r>
      <w:r w:rsidRPr="00BD421D">
        <w:rPr>
          <w:i/>
          <w:iCs/>
        </w:rPr>
        <w:t>Cancers</w:t>
      </w:r>
      <w:r w:rsidRPr="00BD421D">
        <w:t xml:space="preserve">, 14(17), p.4113. </w:t>
      </w:r>
      <w:proofErr w:type="spellStart"/>
      <w:proofErr w:type="gramStart"/>
      <w:r w:rsidRPr="00BD421D">
        <w:t>doi:https</w:t>
      </w:r>
      <w:proofErr w:type="spellEnd"/>
      <w:r w:rsidRPr="00BD421D">
        <w:t>://doi.org/10.3390/cancers14174113</w:t>
      </w:r>
      <w:proofErr w:type="gramEnd"/>
      <w:r w:rsidRPr="00BD421D">
        <w:t>.</w:t>
      </w:r>
    </w:p>
    <w:p w14:paraId="31DD4E71" w14:textId="77777777" w:rsidR="00BD421D" w:rsidRPr="00BD421D" w:rsidRDefault="00BD421D" w:rsidP="00BD421D">
      <w:r w:rsidRPr="00BD421D">
        <w:t xml:space="preserve">Dieterle, F., Ross, A., Schlotterbeck, G. and Senn, H. (2006). Probabilistic Quotient Normalization as Robust Method to Account for Dilution of Complex Biological Mixtures. Application in </w:t>
      </w:r>
      <w:r w:rsidRPr="00BD421D">
        <w:rPr>
          <w:vertAlign w:val="superscript"/>
        </w:rPr>
        <w:t>1</w:t>
      </w:r>
      <w:r w:rsidRPr="00BD421D">
        <w:t xml:space="preserve">H NMR </w:t>
      </w:r>
      <w:proofErr w:type="spellStart"/>
      <w:r w:rsidRPr="00BD421D">
        <w:t>Metabonomics</w:t>
      </w:r>
      <w:proofErr w:type="spellEnd"/>
      <w:r w:rsidRPr="00BD421D">
        <w:t xml:space="preserve">. </w:t>
      </w:r>
      <w:r w:rsidRPr="00BD421D">
        <w:rPr>
          <w:i/>
          <w:iCs/>
        </w:rPr>
        <w:t>Analytical Chemistry</w:t>
      </w:r>
      <w:r w:rsidRPr="00BD421D">
        <w:t xml:space="preserve">, 78(13), pp.4281–4290. </w:t>
      </w:r>
      <w:proofErr w:type="spellStart"/>
      <w:proofErr w:type="gramStart"/>
      <w:r w:rsidRPr="00BD421D">
        <w:t>doi:https</w:t>
      </w:r>
      <w:proofErr w:type="spellEnd"/>
      <w:r w:rsidRPr="00BD421D">
        <w:t>://doi.org/10.1021/ac051632c</w:t>
      </w:r>
      <w:proofErr w:type="gramEnd"/>
      <w:r w:rsidRPr="00BD421D">
        <w:t>.</w:t>
      </w:r>
    </w:p>
    <w:p w14:paraId="12171A8C" w14:textId="77777777" w:rsidR="00BD421D" w:rsidRPr="00BD421D" w:rsidRDefault="00BD421D" w:rsidP="00BD421D">
      <w:r w:rsidRPr="00BD421D">
        <w:t xml:space="preserve">Dunn, W.B., Broadhurst, D., Begley, P., Zelena, E., Francis-McIntyre, S., Anderson, N., Brown, M., Knowles, J.D., Halsall, A., Haselden, J.N., Nicholls, A.W., Wilson, I.D., Kell, D.B. and Goodacre, R. (2011). Procedures for large-scale metabolic profiling of serum and plasma using gas chromatography and liquid chromatography coupled to mass spectrometry. </w:t>
      </w:r>
      <w:r w:rsidRPr="00BD421D">
        <w:rPr>
          <w:i/>
          <w:iCs/>
        </w:rPr>
        <w:t>Nature Protocols</w:t>
      </w:r>
      <w:r w:rsidRPr="00BD421D">
        <w:t xml:space="preserve">, 6(7), pp.1060–1083. </w:t>
      </w:r>
      <w:proofErr w:type="spellStart"/>
      <w:proofErr w:type="gramStart"/>
      <w:r w:rsidRPr="00BD421D">
        <w:t>doi:https</w:t>
      </w:r>
      <w:proofErr w:type="spellEnd"/>
      <w:r w:rsidRPr="00BD421D">
        <w:t>://doi.org/10.1038/nprot.2011.335</w:t>
      </w:r>
      <w:proofErr w:type="gramEnd"/>
      <w:r w:rsidRPr="00BD421D">
        <w:t>.</w:t>
      </w:r>
    </w:p>
    <w:p w14:paraId="1B622A01" w14:textId="77777777" w:rsidR="00BD421D" w:rsidRPr="00BD421D" w:rsidRDefault="00BD421D" w:rsidP="00BD421D">
      <w:r w:rsidRPr="00BD421D">
        <w:t xml:space="preserve">Elliott, R.L. and Jiang, X.-P. (2019). The adverse effect of gentamicin on cell metabolism in three cultured mammary cell lines: ‘Are cell culture data skewed?’ </w:t>
      </w:r>
      <w:r w:rsidRPr="00BD421D">
        <w:rPr>
          <w:i/>
          <w:iCs/>
        </w:rPr>
        <w:t>PLOS ONE</w:t>
      </w:r>
      <w:r w:rsidRPr="00BD421D">
        <w:t xml:space="preserve">, 14(4), p.e0214586. </w:t>
      </w:r>
      <w:proofErr w:type="spellStart"/>
      <w:proofErr w:type="gramStart"/>
      <w:r w:rsidRPr="00BD421D">
        <w:t>doi:https</w:t>
      </w:r>
      <w:proofErr w:type="spellEnd"/>
      <w:r w:rsidRPr="00BD421D">
        <w:t>://doi.org/10.1371/journal.pone.0214586</w:t>
      </w:r>
      <w:proofErr w:type="gramEnd"/>
      <w:r w:rsidRPr="00BD421D">
        <w:t>.</w:t>
      </w:r>
    </w:p>
    <w:p w14:paraId="1FF2243C" w14:textId="77777777" w:rsidR="00BD421D" w:rsidRPr="00BD421D" w:rsidRDefault="00BD421D" w:rsidP="00BD421D">
      <w:proofErr w:type="spellStart"/>
      <w:r w:rsidRPr="00BD421D">
        <w:t>Emwas</w:t>
      </w:r>
      <w:proofErr w:type="spellEnd"/>
      <w:r w:rsidRPr="00BD421D">
        <w:t xml:space="preserve">, A.-H., Roy, R., McKay, R.T., </w:t>
      </w:r>
      <w:proofErr w:type="spellStart"/>
      <w:r w:rsidRPr="00BD421D">
        <w:t>Tenori</w:t>
      </w:r>
      <w:proofErr w:type="spellEnd"/>
      <w:r w:rsidRPr="00BD421D">
        <w:t xml:space="preserve">, L., </w:t>
      </w:r>
      <w:proofErr w:type="spellStart"/>
      <w:r w:rsidRPr="00BD421D">
        <w:t>Saccenti</w:t>
      </w:r>
      <w:proofErr w:type="spellEnd"/>
      <w:r w:rsidRPr="00BD421D">
        <w:t xml:space="preserve">, E., Gowda, G.A.N., Raftery, D., </w:t>
      </w:r>
      <w:proofErr w:type="spellStart"/>
      <w:r w:rsidRPr="00BD421D">
        <w:t>Alahmari</w:t>
      </w:r>
      <w:proofErr w:type="spellEnd"/>
      <w:r w:rsidRPr="00BD421D">
        <w:t xml:space="preserve">, F., Jaremko, L., Jaremko, M. and Wishart, D.S. (2019). NMR Spectroscopy for Metabolomics Research. </w:t>
      </w:r>
      <w:r w:rsidRPr="00BD421D">
        <w:rPr>
          <w:i/>
          <w:iCs/>
        </w:rPr>
        <w:t>Metabolites</w:t>
      </w:r>
      <w:r w:rsidRPr="00BD421D">
        <w:t xml:space="preserve">, 9(7). </w:t>
      </w:r>
      <w:proofErr w:type="spellStart"/>
      <w:proofErr w:type="gramStart"/>
      <w:r w:rsidRPr="00BD421D">
        <w:t>doi:https</w:t>
      </w:r>
      <w:proofErr w:type="spellEnd"/>
      <w:r w:rsidRPr="00BD421D">
        <w:t>://doi.org/10.3390/metabo9070123</w:t>
      </w:r>
      <w:proofErr w:type="gramEnd"/>
      <w:r w:rsidRPr="00BD421D">
        <w:t>.</w:t>
      </w:r>
    </w:p>
    <w:p w14:paraId="2764CA4B" w14:textId="77777777" w:rsidR="00BD421D" w:rsidRPr="00BD421D" w:rsidRDefault="00BD421D" w:rsidP="00BD421D">
      <w:r w:rsidRPr="00BD421D">
        <w:t xml:space="preserve">Gowda, N. and Raftery, D. (2022). Quantitative NMR Methods in Metabolomics. </w:t>
      </w:r>
      <w:r w:rsidRPr="00BD421D">
        <w:rPr>
          <w:i/>
          <w:iCs/>
        </w:rPr>
        <w:t>Handbook of experimental pharmacology</w:t>
      </w:r>
      <w:r w:rsidRPr="00BD421D">
        <w:t xml:space="preserve">, pp.143–164. </w:t>
      </w:r>
      <w:proofErr w:type="spellStart"/>
      <w:proofErr w:type="gramStart"/>
      <w:r w:rsidRPr="00BD421D">
        <w:t>doi:https</w:t>
      </w:r>
      <w:proofErr w:type="spellEnd"/>
      <w:r w:rsidRPr="00BD421D">
        <w:t>://doi.org/10.1007/164_2022_612</w:t>
      </w:r>
      <w:proofErr w:type="gramEnd"/>
      <w:r w:rsidRPr="00BD421D">
        <w:t>.</w:t>
      </w:r>
    </w:p>
    <w:p w14:paraId="60B1776F" w14:textId="77777777" w:rsidR="00BD421D" w:rsidRPr="00BD421D" w:rsidRDefault="00BD421D" w:rsidP="00BD421D">
      <w:r w:rsidRPr="00BD421D">
        <w:t xml:space="preserve">Grasso, D., </w:t>
      </w:r>
      <w:proofErr w:type="spellStart"/>
      <w:r w:rsidRPr="00BD421D">
        <w:t>Pillozzi</w:t>
      </w:r>
      <w:proofErr w:type="spellEnd"/>
      <w:r w:rsidRPr="00BD421D">
        <w:t xml:space="preserve">, S., Tazza, I., Bertelli, M., </w:t>
      </w:r>
      <w:proofErr w:type="spellStart"/>
      <w:r w:rsidRPr="00BD421D">
        <w:t>Campanacci</w:t>
      </w:r>
      <w:proofErr w:type="spellEnd"/>
      <w:r w:rsidRPr="00BD421D">
        <w:t xml:space="preserve">, D.A., Palchetti, I. and Bernini, A. (2022). An improved NMR approach for metabolomics of intact serum samples. </w:t>
      </w:r>
      <w:r w:rsidRPr="00BD421D">
        <w:rPr>
          <w:i/>
          <w:iCs/>
        </w:rPr>
        <w:t>Analytical Biochemistry</w:t>
      </w:r>
      <w:r w:rsidRPr="00BD421D">
        <w:t xml:space="preserve">, 654, p.114826. </w:t>
      </w:r>
      <w:proofErr w:type="spellStart"/>
      <w:proofErr w:type="gramStart"/>
      <w:r w:rsidRPr="00BD421D">
        <w:t>doi:https</w:t>
      </w:r>
      <w:proofErr w:type="spellEnd"/>
      <w:r w:rsidRPr="00BD421D">
        <w:t>://doi.org/10.1016/j.ab.2022.114826</w:t>
      </w:r>
      <w:proofErr w:type="gramEnd"/>
      <w:r w:rsidRPr="00BD421D">
        <w:t>.</w:t>
      </w:r>
    </w:p>
    <w:p w14:paraId="133FD583" w14:textId="77777777" w:rsidR="00BD421D" w:rsidRPr="00BD421D" w:rsidRDefault="00BD421D" w:rsidP="00BD421D">
      <w:r w:rsidRPr="00BD421D">
        <w:t xml:space="preserve">Guo, H., Guo, H., Zhang, L., Tang, Z., Yu, X., Wu, J. and Zeng, F. (2019). Metabolome and Transcriptome Association Analysis Reveals Dynamic Regulation of Purine Metabolism and </w:t>
      </w:r>
      <w:r w:rsidRPr="00BD421D">
        <w:lastRenderedPageBreak/>
        <w:t xml:space="preserve">Flavonoid Synthesis in </w:t>
      </w:r>
      <w:proofErr w:type="spellStart"/>
      <w:r w:rsidRPr="00BD421D">
        <w:t>Transdifferentiation</w:t>
      </w:r>
      <w:proofErr w:type="spellEnd"/>
      <w:r w:rsidRPr="00BD421D">
        <w:t xml:space="preserve"> during Somatic Embryogenesis in Cotton. </w:t>
      </w:r>
      <w:r w:rsidRPr="00BD421D">
        <w:rPr>
          <w:i/>
          <w:iCs/>
        </w:rPr>
        <w:t>International Journal of Molecular Sciences</w:t>
      </w:r>
      <w:r w:rsidRPr="00BD421D">
        <w:t xml:space="preserve">, 20(9), pp.2070–2070. </w:t>
      </w:r>
      <w:proofErr w:type="spellStart"/>
      <w:proofErr w:type="gramStart"/>
      <w:r w:rsidRPr="00BD421D">
        <w:t>doi:https</w:t>
      </w:r>
      <w:proofErr w:type="spellEnd"/>
      <w:r w:rsidRPr="00BD421D">
        <w:t>://doi.org/10.3390/ijms20092070</w:t>
      </w:r>
      <w:proofErr w:type="gramEnd"/>
      <w:r w:rsidRPr="00BD421D">
        <w:t>.</w:t>
      </w:r>
    </w:p>
    <w:p w14:paraId="12EEC38E" w14:textId="77777777" w:rsidR="00BD421D" w:rsidRPr="00BD421D" w:rsidRDefault="00BD421D" w:rsidP="00BD421D">
      <w:r w:rsidRPr="00BD421D">
        <w:t xml:space="preserve">Jauhiainen, A., Madhu, B., Narita, M., Narita, M., Griffiths, J. and </w:t>
      </w:r>
      <w:proofErr w:type="spellStart"/>
      <w:r w:rsidRPr="00BD421D">
        <w:t>Tavaré</w:t>
      </w:r>
      <w:proofErr w:type="spellEnd"/>
      <w:r w:rsidRPr="00BD421D">
        <w:t xml:space="preserve">, S. (2014). Normalization of metabolomics data with applications to correlation maps. </w:t>
      </w:r>
      <w:r w:rsidRPr="00BD421D">
        <w:rPr>
          <w:i/>
          <w:iCs/>
        </w:rPr>
        <w:t>Bioinformatics</w:t>
      </w:r>
      <w:r w:rsidRPr="00BD421D">
        <w:t xml:space="preserve">, 30(15), pp.2155–2161. </w:t>
      </w:r>
      <w:proofErr w:type="spellStart"/>
      <w:proofErr w:type="gramStart"/>
      <w:r w:rsidRPr="00BD421D">
        <w:t>doi:https</w:t>
      </w:r>
      <w:proofErr w:type="spellEnd"/>
      <w:r w:rsidRPr="00BD421D">
        <w:t>://doi.org/10.1093/bioinformatics/btu175</w:t>
      </w:r>
      <w:proofErr w:type="gramEnd"/>
      <w:r w:rsidRPr="00BD421D">
        <w:t>.</w:t>
      </w:r>
    </w:p>
    <w:p w14:paraId="6CD0E491" w14:textId="77777777" w:rsidR="00BD421D" w:rsidRPr="00BD421D" w:rsidRDefault="00BD421D" w:rsidP="00BD421D">
      <w:r w:rsidRPr="00BD421D">
        <w:t xml:space="preserve">Kohler, I., Verhoeven, A., Rico and Giera, M. (2016). Analytical pitfalls and challenges in clinical metabolomics. </w:t>
      </w:r>
      <w:r w:rsidRPr="00BD421D">
        <w:rPr>
          <w:i/>
          <w:iCs/>
        </w:rPr>
        <w:t>Bioanalysis</w:t>
      </w:r>
      <w:r w:rsidRPr="00BD421D">
        <w:t xml:space="preserve">, 8(14), pp.1509–1532. </w:t>
      </w:r>
      <w:proofErr w:type="spellStart"/>
      <w:proofErr w:type="gramStart"/>
      <w:r w:rsidRPr="00BD421D">
        <w:t>doi:https</w:t>
      </w:r>
      <w:proofErr w:type="spellEnd"/>
      <w:r w:rsidRPr="00BD421D">
        <w:t>://doi.org/10.4155/bio-2016-0090</w:t>
      </w:r>
      <w:proofErr w:type="gramEnd"/>
      <w:r w:rsidRPr="00BD421D">
        <w:t>.</w:t>
      </w:r>
    </w:p>
    <w:p w14:paraId="24DD818B" w14:textId="77777777" w:rsidR="00BD421D" w:rsidRPr="00BD421D" w:rsidRDefault="00BD421D" w:rsidP="00BD421D">
      <w:r w:rsidRPr="00BD421D">
        <w:t xml:space="preserve">Larive, C.K., Barding, G.A. and Dinges, M.M. (2014). NMR Spectroscopy for Metabolomics and Metabolic Profiling. </w:t>
      </w:r>
      <w:r w:rsidRPr="00BD421D">
        <w:rPr>
          <w:i/>
          <w:iCs/>
        </w:rPr>
        <w:t>Analytical Chemistry</w:t>
      </w:r>
      <w:r w:rsidRPr="00BD421D">
        <w:t xml:space="preserve">, 87(1), pp.133–146. </w:t>
      </w:r>
      <w:proofErr w:type="spellStart"/>
      <w:proofErr w:type="gramStart"/>
      <w:r w:rsidRPr="00BD421D">
        <w:t>doi:https</w:t>
      </w:r>
      <w:proofErr w:type="spellEnd"/>
      <w:r w:rsidRPr="00BD421D">
        <w:t>://doi.org/10.1021/ac504075g</w:t>
      </w:r>
      <w:proofErr w:type="gramEnd"/>
      <w:r w:rsidRPr="00BD421D">
        <w:t>.</w:t>
      </w:r>
    </w:p>
    <w:p w14:paraId="60BF7681" w14:textId="77777777" w:rsidR="00BD421D" w:rsidRPr="00BD421D" w:rsidRDefault="00BD421D" w:rsidP="00BD421D">
      <w:proofErr w:type="spellStart"/>
      <w:r w:rsidRPr="00BD421D">
        <w:t>Letertre</w:t>
      </w:r>
      <w:proofErr w:type="spellEnd"/>
      <w:r w:rsidRPr="00BD421D">
        <w:t xml:space="preserve">, M.P.M., Giraudeau, P. and de Tullio, P. (2021). Nuclear Magnetic Resonance Spectroscopy in Clinical Metabolomics and Personalized Medicine: Current Challenges and Perspectives. </w:t>
      </w:r>
      <w:r w:rsidRPr="00BD421D">
        <w:rPr>
          <w:i/>
          <w:iCs/>
        </w:rPr>
        <w:t>Frontiers in Molecular Biosciences</w:t>
      </w:r>
      <w:r w:rsidRPr="00BD421D">
        <w:t xml:space="preserve">, [online] 8, p.698337. </w:t>
      </w:r>
      <w:proofErr w:type="spellStart"/>
      <w:proofErr w:type="gramStart"/>
      <w:r w:rsidRPr="00BD421D">
        <w:t>doi:https</w:t>
      </w:r>
      <w:proofErr w:type="spellEnd"/>
      <w:r w:rsidRPr="00BD421D">
        <w:t>://doi.org/10.3389/fmolb.2021.698337</w:t>
      </w:r>
      <w:proofErr w:type="gramEnd"/>
      <w:r w:rsidRPr="00BD421D">
        <w:t>.</w:t>
      </w:r>
    </w:p>
    <w:p w14:paraId="2C3217DE" w14:textId="77777777" w:rsidR="00BD421D" w:rsidRPr="00BD421D" w:rsidRDefault="00BD421D" w:rsidP="00BD421D">
      <w:r w:rsidRPr="00BD421D">
        <w:t xml:space="preserve">Marion, D. (2013). An Introduction to Biological NMR Spectroscopy. </w:t>
      </w:r>
      <w:r w:rsidRPr="00BD421D">
        <w:rPr>
          <w:i/>
          <w:iCs/>
        </w:rPr>
        <w:t>Molecular &amp; Cellular Proteomics</w:t>
      </w:r>
      <w:r w:rsidRPr="00BD421D">
        <w:t xml:space="preserve">, 12(11), pp.3006–3025. </w:t>
      </w:r>
      <w:proofErr w:type="spellStart"/>
      <w:proofErr w:type="gramStart"/>
      <w:r w:rsidRPr="00BD421D">
        <w:t>doi:https</w:t>
      </w:r>
      <w:proofErr w:type="spellEnd"/>
      <w:r w:rsidRPr="00BD421D">
        <w:t>://doi.org/10.1074/mcp.o113.030239</w:t>
      </w:r>
      <w:proofErr w:type="gramEnd"/>
      <w:r w:rsidRPr="00BD421D">
        <w:t>.</w:t>
      </w:r>
    </w:p>
    <w:p w14:paraId="18CA73CC" w14:textId="77777777" w:rsidR="00BD421D" w:rsidRPr="00BD421D" w:rsidRDefault="00BD421D" w:rsidP="00BD421D">
      <w:r w:rsidRPr="00BD421D">
        <w:t xml:space="preserve">Markley, J.L., </w:t>
      </w:r>
      <w:proofErr w:type="spellStart"/>
      <w:r w:rsidRPr="00BD421D">
        <w:t>Brüschweiler</w:t>
      </w:r>
      <w:proofErr w:type="spellEnd"/>
      <w:r w:rsidRPr="00BD421D">
        <w:t xml:space="preserve">, R., Edison, A.S., </w:t>
      </w:r>
      <w:proofErr w:type="spellStart"/>
      <w:r w:rsidRPr="00BD421D">
        <w:t>Eghbalnia</w:t>
      </w:r>
      <w:proofErr w:type="spellEnd"/>
      <w:r w:rsidRPr="00BD421D">
        <w:t xml:space="preserve">, H.R., Powers, R., Raftery, D. and Wishart, D.S. (2017). The future of NMR-based metabolomics. </w:t>
      </w:r>
      <w:r w:rsidRPr="00BD421D">
        <w:rPr>
          <w:i/>
          <w:iCs/>
        </w:rPr>
        <w:t>Current Opinion in Biotechnology</w:t>
      </w:r>
      <w:r w:rsidRPr="00BD421D">
        <w:t xml:space="preserve">, 43, pp.34–40. </w:t>
      </w:r>
      <w:proofErr w:type="spellStart"/>
      <w:proofErr w:type="gramStart"/>
      <w:r w:rsidRPr="00BD421D">
        <w:t>doi:https</w:t>
      </w:r>
      <w:proofErr w:type="spellEnd"/>
      <w:r w:rsidRPr="00BD421D">
        <w:t>://doi.org/10.1016/j.copbio.2016.08.001</w:t>
      </w:r>
      <w:proofErr w:type="gramEnd"/>
      <w:r w:rsidRPr="00BD421D">
        <w:t>.</w:t>
      </w:r>
    </w:p>
    <w:p w14:paraId="29C90BEA" w14:textId="77777777" w:rsidR="00BD421D" w:rsidRPr="00BD421D" w:rsidRDefault="00BD421D" w:rsidP="00BD421D">
      <w:r w:rsidRPr="00BD421D">
        <w:t xml:space="preserve">Mei, H., Hsieh, Y., Nardo, C., Xu, X., Wang, S., Ng, K. and Korfmacher, W.A. (2002). Investigation of matrix effects in bioanalytical high-performance liquid chromatography/tandem mass spectrometric assays: application to drug discovery. </w:t>
      </w:r>
      <w:r w:rsidRPr="00BD421D">
        <w:rPr>
          <w:i/>
          <w:iCs/>
        </w:rPr>
        <w:t>Rapid Communications in Mass Spectrometry</w:t>
      </w:r>
      <w:r w:rsidRPr="00BD421D">
        <w:t xml:space="preserve">, 17(1), pp.97–103. </w:t>
      </w:r>
      <w:proofErr w:type="spellStart"/>
      <w:proofErr w:type="gramStart"/>
      <w:r w:rsidRPr="00BD421D">
        <w:t>doi:https</w:t>
      </w:r>
      <w:proofErr w:type="spellEnd"/>
      <w:r w:rsidRPr="00BD421D">
        <w:t>://doi.org/10.1002/rcm.876</w:t>
      </w:r>
      <w:proofErr w:type="gramEnd"/>
      <w:r w:rsidRPr="00BD421D">
        <w:t>.</w:t>
      </w:r>
    </w:p>
    <w:p w14:paraId="20DAC955" w14:textId="77777777" w:rsidR="00BD421D" w:rsidRPr="00BD421D" w:rsidRDefault="00BD421D" w:rsidP="00BD421D">
      <w:r w:rsidRPr="00BD421D">
        <w:t xml:space="preserve">Patiño-Morales, C.C., Jaime-Cruz, R., Ramírez-Fuentes, T.C., Villavicencio-Guzmán, L. and Salazar-García, M. (2023). Technical Implications of the Chicken Embryo Chorioallantoic Membrane Assay to Elucidate Neuroblastoma Biology. </w:t>
      </w:r>
      <w:r w:rsidRPr="00BD421D">
        <w:rPr>
          <w:i/>
          <w:iCs/>
        </w:rPr>
        <w:t>International Journal of Molecular Sciences</w:t>
      </w:r>
      <w:r w:rsidRPr="00BD421D">
        <w:t xml:space="preserve">, [online] 24(19), p.14744. </w:t>
      </w:r>
      <w:proofErr w:type="spellStart"/>
      <w:proofErr w:type="gramStart"/>
      <w:r w:rsidRPr="00BD421D">
        <w:t>doi:https</w:t>
      </w:r>
      <w:proofErr w:type="spellEnd"/>
      <w:r w:rsidRPr="00BD421D">
        <w:t>://doi.org/10.3390/ijms241914744</w:t>
      </w:r>
      <w:proofErr w:type="gramEnd"/>
      <w:r w:rsidRPr="00BD421D">
        <w:t>.</w:t>
      </w:r>
    </w:p>
    <w:p w14:paraId="046A73A3" w14:textId="77777777" w:rsidR="00BD421D" w:rsidRPr="00BD421D" w:rsidRDefault="00BD421D" w:rsidP="00BD421D">
      <w:r w:rsidRPr="00BD421D">
        <w:t xml:space="preserve">Pavlova, Natalya N. and Thompson, Craig B. (2016). The Emerging Hallmarks of Cancer Metabolism. </w:t>
      </w:r>
      <w:r w:rsidRPr="00BD421D">
        <w:rPr>
          <w:i/>
          <w:iCs/>
        </w:rPr>
        <w:t>Cell Metabolism</w:t>
      </w:r>
      <w:r w:rsidRPr="00BD421D">
        <w:t xml:space="preserve">, 23(1), pp.27–47. </w:t>
      </w:r>
      <w:proofErr w:type="spellStart"/>
      <w:proofErr w:type="gramStart"/>
      <w:r w:rsidRPr="00BD421D">
        <w:t>doi:https</w:t>
      </w:r>
      <w:proofErr w:type="spellEnd"/>
      <w:r w:rsidRPr="00BD421D">
        <w:t>://doi.org/10.1016/j.cmet.2015.12.006</w:t>
      </w:r>
      <w:proofErr w:type="gramEnd"/>
      <w:r w:rsidRPr="00BD421D">
        <w:t>.</w:t>
      </w:r>
    </w:p>
    <w:p w14:paraId="02E2D8B5" w14:textId="77777777" w:rsidR="00BD421D" w:rsidRPr="00BD421D" w:rsidRDefault="00BD421D" w:rsidP="00BD421D">
      <w:r w:rsidRPr="00BD421D">
        <w:t xml:space="preserve">Presens.de. (2015). </w:t>
      </w:r>
      <w:r w:rsidRPr="00BD421D">
        <w:rPr>
          <w:i/>
          <w:iCs/>
        </w:rPr>
        <w:t>Optical Sensor Technology</w:t>
      </w:r>
      <w:r w:rsidRPr="00BD421D">
        <w:t>. [online] Available at: https://www.presens.de/ [Accessed 18 May 2025].</w:t>
      </w:r>
    </w:p>
    <w:p w14:paraId="53A05CD6" w14:textId="77777777" w:rsidR="00BD421D" w:rsidRPr="00BD421D" w:rsidRDefault="00BD421D" w:rsidP="00BD421D">
      <w:proofErr w:type="spellStart"/>
      <w:r w:rsidRPr="00BD421D">
        <w:t>Ribatti</w:t>
      </w:r>
      <w:proofErr w:type="spellEnd"/>
      <w:r w:rsidRPr="00BD421D">
        <w:t xml:space="preserve">, D. (2017). The chick embryo chorioallantoic membrane (CAM) assay. </w:t>
      </w:r>
      <w:r w:rsidRPr="00BD421D">
        <w:rPr>
          <w:i/>
          <w:iCs/>
        </w:rPr>
        <w:t>Reproductive Toxicology</w:t>
      </w:r>
      <w:r w:rsidRPr="00BD421D">
        <w:t xml:space="preserve">, 70, pp.97–101. </w:t>
      </w:r>
      <w:proofErr w:type="spellStart"/>
      <w:proofErr w:type="gramStart"/>
      <w:r w:rsidRPr="00BD421D">
        <w:t>doi:https</w:t>
      </w:r>
      <w:proofErr w:type="spellEnd"/>
      <w:r w:rsidRPr="00BD421D">
        <w:t>://doi.org/10.1016/j.reprotox.2016.11.004</w:t>
      </w:r>
      <w:proofErr w:type="gramEnd"/>
      <w:r w:rsidRPr="00BD421D">
        <w:t>.</w:t>
      </w:r>
    </w:p>
    <w:p w14:paraId="4A1669B7" w14:textId="77777777" w:rsidR="00BD421D" w:rsidRPr="00BD421D" w:rsidRDefault="00BD421D" w:rsidP="00BD421D">
      <w:r w:rsidRPr="00BD421D">
        <w:t xml:space="preserve">Rogers, Z.J., Flood, D., Bencherif, S.A. and Taylor, C.T. (2025). Oxygen control in cell culture - Your cells may not be experiencing what you think! </w:t>
      </w:r>
      <w:r w:rsidRPr="00BD421D">
        <w:rPr>
          <w:i/>
          <w:iCs/>
        </w:rPr>
        <w:t>Free radical biology &amp; medicine</w:t>
      </w:r>
      <w:r w:rsidRPr="00BD421D">
        <w:t xml:space="preserve">, [online] 226, pp.279–287. </w:t>
      </w:r>
      <w:proofErr w:type="spellStart"/>
      <w:proofErr w:type="gramStart"/>
      <w:r w:rsidRPr="00BD421D">
        <w:t>doi:https</w:t>
      </w:r>
      <w:proofErr w:type="spellEnd"/>
      <w:r w:rsidRPr="00BD421D">
        <w:t>://doi.org/10.1016/j.freeradbiomed.2024.11.036</w:t>
      </w:r>
      <w:proofErr w:type="gramEnd"/>
      <w:r w:rsidRPr="00BD421D">
        <w:t>.</w:t>
      </w:r>
    </w:p>
    <w:p w14:paraId="58E27881" w14:textId="77777777" w:rsidR="00BD421D" w:rsidRPr="00BD421D" w:rsidRDefault="00BD421D" w:rsidP="00BD421D">
      <w:r w:rsidRPr="00BD421D">
        <w:t xml:space="preserve">Shapiro, S.S. and Francia, R.S. (1972). An Approximate Analysis of Variance Test for Normality. </w:t>
      </w:r>
      <w:r w:rsidRPr="00BD421D">
        <w:rPr>
          <w:i/>
          <w:iCs/>
        </w:rPr>
        <w:t>Journal of the American Statistical Association</w:t>
      </w:r>
      <w:r w:rsidRPr="00BD421D">
        <w:t xml:space="preserve">, 67(337), pp.215–216. </w:t>
      </w:r>
      <w:proofErr w:type="spellStart"/>
      <w:proofErr w:type="gramStart"/>
      <w:r w:rsidRPr="00BD421D">
        <w:t>doi:https</w:t>
      </w:r>
      <w:proofErr w:type="spellEnd"/>
      <w:r w:rsidRPr="00BD421D">
        <w:t>://doi.org/10.1080/01621459.1972.10481232</w:t>
      </w:r>
      <w:proofErr w:type="gramEnd"/>
      <w:r w:rsidRPr="00BD421D">
        <w:t>.</w:t>
      </w:r>
    </w:p>
    <w:p w14:paraId="0335E3B4" w14:textId="77777777" w:rsidR="00BD421D" w:rsidRPr="00BD421D" w:rsidRDefault="00BD421D" w:rsidP="00BD421D">
      <w:r w:rsidRPr="00BD421D">
        <w:lastRenderedPageBreak/>
        <w:t xml:space="preserve">Stanislava </w:t>
      </w:r>
      <w:proofErr w:type="spellStart"/>
      <w:r w:rsidRPr="00BD421D">
        <w:t>Rakusanova</w:t>
      </w:r>
      <w:proofErr w:type="spellEnd"/>
      <w:r w:rsidRPr="00BD421D">
        <w:t xml:space="preserve"> and Cajka, T. (2024). Tips and tricks for LC–MS-based metabolomics and </w:t>
      </w:r>
      <w:proofErr w:type="spellStart"/>
      <w:r w:rsidRPr="00BD421D">
        <w:t>lipidomics</w:t>
      </w:r>
      <w:proofErr w:type="spellEnd"/>
      <w:r w:rsidRPr="00BD421D">
        <w:t xml:space="preserve"> analysis. </w:t>
      </w:r>
      <w:proofErr w:type="spellStart"/>
      <w:r w:rsidRPr="00BD421D">
        <w:rPr>
          <w:i/>
          <w:iCs/>
        </w:rPr>
        <w:t>TrAC</w:t>
      </w:r>
      <w:proofErr w:type="spellEnd"/>
      <w:r w:rsidRPr="00BD421D">
        <w:rPr>
          <w:i/>
          <w:iCs/>
        </w:rPr>
        <w:t xml:space="preserve"> Trends in Analytical Chemistry</w:t>
      </w:r>
      <w:r w:rsidRPr="00BD421D">
        <w:t xml:space="preserve">, [online] 180, pp.117940–117940. </w:t>
      </w:r>
      <w:proofErr w:type="spellStart"/>
      <w:proofErr w:type="gramStart"/>
      <w:r w:rsidRPr="00BD421D">
        <w:t>doi:https</w:t>
      </w:r>
      <w:proofErr w:type="spellEnd"/>
      <w:r w:rsidRPr="00BD421D">
        <w:t>://doi.org/10.1016/j.trac.2024.117940</w:t>
      </w:r>
      <w:proofErr w:type="gramEnd"/>
      <w:r w:rsidRPr="00BD421D">
        <w:t>.</w:t>
      </w:r>
    </w:p>
    <w:p w14:paraId="456D2703" w14:textId="77777777" w:rsidR="00BD421D" w:rsidRPr="00BD421D" w:rsidRDefault="00BD421D" w:rsidP="00BD421D">
      <w:r w:rsidRPr="00BD421D">
        <w:t xml:space="preserve">Wieder, C., Cooke, J., </w:t>
      </w:r>
      <w:proofErr w:type="spellStart"/>
      <w:r w:rsidRPr="00BD421D">
        <w:t>Frainay</w:t>
      </w:r>
      <w:proofErr w:type="spellEnd"/>
      <w:r w:rsidRPr="00BD421D">
        <w:t xml:space="preserve">, C., </w:t>
      </w:r>
      <w:proofErr w:type="spellStart"/>
      <w:r w:rsidRPr="00BD421D">
        <w:t>Poupin</w:t>
      </w:r>
      <w:proofErr w:type="spellEnd"/>
      <w:r w:rsidRPr="00BD421D">
        <w:t xml:space="preserve">, N., Bowler, R., Jourdan, F., </w:t>
      </w:r>
      <w:proofErr w:type="spellStart"/>
      <w:r w:rsidRPr="00BD421D">
        <w:t>Kechris</w:t>
      </w:r>
      <w:proofErr w:type="spellEnd"/>
      <w:r w:rsidRPr="00BD421D">
        <w:t xml:space="preserve">, K.J., Lai, R.P. and </w:t>
      </w:r>
      <w:proofErr w:type="spellStart"/>
      <w:r w:rsidRPr="00BD421D">
        <w:t>Ebbels</w:t>
      </w:r>
      <w:proofErr w:type="spellEnd"/>
      <w:r w:rsidRPr="00BD421D">
        <w:t xml:space="preserve">, T. (2024). </w:t>
      </w:r>
      <w:proofErr w:type="spellStart"/>
      <w:r w:rsidRPr="00BD421D">
        <w:t>PathIntegrate</w:t>
      </w:r>
      <w:proofErr w:type="spellEnd"/>
      <w:r w:rsidRPr="00BD421D">
        <w:t xml:space="preserve">: Multivariate modelling approaches for pathway-based multi-omics data integration. </w:t>
      </w:r>
      <w:proofErr w:type="spellStart"/>
      <w:proofErr w:type="gramStart"/>
      <w:r w:rsidRPr="00BD421D">
        <w:rPr>
          <w:i/>
          <w:iCs/>
        </w:rPr>
        <w:t>bioRxiv</w:t>
      </w:r>
      <w:proofErr w:type="spellEnd"/>
      <w:r w:rsidRPr="00BD421D">
        <w:rPr>
          <w:i/>
          <w:iCs/>
        </w:rPr>
        <w:t xml:space="preserve"> :</w:t>
      </w:r>
      <w:proofErr w:type="gramEnd"/>
      <w:r w:rsidRPr="00BD421D">
        <w:rPr>
          <w:i/>
          <w:iCs/>
        </w:rPr>
        <w:t xml:space="preserve"> the preprint server for biology</w:t>
      </w:r>
      <w:r w:rsidRPr="00BD421D">
        <w:t xml:space="preserve">, [online] p.2024.01.09.574780. </w:t>
      </w:r>
      <w:proofErr w:type="spellStart"/>
      <w:proofErr w:type="gramStart"/>
      <w:r w:rsidRPr="00BD421D">
        <w:t>doi:https</w:t>
      </w:r>
      <w:proofErr w:type="spellEnd"/>
      <w:r w:rsidRPr="00BD421D">
        <w:t>://doi.org/10.1101/2024.01.09.574780</w:t>
      </w:r>
      <w:proofErr w:type="gramEnd"/>
      <w:r w:rsidRPr="00BD421D">
        <w:t>.</w:t>
      </w:r>
    </w:p>
    <w:p w14:paraId="077E87E5" w14:textId="77777777" w:rsidR="00BD421D" w:rsidRPr="00BD421D" w:rsidRDefault="00BD421D" w:rsidP="00BD421D">
      <w:r w:rsidRPr="00BD421D">
        <w:t xml:space="preserve">Xia, J., </w:t>
      </w:r>
      <w:proofErr w:type="spellStart"/>
      <w:r w:rsidRPr="00BD421D">
        <w:t>Psychogios</w:t>
      </w:r>
      <w:proofErr w:type="spellEnd"/>
      <w:r w:rsidRPr="00BD421D">
        <w:t xml:space="preserve">, N., Young, N. and Wishart, D.S. (2009). </w:t>
      </w:r>
      <w:proofErr w:type="spellStart"/>
      <w:r w:rsidRPr="00BD421D">
        <w:t>MetaboAnalyst</w:t>
      </w:r>
      <w:proofErr w:type="spellEnd"/>
      <w:r w:rsidRPr="00BD421D">
        <w:t xml:space="preserve">: a web server for metabolomic data analysis and interpretation. </w:t>
      </w:r>
      <w:r w:rsidRPr="00BD421D">
        <w:rPr>
          <w:i/>
          <w:iCs/>
        </w:rPr>
        <w:t>Nucleic Acids Research</w:t>
      </w:r>
      <w:r w:rsidRPr="00BD421D">
        <w:t xml:space="preserve">, 37(Web Server), </w:t>
      </w:r>
      <w:proofErr w:type="gramStart"/>
      <w:r w:rsidRPr="00BD421D">
        <w:t>pp.W</w:t>
      </w:r>
      <w:proofErr w:type="gramEnd"/>
      <w:r w:rsidRPr="00BD421D">
        <w:t xml:space="preserve">652–W660. </w:t>
      </w:r>
      <w:proofErr w:type="spellStart"/>
      <w:proofErr w:type="gramStart"/>
      <w:r w:rsidRPr="00BD421D">
        <w:t>doi:https</w:t>
      </w:r>
      <w:proofErr w:type="spellEnd"/>
      <w:r w:rsidRPr="00BD421D">
        <w:t>://doi.org/10.1093/</w:t>
      </w:r>
      <w:proofErr w:type="spellStart"/>
      <w:r w:rsidRPr="00BD421D">
        <w:t>nar</w:t>
      </w:r>
      <w:proofErr w:type="spellEnd"/>
      <w:r w:rsidRPr="00BD421D">
        <w:t>/gkp356</w:t>
      </w:r>
      <w:proofErr w:type="gramEnd"/>
      <w:r w:rsidRPr="00BD421D">
        <w:t>.</w:t>
      </w:r>
    </w:p>
    <w:p w14:paraId="4758C1BB" w14:textId="77777777" w:rsidR="00800259" w:rsidRPr="00AC3217" w:rsidRDefault="00800259"/>
    <w:sectPr w:rsidR="00800259" w:rsidRPr="00AC3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91851"/>
    <w:multiLevelType w:val="multilevel"/>
    <w:tmpl w:val="0F66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87595"/>
    <w:multiLevelType w:val="multilevel"/>
    <w:tmpl w:val="5872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91828"/>
    <w:multiLevelType w:val="multilevel"/>
    <w:tmpl w:val="CA2EF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D1C3E"/>
    <w:multiLevelType w:val="multilevel"/>
    <w:tmpl w:val="5342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94552"/>
    <w:multiLevelType w:val="multilevel"/>
    <w:tmpl w:val="227E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D13B0"/>
    <w:multiLevelType w:val="multilevel"/>
    <w:tmpl w:val="EF10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183097">
    <w:abstractNumId w:val="0"/>
  </w:num>
  <w:num w:numId="2" w16cid:durableId="202838124">
    <w:abstractNumId w:val="1"/>
  </w:num>
  <w:num w:numId="3" w16cid:durableId="1523546728">
    <w:abstractNumId w:val="4"/>
  </w:num>
  <w:num w:numId="4" w16cid:durableId="466165038">
    <w:abstractNumId w:val="5"/>
  </w:num>
  <w:num w:numId="5" w16cid:durableId="2025402146">
    <w:abstractNumId w:val="3"/>
  </w:num>
  <w:num w:numId="6" w16cid:durableId="1814826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CC5"/>
    <w:rsid w:val="00035E33"/>
    <w:rsid w:val="0004628C"/>
    <w:rsid w:val="000725AB"/>
    <w:rsid w:val="0007646F"/>
    <w:rsid w:val="00087466"/>
    <w:rsid w:val="00091C50"/>
    <w:rsid w:val="000A00DC"/>
    <w:rsid w:val="000B1AAB"/>
    <w:rsid w:val="000B27FC"/>
    <w:rsid w:val="000C3029"/>
    <w:rsid w:val="000D0513"/>
    <w:rsid w:val="001077E9"/>
    <w:rsid w:val="00107EC2"/>
    <w:rsid w:val="001173AC"/>
    <w:rsid w:val="001372EC"/>
    <w:rsid w:val="002167D5"/>
    <w:rsid w:val="002222A4"/>
    <w:rsid w:val="002365C5"/>
    <w:rsid w:val="00242D11"/>
    <w:rsid w:val="00256772"/>
    <w:rsid w:val="00263B17"/>
    <w:rsid w:val="002A64FA"/>
    <w:rsid w:val="002B3FED"/>
    <w:rsid w:val="002F19E2"/>
    <w:rsid w:val="002F1F8E"/>
    <w:rsid w:val="00305FEA"/>
    <w:rsid w:val="003113D5"/>
    <w:rsid w:val="0032499F"/>
    <w:rsid w:val="003250EE"/>
    <w:rsid w:val="003349F9"/>
    <w:rsid w:val="00341826"/>
    <w:rsid w:val="00345D39"/>
    <w:rsid w:val="003508F6"/>
    <w:rsid w:val="00350958"/>
    <w:rsid w:val="00354270"/>
    <w:rsid w:val="003722A0"/>
    <w:rsid w:val="003C76E3"/>
    <w:rsid w:val="003F0690"/>
    <w:rsid w:val="004060CA"/>
    <w:rsid w:val="00411CC5"/>
    <w:rsid w:val="00423F0B"/>
    <w:rsid w:val="00426272"/>
    <w:rsid w:val="00426EAF"/>
    <w:rsid w:val="00427335"/>
    <w:rsid w:val="00435A71"/>
    <w:rsid w:val="00446CAF"/>
    <w:rsid w:val="00487247"/>
    <w:rsid w:val="0049044F"/>
    <w:rsid w:val="004A05E4"/>
    <w:rsid w:val="004A4147"/>
    <w:rsid w:val="004B2BB4"/>
    <w:rsid w:val="004D4316"/>
    <w:rsid w:val="004E1251"/>
    <w:rsid w:val="004E298A"/>
    <w:rsid w:val="00511491"/>
    <w:rsid w:val="00523A5C"/>
    <w:rsid w:val="005432BC"/>
    <w:rsid w:val="00582AC7"/>
    <w:rsid w:val="00593B24"/>
    <w:rsid w:val="005A66C8"/>
    <w:rsid w:val="005B7495"/>
    <w:rsid w:val="005E27B8"/>
    <w:rsid w:val="006079A4"/>
    <w:rsid w:val="00670F98"/>
    <w:rsid w:val="006B6F15"/>
    <w:rsid w:val="006C4C58"/>
    <w:rsid w:val="006D761F"/>
    <w:rsid w:val="006E011E"/>
    <w:rsid w:val="006E1083"/>
    <w:rsid w:val="006E621C"/>
    <w:rsid w:val="0072682F"/>
    <w:rsid w:val="007425FB"/>
    <w:rsid w:val="0078551D"/>
    <w:rsid w:val="00791B69"/>
    <w:rsid w:val="007B725B"/>
    <w:rsid w:val="007C5D61"/>
    <w:rsid w:val="007F2183"/>
    <w:rsid w:val="00800259"/>
    <w:rsid w:val="008149A0"/>
    <w:rsid w:val="00823EA6"/>
    <w:rsid w:val="008369FA"/>
    <w:rsid w:val="00866704"/>
    <w:rsid w:val="00872B0D"/>
    <w:rsid w:val="00876E22"/>
    <w:rsid w:val="00877B51"/>
    <w:rsid w:val="00891DB8"/>
    <w:rsid w:val="008A32F9"/>
    <w:rsid w:val="008A637A"/>
    <w:rsid w:val="008B0C08"/>
    <w:rsid w:val="008C5732"/>
    <w:rsid w:val="008D3383"/>
    <w:rsid w:val="008F5811"/>
    <w:rsid w:val="009029E3"/>
    <w:rsid w:val="0092407F"/>
    <w:rsid w:val="009302F3"/>
    <w:rsid w:val="0093181F"/>
    <w:rsid w:val="00934417"/>
    <w:rsid w:val="009752C8"/>
    <w:rsid w:val="0099701F"/>
    <w:rsid w:val="009A38D2"/>
    <w:rsid w:val="009C753E"/>
    <w:rsid w:val="009D7228"/>
    <w:rsid w:val="009D7A10"/>
    <w:rsid w:val="009E415C"/>
    <w:rsid w:val="009F187A"/>
    <w:rsid w:val="00A12B29"/>
    <w:rsid w:val="00A17CAF"/>
    <w:rsid w:val="00A73D2E"/>
    <w:rsid w:val="00A753BC"/>
    <w:rsid w:val="00A9016F"/>
    <w:rsid w:val="00A903C9"/>
    <w:rsid w:val="00AB08BF"/>
    <w:rsid w:val="00AC3217"/>
    <w:rsid w:val="00AD1550"/>
    <w:rsid w:val="00AD2F0E"/>
    <w:rsid w:val="00B23460"/>
    <w:rsid w:val="00B540F9"/>
    <w:rsid w:val="00B564CC"/>
    <w:rsid w:val="00B6520F"/>
    <w:rsid w:val="00B96F93"/>
    <w:rsid w:val="00BC0FF3"/>
    <w:rsid w:val="00BC2F65"/>
    <w:rsid w:val="00BC7D6F"/>
    <w:rsid w:val="00BD2735"/>
    <w:rsid w:val="00BD421D"/>
    <w:rsid w:val="00BE10C1"/>
    <w:rsid w:val="00BE3047"/>
    <w:rsid w:val="00BE3220"/>
    <w:rsid w:val="00C07A3B"/>
    <w:rsid w:val="00C26462"/>
    <w:rsid w:val="00C55548"/>
    <w:rsid w:val="00C84AF8"/>
    <w:rsid w:val="00CC607E"/>
    <w:rsid w:val="00CC7937"/>
    <w:rsid w:val="00CD0A56"/>
    <w:rsid w:val="00CF001B"/>
    <w:rsid w:val="00D05F89"/>
    <w:rsid w:val="00D241C8"/>
    <w:rsid w:val="00D31A97"/>
    <w:rsid w:val="00D544C2"/>
    <w:rsid w:val="00D63F4A"/>
    <w:rsid w:val="00D6753A"/>
    <w:rsid w:val="00D92298"/>
    <w:rsid w:val="00DA4D8A"/>
    <w:rsid w:val="00DC0230"/>
    <w:rsid w:val="00DC5E99"/>
    <w:rsid w:val="00DD006C"/>
    <w:rsid w:val="00DF4100"/>
    <w:rsid w:val="00DF6D9A"/>
    <w:rsid w:val="00E2653C"/>
    <w:rsid w:val="00E30D32"/>
    <w:rsid w:val="00E42DCE"/>
    <w:rsid w:val="00E74998"/>
    <w:rsid w:val="00E950F4"/>
    <w:rsid w:val="00EA0195"/>
    <w:rsid w:val="00EB0C9A"/>
    <w:rsid w:val="00EC058E"/>
    <w:rsid w:val="00EE4CA8"/>
    <w:rsid w:val="00EF404F"/>
    <w:rsid w:val="00EF4A77"/>
    <w:rsid w:val="00F27929"/>
    <w:rsid w:val="00F2797A"/>
    <w:rsid w:val="00F47C1A"/>
    <w:rsid w:val="00F5064C"/>
    <w:rsid w:val="00F509C4"/>
    <w:rsid w:val="00F5435B"/>
    <w:rsid w:val="00F77EC4"/>
    <w:rsid w:val="00FB47FF"/>
    <w:rsid w:val="00FC08B3"/>
    <w:rsid w:val="00FC32EE"/>
    <w:rsid w:val="00FD45CC"/>
    <w:rsid w:val="00FD5AB4"/>
    <w:rsid w:val="00FE768B"/>
    <w:rsid w:val="00FF1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55C614"/>
  <w15:chartTrackingRefBased/>
  <w15:docId w15:val="{8D10678E-299C-4379-8985-8D3C6424F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1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C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C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C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C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1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C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CC5"/>
    <w:rPr>
      <w:rFonts w:eastAsiaTheme="majorEastAsia" w:cstheme="majorBidi"/>
      <w:color w:val="272727" w:themeColor="text1" w:themeTint="D8"/>
    </w:rPr>
  </w:style>
  <w:style w:type="paragraph" w:styleId="Title">
    <w:name w:val="Title"/>
    <w:basedOn w:val="Normal"/>
    <w:next w:val="Normal"/>
    <w:link w:val="TitleChar"/>
    <w:uiPriority w:val="10"/>
    <w:qFormat/>
    <w:rsid w:val="00411C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C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C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C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CC5"/>
    <w:pPr>
      <w:spacing w:before="160"/>
      <w:jc w:val="center"/>
    </w:pPr>
    <w:rPr>
      <w:i/>
      <w:iCs/>
      <w:color w:val="404040" w:themeColor="text1" w:themeTint="BF"/>
    </w:rPr>
  </w:style>
  <w:style w:type="character" w:customStyle="1" w:styleId="QuoteChar">
    <w:name w:val="Quote Char"/>
    <w:basedOn w:val="DefaultParagraphFont"/>
    <w:link w:val="Quote"/>
    <w:uiPriority w:val="29"/>
    <w:rsid w:val="00411CC5"/>
    <w:rPr>
      <w:i/>
      <w:iCs/>
      <w:color w:val="404040" w:themeColor="text1" w:themeTint="BF"/>
    </w:rPr>
  </w:style>
  <w:style w:type="paragraph" w:styleId="ListParagraph">
    <w:name w:val="List Paragraph"/>
    <w:basedOn w:val="Normal"/>
    <w:uiPriority w:val="34"/>
    <w:qFormat/>
    <w:rsid w:val="00411CC5"/>
    <w:pPr>
      <w:ind w:left="720"/>
      <w:contextualSpacing/>
    </w:pPr>
  </w:style>
  <w:style w:type="character" w:styleId="IntenseEmphasis">
    <w:name w:val="Intense Emphasis"/>
    <w:basedOn w:val="DefaultParagraphFont"/>
    <w:uiPriority w:val="21"/>
    <w:qFormat/>
    <w:rsid w:val="00411CC5"/>
    <w:rPr>
      <w:i/>
      <w:iCs/>
      <w:color w:val="0F4761" w:themeColor="accent1" w:themeShade="BF"/>
    </w:rPr>
  </w:style>
  <w:style w:type="paragraph" w:styleId="IntenseQuote">
    <w:name w:val="Intense Quote"/>
    <w:basedOn w:val="Normal"/>
    <w:next w:val="Normal"/>
    <w:link w:val="IntenseQuoteChar"/>
    <w:uiPriority w:val="30"/>
    <w:qFormat/>
    <w:rsid w:val="00411C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CC5"/>
    <w:rPr>
      <w:i/>
      <w:iCs/>
      <w:color w:val="0F4761" w:themeColor="accent1" w:themeShade="BF"/>
    </w:rPr>
  </w:style>
  <w:style w:type="character" w:styleId="IntenseReference">
    <w:name w:val="Intense Reference"/>
    <w:basedOn w:val="DefaultParagraphFont"/>
    <w:uiPriority w:val="32"/>
    <w:qFormat/>
    <w:rsid w:val="00411CC5"/>
    <w:rPr>
      <w:b/>
      <w:bCs/>
      <w:smallCaps/>
      <w:color w:val="0F4761" w:themeColor="accent1" w:themeShade="BF"/>
      <w:spacing w:val="5"/>
    </w:rPr>
  </w:style>
  <w:style w:type="character" w:styleId="Strong">
    <w:name w:val="Strong"/>
    <w:basedOn w:val="DefaultParagraphFont"/>
    <w:uiPriority w:val="22"/>
    <w:qFormat/>
    <w:rsid w:val="007425FB"/>
    <w:rPr>
      <w:b/>
      <w:bCs/>
    </w:rPr>
  </w:style>
  <w:style w:type="table" w:styleId="TableGrid">
    <w:name w:val="Table Grid"/>
    <w:basedOn w:val="TableNormal"/>
    <w:uiPriority w:val="39"/>
    <w:rsid w:val="00975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4A77"/>
    <w:rPr>
      <w:color w:val="467886" w:themeColor="hyperlink"/>
      <w:u w:val="single"/>
    </w:rPr>
  </w:style>
  <w:style w:type="character" w:styleId="UnresolvedMention">
    <w:name w:val="Unresolved Mention"/>
    <w:basedOn w:val="DefaultParagraphFont"/>
    <w:uiPriority w:val="99"/>
    <w:semiHidden/>
    <w:unhideWhenUsed/>
    <w:rsid w:val="00EF4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63291">
      <w:bodyDiv w:val="1"/>
      <w:marLeft w:val="0"/>
      <w:marRight w:val="0"/>
      <w:marTop w:val="0"/>
      <w:marBottom w:val="0"/>
      <w:divBdr>
        <w:top w:val="none" w:sz="0" w:space="0" w:color="auto"/>
        <w:left w:val="none" w:sz="0" w:space="0" w:color="auto"/>
        <w:bottom w:val="none" w:sz="0" w:space="0" w:color="auto"/>
        <w:right w:val="none" w:sz="0" w:space="0" w:color="auto"/>
      </w:divBdr>
    </w:div>
    <w:div w:id="21053567">
      <w:bodyDiv w:val="1"/>
      <w:marLeft w:val="0"/>
      <w:marRight w:val="0"/>
      <w:marTop w:val="0"/>
      <w:marBottom w:val="0"/>
      <w:divBdr>
        <w:top w:val="none" w:sz="0" w:space="0" w:color="auto"/>
        <w:left w:val="none" w:sz="0" w:space="0" w:color="auto"/>
        <w:bottom w:val="none" w:sz="0" w:space="0" w:color="auto"/>
        <w:right w:val="none" w:sz="0" w:space="0" w:color="auto"/>
      </w:divBdr>
    </w:div>
    <w:div w:id="69474997">
      <w:bodyDiv w:val="1"/>
      <w:marLeft w:val="0"/>
      <w:marRight w:val="0"/>
      <w:marTop w:val="0"/>
      <w:marBottom w:val="0"/>
      <w:divBdr>
        <w:top w:val="none" w:sz="0" w:space="0" w:color="auto"/>
        <w:left w:val="none" w:sz="0" w:space="0" w:color="auto"/>
        <w:bottom w:val="none" w:sz="0" w:space="0" w:color="auto"/>
        <w:right w:val="none" w:sz="0" w:space="0" w:color="auto"/>
      </w:divBdr>
    </w:div>
    <w:div w:id="97259384">
      <w:bodyDiv w:val="1"/>
      <w:marLeft w:val="0"/>
      <w:marRight w:val="0"/>
      <w:marTop w:val="0"/>
      <w:marBottom w:val="0"/>
      <w:divBdr>
        <w:top w:val="none" w:sz="0" w:space="0" w:color="auto"/>
        <w:left w:val="none" w:sz="0" w:space="0" w:color="auto"/>
        <w:bottom w:val="none" w:sz="0" w:space="0" w:color="auto"/>
        <w:right w:val="none" w:sz="0" w:space="0" w:color="auto"/>
      </w:divBdr>
    </w:div>
    <w:div w:id="106853515">
      <w:bodyDiv w:val="1"/>
      <w:marLeft w:val="0"/>
      <w:marRight w:val="0"/>
      <w:marTop w:val="0"/>
      <w:marBottom w:val="0"/>
      <w:divBdr>
        <w:top w:val="none" w:sz="0" w:space="0" w:color="auto"/>
        <w:left w:val="none" w:sz="0" w:space="0" w:color="auto"/>
        <w:bottom w:val="none" w:sz="0" w:space="0" w:color="auto"/>
        <w:right w:val="none" w:sz="0" w:space="0" w:color="auto"/>
      </w:divBdr>
    </w:div>
    <w:div w:id="109790639">
      <w:bodyDiv w:val="1"/>
      <w:marLeft w:val="0"/>
      <w:marRight w:val="0"/>
      <w:marTop w:val="0"/>
      <w:marBottom w:val="0"/>
      <w:divBdr>
        <w:top w:val="none" w:sz="0" w:space="0" w:color="auto"/>
        <w:left w:val="none" w:sz="0" w:space="0" w:color="auto"/>
        <w:bottom w:val="none" w:sz="0" w:space="0" w:color="auto"/>
        <w:right w:val="none" w:sz="0" w:space="0" w:color="auto"/>
      </w:divBdr>
    </w:div>
    <w:div w:id="138504261">
      <w:bodyDiv w:val="1"/>
      <w:marLeft w:val="0"/>
      <w:marRight w:val="0"/>
      <w:marTop w:val="0"/>
      <w:marBottom w:val="0"/>
      <w:divBdr>
        <w:top w:val="none" w:sz="0" w:space="0" w:color="auto"/>
        <w:left w:val="none" w:sz="0" w:space="0" w:color="auto"/>
        <w:bottom w:val="none" w:sz="0" w:space="0" w:color="auto"/>
        <w:right w:val="none" w:sz="0" w:space="0" w:color="auto"/>
      </w:divBdr>
    </w:div>
    <w:div w:id="156507202">
      <w:bodyDiv w:val="1"/>
      <w:marLeft w:val="0"/>
      <w:marRight w:val="0"/>
      <w:marTop w:val="0"/>
      <w:marBottom w:val="0"/>
      <w:divBdr>
        <w:top w:val="none" w:sz="0" w:space="0" w:color="auto"/>
        <w:left w:val="none" w:sz="0" w:space="0" w:color="auto"/>
        <w:bottom w:val="none" w:sz="0" w:space="0" w:color="auto"/>
        <w:right w:val="none" w:sz="0" w:space="0" w:color="auto"/>
      </w:divBdr>
      <w:divsChild>
        <w:div w:id="911047055">
          <w:marLeft w:val="0"/>
          <w:marRight w:val="0"/>
          <w:marTop w:val="0"/>
          <w:marBottom w:val="0"/>
          <w:divBdr>
            <w:top w:val="none" w:sz="0" w:space="0" w:color="auto"/>
            <w:left w:val="none" w:sz="0" w:space="0" w:color="auto"/>
            <w:bottom w:val="none" w:sz="0" w:space="0" w:color="auto"/>
            <w:right w:val="none" w:sz="0" w:space="0" w:color="auto"/>
          </w:divBdr>
        </w:div>
      </w:divsChild>
    </w:div>
    <w:div w:id="217672651">
      <w:bodyDiv w:val="1"/>
      <w:marLeft w:val="0"/>
      <w:marRight w:val="0"/>
      <w:marTop w:val="0"/>
      <w:marBottom w:val="0"/>
      <w:divBdr>
        <w:top w:val="none" w:sz="0" w:space="0" w:color="auto"/>
        <w:left w:val="none" w:sz="0" w:space="0" w:color="auto"/>
        <w:bottom w:val="none" w:sz="0" w:space="0" w:color="auto"/>
        <w:right w:val="none" w:sz="0" w:space="0" w:color="auto"/>
      </w:divBdr>
    </w:div>
    <w:div w:id="269746392">
      <w:bodyDiv w:val="1"/>
      <w:marLeft w:val="0"/>
      <w:marRight w:val="0"/>
      <w:marTop w:val="0"/>
      <w:marBottom w:val="0"/>
      <w:divBdr>
        <w:top w:val="none" w:sz="0" w:space="0" w:color="auto"/>
        <w:left w:val="none" w:sz="0" w:space="0" w:color="auto"/>
        <w:bottom w:val="none" w:sz="0" w:space="0" w:color="auto"/>
        <w:right w:val="none" w:sz="0" w:space="0" w:color="auto"/>
      </w:divBdr>
    </w:div>
    <w:div w:id="273637167">
      <w:bodyDiv w:val="1"/>
      <w:marLeft w:val="0"/>
      <w:marRight w:val="0"/>
      <w:marTop w:val="0"/>
      <w:marBottom w:val="0"/>
      <w:divBdr>
        <w:top w:val="none" w:sz="0" w:space="0" w:color="auto"/>
        <w:left w:val="none" w:sz="0" w:space="0" w:color="auto"/>
        <w:bottom w:val="none" w:sz="0" w:space="0" w:color="auto"/>
        <w:right w:val="none" w:sz="0" w:space="0" w:color="auto"/>
      </w:divBdr>
    </w:div>
    <w:div w:id="293341158">
      <w:bodyDiv w:val="1"/>
      <w:marLeft w:val="0"/>
      <w:marRight w:val="0"/>
      <w:marTop w:val="0"/>
      <w:marBottom w:val="0"/>
      <w:divBdr>
        <w:top w:val="none" w:sz="0" w:space="0" w:color="auto"/>
        <w:left w:val="none" w:sz="0" w:space="0" w:color="auto"/>
        <w:bottom w:val="none" w:sz="0" w:space="0" w:color="auto"/>
        <w:right w:val="none" w:sz="0" w:space="0" w:color="auto"/>
      </w:divBdr>
      <w:divsChild>
        <w:div w:id="1571036870">
          <w:marLeft w:val="0"/>
          <w:marRight w:val="0"/>
          <w:marTop w:val="0"/>
          <w:marBottom w:val="0"/>
          <w:divBdr>
            <w:top w:val="none" w:sz="0" w:space="0" w:color="auto"/>
            <w:left w:val="none" w:sz="0" w:space="0" w:color="auto"/>
            <w:bottom w:val="none" w:sz="0" w:space="0" w:color="auto"/>
            <w:right w:val="none" w:sz="0" w:space="0" w:color="auto"/>
          </w:divBdr>
        </w:div>
      </w:divsChild>
    </w:div>
    <w:div w:id="300499767">
      <w:bodyDiv w:val="1"/>
      <w:marLeft w:val="0"/>
      <w:marRight w:val="0"/>
      <w:marTop w:val="0"/>
      <w:marBottom w:val="0"/>
      <w:divBdr>
        <w:top w:val="none" w:sz="0" w:space="0" w:color="auto"/>
        <w:left w:val="none" w:sz="0" w:space="0" w:color="auto"/>
        <w:bottom w:val="none" w:sz="0" w:space="0" w:color="auto"/>
        <w:right w:val="none" w:sz="0" w:space="0" w:color="auto"/>
      </w:divBdr>
    </w:div>
    <w:div w:id="316344417">
      <w:bodyDiv w:val="1"/>
      <w:marLeft w:val="0"/>
      <w:marRight w:val="0"/>
      <w:marTop w:val="0"/>
      <w:marBottom w:val="0"/>
      <w:divBdr>
        <w:top w:val="none" w:sz="0" w:space="0" w:color="auto"/>
        <w:left w:val="none" w:sz="0" w:space="0" w:color="auto"/>
        <w:bottom w:val="none" w:sz="0" w:space="0" w:color="auto"/>
        <w:right w:val="none" w:sz="0" w:space="0" w:color="auto"/>
      </w:divBdr>
    </w:div>
    <w:div w:id="354691847">
      <w:bodyDiv w:val="1"/>
      <w:marLeft w:val="0"/>
      <w:marRight w:val="0"/>
      <w:marTop w:val="0"/>
      <w:marBottom w:val="0"/>
      <w:divBdr>
        <w:top w:val="none" w:sz="0" w:space="0" w:color="auto"/>
        <w:left w:val="none" w:sz="0" w:space="0" w:color="auto"/>
        <w:bottom w:val="none" w:sz="0" w:space="0" w:color="auto"/>
        <w:right w:val="none" w:sz="0" w:space="0" w:color="auto"/>
      </w:divBdr>
    </w:div>
    <w:div w:id="378673649">
      <w:bodyDiv w:val="1"/>
      <w:marLeft w:val="0"/>
      <w:marRight w:val="0"/>
      <w:marTop w:val="0"/>
      <w:marBottom w:val="0"/>
      <w:divBdr>
        <w:top w:val="none" w:sz="0" w:space="0" w:color="auto"/>
        <w:left w:val="none" w:sz="0" w:space="0" w:color="auto"/>
        <w:bottom w:val="none" w:sz="0" w:space="0" w:color="auto"/>
        <w:right w:val="none" w:sz="0" w:space="0" w:color="auto"/>
      </w:divBdr>
    </w:div>
    <w:div w:id="390233302">
      <w:bodyDiv w:val="1"/>
      <w:marLeft w:val="0"/>
      <w:marRight w:val="0"/>
      <w:marTop w:val="0"/>
      <w:marBottom w:val="0"/>
      <w:divBdr>
        <w:top w:val="none" w:sz="0" w:space="0" w:color="auto"/>
        <w:left w:val="none" w:sz="0" w:space="0" w:color="auto"/>
        <w:bottom w:val="none" w:sz="0" w:space="0" w:color="auto"/>
        <w:right w:val="none" w:sz="0" w:space="0" w:color="auto"/>
      </w:divBdr>
    </w:div>
    <w:div w:id="405805609">
      <w:bodyDiv w:val="1"/>
      <w:marLeft w:val="0"/>
      <w:marRight w:val="0"/>
      <w:marTop w:val="0"/>
      <w:marBottom w:val="0"/>
      <w:divBdr>
        <w:top w:val="none" w:sz="0" w:space="0" w:color="auto"/>
        <w:left w:val="none" w:sz="0" w:space="0" w:color="auto"/>
        <w:bottom w:val="none" w:sz="0" w:space="0" w:color="auto"/>
        <w:right w:val="none" w:sz="0" w:space="0" w:color="auto"/>
      </w:divBdr>
    </w:div>
    <w:div w:id="439422424">
      <w:bodyDiv w:val="1"/>
      <w:marLeft w:val="0"/>
      <w:marRight w:val="0"/>
      <w:marTop w:val="0"/>
      <w:marBottom w:val="0"/>
      <w:divBdr>
        <w:top w:val="none" w:sz="0" w:space="0" w:color="auto"/>
        <w:left w:val="none" w:sz="0" w:space="0" w:color="auto"/>
        <w:bottom w:val="none" w:sz="0" w:space="0" w:color="auto"/>
        <w:right w:val="none" w:sz="0" w:space="0" w:color="auto"/>
      </w:divBdr>
    </w:div>
    <w:div w:id="445319123">
      <w:bodyDiv w:val="1"/>
      <w:marLeft w:val="0"/>
      <w:marRight w:val="0"/>
      <w:marTop w:val="0"/>
      <w:marBottom w:val="0"/>
      <w:divBdr>
        <w:top w:val="none" w:sz="0" w:space="0" w:color="auto"/>
        <w:left w:val="none" w:sz="0" w:space="0" w:color="auto"/>
        <w:bottom w:val="none" w:sz="0" w:space="0" w:color="auto"/>
        <w:right w:val="none" w:sz="0" w:space="0" w:color="auto"/>
      </w:divBdr>
    </w:div>
    <w:div w:id="456683649">
      <w:bodyDiv w:val="1"/>
      <w:marLeft w:val="0"/>
      <w:marRight w:val="0"/>
      <w:marTop w:val="0"/>
      <w:marBottom w:val="0"/>
      <w:divBdr>
        <w:top w:val="none" w:sz="0" w:space="0" w:color="auto"/>
        <w:left w:val="none" w:sz="0" w:space="0" w:color="auto"/>
        <w:bottom w:val="none" w:sz="0" w:space="0" w:color="auto"/>
        <w:right w:val="none" w:sz="0" w:space="0" w:color="auto"/>
      </w:divBdr>
    </w:div>
    <w:div w:id="470053346">
      <w:bodyDiv w:val="1"/>
      <w:marLeft w:val="0"/>
      <w:marRight w:val="0"/>
      <w:marTop w:val="0"/>
      <w:marBottom w:val="0"/>
      <w:divBdr>
        <w:top w:val="none" w:sz="0" w:space="0" w:color="auto"/>
        <w:left w:val="none" w:sz="0" w:space="0" w:color="auto"/>
        <w:bottom w:val="none" w:sz="0" w:space="0" w:color="auto"/>
        <w:right w:val="none" w:sz="0" w:space="0" w:color="auto"/>
      </w:divBdr>
    </w:div>
    <w:div w:id="473639762">
      <w:bodyDiv w:val="1"/>
      <w:marLeft w:val="0"/>
      <w:marRight w:val="0"/>
      <w:marTop w:val="0"/>
      <w:marBottom w:val="0"/>
      <w:divBdr>
        <w:top w:val="none" w:sz="0" w:space="0" w:color="auto"/>
        <w:left w:val="none" w:sz="0" w:space="0" w:color="auto"/>
        <w:bottom w:val="none" w:sz="0" w:space="0" w:color="auto"/>
        <w:right w:val="none" w:sz="0" w:space="0" w:color="auto"/>
      </w:divBdr>
      <w:divsChild>
        <w:div w:id="1397820404">
          <w:marLeft w:val="0"/>
          <w:marRight w:val="0"/>
          <w:marTop w:val="0"/>
          <w:marBottom w:val="0"/>
          <w:divBdr>
            <w:top w:val="none" w:sz="0" w:space="0" w:color="auto"/>
            <w:left w:val="none" w:sz="0" w:space="0" w:color="auto"/>
            <w:bottom w:val="none" w:sz="0" w:space="0" w:color="auto"/>
            <w:right w:val="none" w:sz="0" w:space="0" w:color="auto"/>
          </w:divBdr>
        </w:div>
      </w:divsChild>
    </w:div>
    <w:div w:id="478694455">
      <w:bodyDiv w:val="1"/>
      <w:marLeft w:val="0"/>
      <w:marRight w:val="0"/>
      <w:marTop w:val="0"/>
      <w:marBottom w:val="0"/>
      <w:divBdr>
        <w:top w:val="none" w:sz="0" w:space="0" w:color="auto"/>
        <w:left w:val="none" w:sz="0" w:space="0" w:color="auto"/>
        <w:bottom w:val="none" w:sz="0" w:space="0" w:color="auto"/>
        <w:right w:val="none" w:sz="0" w:space="0" w:color="auto"/>
      </w:divBdr>
    </w:div>
    <w:div w:id="504824249">
      <w:bodyDiv w:val="1"/>
      <w:marLeft w:val="0"/>
      <w:marRight w:val="0"/>
      <w:marTop w:val="0"/>
      <w:marBottom w:val="0"/>
      <w:divBdr>
        <w:top w:val="none" w:sz="0" w:space="0" w:color="auto"/>
        <w:left w:val="none" w:sz="0" w:space="0" w:color="auto"/>
        <w:bottom w:val="none" w:sz="0" w:space="0" w:color="auto"/>
        <w:right w:val="none" w:sz="0" w:space="0" w:color="auto"/>
      </w:divBdr>
    </w:div>
    <w:div w:id="518587472">
      <w:bodyDiv w:val="1"/>
      <w:marLeft w:val="0"/>
      <w:marRight w:val="0"/>
      <w:marTop w:val="0"/>
      <w:marBottom w:val="0"/>
      <w:divBdr>
        <w:top w:val="none" w:sz="0" w:space="0" w:color="auto"/>
        <w:left w:val="none" w:sz="0" w:space="0" w:color="auto"/>
        <w:bottom w:val="none" w:sz="0" w:space="0" w:color="auto"/>
        <w:right w:val="none" w:sz="0" w:space="0" w:color="auto"/>
      </w:divBdr>
    </w:div>
    <w:div w:id="519857031">
      <w:bodyDiv w:val="1"/>
      <w:marLeft w:val="0"/>
      <w:marRight w:val="0"/>
      <w:marTop w:val="0"/>
      <w:marBottom w:val="0"/>
      <w:divBdr>
        <w:top w:val="none" w:sz="0" w:space="0" w:color="auto"/>
        <w:left w:val="none" w:sz="0" w:space="0" w:color="auto"/>
        <w:bottom w:val="none" w:sz="0" w:space="0" w:color="auto"/>
        <w:right w:val="none" w:sz="0" w:space="0" w:color="auto"/>
      </w:divBdr>
    </w:div>
    <w:div w:id="551500559">
      <w:bodyDiv w:val="1"/>
      <w:marLeft w:val="0"/>
      <w:marRight w:val="0"/>
      <w:marTop w:val="0"/>
      <w:marBottom w:val="0"/>
      <w:divBdr>
        <w:top w:val="none" w:sz="0" w:space="0" w:color="auto"/>
        <w:left w:val="none" w:sz="0" w:space="0" w:color="auto"/>
        <w:bottom w:val="none" w:sz="0" w:space="0" w:color="auto"/>
        <w:right w:val="none" w:sz="0" w:space="0" w:color="auto"/>
      </w:divBdr>
    </w:div>
    <w:div w:id="577399273">
      <w:bodyDiv w:val="1"/>
      <w:marLeft w:val="0"/>
      <w:marRight w:val="0"/>
      <w:marTop w:val="0"/>
      <w:marBottom w:val="0"/>
      <w:divBdr>
        <w:top w:val="none" w:sz="0" w:space="0" w:color="auto"/>
        <w:left w:val="none" w:sz="0" w:space="0" w:color="auto"/>
        <w:bottom w:val="none" w:sz="0" w:space="0" w:color="auto"/>
        <w:right w:val="none" w:sz="0" w:space="0" w:color="auto"/>
      </w:divBdr>
    </w:div>
    <w:div w:id="645738775">
      <w:bodyDiv w:val="1"/>
      <w:marLeft w:val="0"/>
      <w:marRight w:val="0"/>
      <w:marTop w:val="0"/>
      <w:marBottom w:val="0"/>
      <w:divBdr>
        <w:top w:val="none" w:sz="0" w:space="0" w:color="auto"/>
        <w:left w:val="none" w:sz="0" w:space="0" w:color="auto"/>
        <w:bottom w:val="none" w:sz="0" w:space="0" w:color="auto"/>
        <w:right w:val="none" w:sz="0" w:space="0" w:color="auto"/>
      </w:divBdr>
    </w:div>
    <w:div w:id="652099483">
      <w:bodyDiv w:val="1"/>
      <w:marLeft w:val="0"/>
      <w:marRight w:val="0"/>
      <w:marTop w:val="0"/>
      <w:marBottom w:val="0"/>
      <w:divBdr>
        <w:top w:val="none" w:sz="0" w:space="0" w:color="auto"/>
        <w:left w:val="none" w:sz="0" w:space="0" w:color="auto"/>
        <w:bottom w:val="none" w:sz="0" w:space="0" w:color="auto"/>
        <w:right w:val="none" w:sz="0" w:space="0" w:color="auto"/>
      </w:divBdr>
    </w:div>
    <w:div w:id="660735373">
      <w:bodyDiv w:val="1"/>
      <w:marLeft w:val="0"/>
      <w:marRight w:val="0"/>
      <w:marTop w:val="0"/>
      <w:marBottom w:val="0"/>
      <w:divBdr>
        <w:top w:val="none" w:sz="0" w:space="0" w:color="auto"/>
        <w:left w:val="none" w:sz="0" w:space="0" w:color="auto"/>
        <w:bottom w:val="none" w:sz="0" w:space="0" w:color="auto"/>
        <w:right w:val="none" w:sz="0" w:space="0" w:color="auto"/>
      </w:divBdr>
    </w:div>
    <w:div w:id="668215001">
      <w:bodyDiv w:val="1"/>
      <w:marLeft w:val="0"/>
      <w:marRight w:val="0"/>
      <w:marTop w:val="0"/>
      <w:marBottom w:val="0"/>
      <w:divBdr>
        <w:top w:val="none" w:sz="0" w:space="0" w:color="auto"/>
        <w:left w:val="none" w:sz="0" w:space="0" w:color="auto"/>
        <w:bottom w:val="none" w:sz="0" w:space="0" w:color="auto"/>
        <w:right w:val="none" w:sz="0" w:space="0" w:color="auto"/>
      </w:divBdr>
    </w:div>
    <w:div w:id="677196257">
      <w:bodyDiv w:val="1"/>
      <w:marLeft w:val="0"/>
      <w:marRight w:val="0"/>
      <w:marTop w:val="0"/>
      <w:marBottom w:val="0"/>
      <w:divBdr>
        <w:top w:val="none" w:sz="0" w:space="0" w:color="auto"/>
        <w:left w:val="none" w:sz="0" w:space="0" w:color="auto"/>
        <w:bottom w:val="none" w:sz="0" w:space="0" w:color="auto"/>
        <w:right w:val="none" w:sz="0" w:space="0" w:color="auto"/>
      </w:divBdr>
    </w:div>
    <w:div w:id="754205589">
      <w:bodyDiv w:val="1"/>
      <w:marLeft w:val="0"/>
      <w:marRight w:val="0"/>
      <w:marTop w:val="0"/>
      <w:marBottom w:val="0"/>
      <w:divBdr>
        <w:top w:val="none" w:sz="0" w:space="0" w:color="auto"/>
        <w:left w:val="none" w:sz="0" w:space="0" w:color="auto"/>
        <w:bottom w:val="none" w:sz="0" w:space="0" w:color="auto"/>
        <w:right w:val="none" w:sz="0" w:space="0" w:color="auto"/>
      </w:divBdr>
    </w:div>
    <w:div w:id="782923944">
      <w:bodyDiv w:val="1"/>
      <w:marLeft w:val="0"/>
      <w:marRight w:val="0"/>
      <w:marTop w:val="0"/>
      <w:marBottom w:val="0"/>
      <w:divBdr>
        <w:top w:val="none" w:sz="0" w:space="0" w:color="auto"/>
        <w:left w:val="none" w:sz="0" w:space="0" w:color="auto"/>
        <w:bottom w:val="none" w:sz="0" w:space="0" w:color="auto"/>
        <w:right w:val="none" w:sz="0" w:space="0" w:color="auto"/>
      </w:divBdr>
      <w:divsChild>
        <w:div w:id="997226579">
          <w:marLeft w:val="0"/>
          <w:marRight w:val="0"/>
          <w:marTop w:val="0"/>
          <w:marBottom w:val="0"/>
          <w:divBdr>
            <w:top w:val="none" w:sz="0" w:space="0" w:color="auto"/>
            <w:left w:val="none" w:sz="0" w:space="0" w:color="auto"/>
            <w:bottom w:val="none" w:sz="0" w:space="0" w:color="auto"/>
            <w:right w:val="none" w:sz="0" w:space="0" w:color="auto"/>
          </w:divBdr>
        </w:div>
      </w:divsChild>
    </w:div>
    <w:div w:id="834149062">
      <w:bodyDiv w:val="1"/>
      <w:marLeft w:val="0"/>
      <w:marRight w:val="0"/>
      <w:marTop w:val="0"/>
      <w:marBottom w:val="0"/>
      <w:divBdr>
        <w:top w:val="none" w:sz="0" w:space="0" w:color="auto"/>
        <w:left w:val="none" w:sz="0" w:space="0" w:color="auto"/>
        <w:bottom w:val="none" w:sz="0" w:space="0" w:color="auto"/>
        <w:right w:val="none" w:sz="0" w:space="0" w:color="auto"/>
      </w:divBdr>
    </w:div>
    <w:div w:id="915166798">
      <w:bodyDiv w:val="1"/>
      <w:marLeft w:val="0"/>
      <w:marRight w:val="0"/>
      <w:marTop w:val="0"/>
      <w:marBottom w:val="0"/>
      <w:divBdr>
        <w:top w:val="none" w:sz="0" w:space="0" w:color="auto"/>
        <w:left w:val="none" w:sz="0" w:space="0" w:color="auto"/>
        <w:bottom w:val="none" w:sz="0" w:space="0" w:color="auto"/>
        <w:right w:val="none" w:sz="0" w:space="0" w:color="auto"/>
      </w:divBdr>
    </w:div>
    <w:div w:id="953637949">
      <w:bodyDiv w:val="1"/>
      <w:marLeft w:val="0"/>
      <w:marRight w:val="0"/>
      <w:marTop w:val="0"/>
      <w:marBottom w:val="0"/>
      <w:divBdr>
        <w:top w:val="none" w:sz="0" w:space="0" w:color="auto"/>
        <w:left w:val="none" w:sz="0" w:space="0" w:color="auto"/>
        <w:bottom w:val="none" w:sz="0" w:space="0" w:color="auto"/>
        <w:right w:val="none" w:sz="0" w:space="0" w:color="auto"/>
      </w:divBdr>
    </w:div>
    <w:div w:id="1008019036">
      <w:bodyDiv w:val="1"/>
      <w:marLeft w:val="0"/>
      <w:marRight w:val="0"/>
      <w:marTop w:val="0"/>
      <w:marBottom w:val="0"/>
      <w:divBdr>
        <w:top w:val="none" w:sz="0" w:space="0" w:color="auto"/>
        <w:left w:val="none" w:sz="0" w:space="0" w:color="auto"/>
        <w:bottom w:val="none" w:sz="0" w:space="0" w:color="auto"/>
        <w:right w:val="none" w:sz="0" w:space="0" w:color="auto"/>
      </w:divBdr>
    </w:div>
    <w:div w:id="1014646124">
      <w:bodyDiv w:val="1"/>
      <w:marLeft w:val="0"/>
      <w:marRight w:val="0"/>
      <w:marTop w:val="0"/>
      <w:marBottom w:val="0"/>
      <w:divBdr>
        <w:top w:val="none" w:sz="0" w:space="0" w:color="auto"/>
        <w:left w:val="none" w:sz="0" w:space="0" w:color="auto"/>
        <w:bottom w:val="none" w:sz="0" w:space="0" w:color="auto"/>
        <w:right w:val="none" w:sz="0" w:space="0" w:color="auto"/>
      </w:divBdr>
    </w:div>
    <w:div w:id="1052467066">
      <w:bodyDiv w:val="1"/>
      <w:marLeft w:val="0"/>
      <w:marRight w:val="0"/>
      <w:marTop w:val="0"/>
      <w:marBottom w:val="0"/>
      <w:divBdr>
        <w:top w:val="none" w:sz="0" w:space="0" w:color="auto"/>
        <w:left w:val="none" w:sz="0" w:space="0" w:color="auto"/>
        <w:bottom w:val="none" w:sz="0" w:space="0" w:color="auto"/>
        <w:right w:val="none" w:sz="0" w:space="0" w:color="auto"/>
      </w:divBdr>
    </w:div>
    <w:div w:id="1060862580">
      <w:bodyDiv w:val="1"/>
      <w:marLeft w:val="0"/>
      <w:marRight w:val="0"/>
      <w:marTop w:val="0"/>
      <w:marBottom w:val="0"/>
      <w:divBdr>
        <w:top w:val="none" w:sz="0" w:space="0" w:color="auto"/>
        <w:left w:val="none" w:sz="0" w:space="0" w:color="auto"/>
        <w:bottom w:val="none" w:sz="0" w:space="0" w:color="auto"/>
        <w:right w:val="none" w:sz="0" w:space="0" w:color="auto"/>
      </w:divBdr>
    </w:div>
    <w:div w:id="1076707680">
      <w:bodyDiv w:val="1"/>
      <w:marLeft w:val="0"/>
      <w:marRight w:val="0"/>
      <w:marTop w:val="0"/>
      <w:marBottom w:val="0"/>
      <w:divBdr>
        <w:top w:val="none" w:sz="0" w:space="0" w:color="auto"/>
        <w:left w:val="none" w:sz="0" w:space="0" w:color="auto"/>
        <w:bottom w:val="none" w:sz="0" w:space="0" w:color="auto"/>
        <w:right w:val="none" w:sz="0" w:space="0" w:color="auto"/>
      </w:divBdr>
    </w:div>
    <w:div w:id="1079717759">
      <w:bodyDiv w:val="1"/>
      <w:marLeft w:val="0"/>
      <w:marRight w:val="0"/>
      <w:marTop w:val="0"/>
      <w:marBottom w:val="0"/>
      <w:divBdr>
        <w:top w:val="none" w:sz="0" w:space="0" w:color="auto"/>
        <w:left w:val="none" w:sz="0" w:space="0" w:color="auto"/>
        <w:bottom w:val="none" w:sz="0" w:space="0" w:color="auto"/>
        <w:right w:val="none" w:sz="0" w:space="0" w:color="auto"/>
      </w:divBdr>
    </w:div>
    <w:div w:id="1110399491">
      <w:bodyDiv w:val="1"/>
      <w:marLeft w:val="0"/>
      <w:marRight w:val="0"/>
      <w:marTop w:val="0"/>
      <w:marBottom w:val="0"/>
      <w:divBdr>
        <w:top w:val="none" w:sz="0" w:space="0" w:color="auto"/>
        <w:left w:val="none" w:sz="0" w:space="0" w:color="auto"/>
        <w:bottom w:val="none" w:sz="0" w:space="0" w:color="auto"/>
        <w:right w:val="none" w:sz="0" w:space="0" w:color="auto"/>
      </w:divBdr>
    </w:div>
    <w:div w:id="1143162720">
      <w:bodyDiv w:val="1"/>
      <w:marLeft w:val="0"/>
      <w:marRight w:val="0"/>
      <w:marTop w:val="0"/>
      <w:marBottom w:val="0"/>
      <w:divBdr>
        <w:top w:val="none" w:sz="0" w:space="0" w:color="auto"/>
        <w:left w:val="none" w:sz="0" w:space="0" w:color="auto"/>
        <w:bottom w:val="none" w:sz="0" w:space="0" w:color="auto"/>
        <w:right w:val="none" w:sz="0" w:space="0" w:color="auto"/>
      </w:divBdr>
    </w:div>
    <w:div w:id="1146895383">
      <w:bodyDiv w:val="1"/>
      <w:marLeft w:val="0"/>
      <w:marRight w:val="0"/>
      <w:marTop w:val="0"/>
      <w:marBottom w:val="0"/>
      <w:divBdr>
        <w:top w:val="none" w:sz="0" w:space="0" w:color="auto"/>
        <w:left w:val="none" w:sz="0" w:space="0" w:color="auto"/>
        <w:bottom w:val="none" w:sz="0" w:space="0" w:color="auto"/>
        <w:right w:val="none" w:sz="0" w:space="0" w:color="auto"/>
      </w:divBdr>
    </w:div>
    <w:div w:id="1168133191">
      <w:bodyDiv w:val="1"/>
      <w:marLeft w:val="0"/>
      <w:marRight w:val="0"/>
      <w:marTop w:val="0"/>
      <w:marBottom w:val="0"/>
      <w:divBdr>
        <w:top w:val="none" w:sz="0" w:space="0" w:color="auto"/>
        <w:left w:val="none" w:sz="0" w:space="0" w:color="auto"/>
        <w:bottom w:val="none" w:sz="0" w:space="0" w:color="auto"/>
        <w:right w:val="none" w:sz="0" w:space="0" w:color="auto"/>
      </w:divBdr>
    </w:div>
    <w:div w:id="1211453325">
      <w:bodyDiv w:val="1"/>
      <w:marLeft w:val="0"/>
      <w:marRight w:val="0"/>
      <w:marTop w:val="0"/>
      <w:marBottom w:val="0"/>
      <w:divBdr>
        <w:top w:val="none" w:sz="0" w:space="0" w:color="auto"/>
        <w:left w:val="none" w:sz="0" w:space="0" w:color="auto"/>
        <w:bottom w:val="none" w:sz="0" w:space="0" w:color="auto"/>
        <w:right w:val="none" w:sz="0" w:space="0" w:color="auto"/>
      </w:divBdr>
    </w:div>
    <w:div w:id="1216432376">
      <w:bodyDiv w:val="1"/>
      <w:marLeft w:val="0"/>
      <w:marRight w:val="0"/>
      <w:marTop w:val="0"/>
      <w:marBottom w:val="0"/>
      <w:divBdr>
        <w:top w:val="none" w:sz="0" w:space="0" w:color="auto"/>
        <w:left w:val="none" w:sz="0" w:space="0" w:color="auto"/>
        <w:bottom w:val="none" w:sz="0" w:space="0" w:color="auto"/>
        <w:right w:val="none" w:sz="0" w:space="0" w:color="auto"/>
      </w:divBdr>
    </w:div>
    <w:div w:id="1257444212">
      <w:bodyDiv w:val="1"/>
      <w:marLeft w:val="0"/>
      <w:marRight w:val="0"/>
      <w:marTop w:val="0"/>
      <w:marBottom w:val="0"/>
      <w:divBdr>
        <w:top w:val="none" w:sz="0" w:space="0" w:color="auto"/>
        <w:left w:val="none" w:sz="0" w:space="0" w:color="auto"/>
        <w:bottom w:val="none" w:sz="0" w:space="0" w:color="auto"/>
        <w:right w:val="none" w:sz="0" w:space="0" w:color="auto"/>
      </w:divBdr>
    </w:div>
    <w:div w:id="1294212431">
      <w:bodyDiv w:val="1"/>
      <w:marLeft w:val="0"/>
      <w:marRight w:val="0"/>
      <w:marTop w:val="0"/>
      <w:marBottom w:val="0"/>
      <w:divBdr>
        <w:top w:val="none" w:sz="0" w:space="0" w:color="auto"/>
        <w:left w:val="none" w:sz="0" w:space="0" w:color="auto"/>
        <w:bottom w:val="none" w:sz="0" w:space="0" w:color="auto"/>
        <w:right w:val="none" w:sz="0" w:space="0" w:color="auto"/>
      </w:divBdr>
    </w:div>
    <w:div w:id="1310359256">
      <w:bodyDiv w:val="1"/>
      <w:marLeft w:val="0"/>
      <w:marRight w:val="0"/>
      <w:marTop w:val="0"/>
      <w:marBottom w:val="0"/>
      <w:divBdr>
        <w:top w:val="none" w:sz="0" w:space="0" w:color="auto"/>
        <w:left w:val="none" w:sz="0" w:space="0" w:color="auto"/>
        <w:bottom w:val="none" w:sz="0" w:space="0" w:color="auto"/>
        <w:right w:val="none" w:sz="0" w:space="0" w:color="auto"/>
      </w:divBdr>
    </w:div>
    <w:div w:id="1324624416">
      <w:bodyDiv w:val="1"/>
      <w:marLeft w:val="0"/>
      <w:marRight w:val="0"/>
      <w:marTop w:val="0"/>
      <w:marBottom w:val="0"/>
      <w:divBdr>
        <w:top w:val="none" w:sz="0" w:space="0" w:color="auto"/>
        <w:left w:val="none" w:sz="0" w:space="0" w:color="auto"/>
        <w:bottom w:val="none" w:sz="0" w:space="0" w:color="auto"/>
        <w:right w:val="none" w:sz="0" w:space="0" w:color="auto"/>
      </w:divBdr>
    </w:div>
    <w:div w:id="1355427187">
      <w:bodyDiv w:val="1"/>
      <w:marLeft w:val="0"/>
      <w:marRight w:val="0"/>
      <w:marTop w:val="0"/>
      <w:marBottom w:val="0"/>
      <w:divBdr>
        <w:top w:val="none" w:sz="0" w:space="0" w:color="auto"/>
        <w:left w:val="none" w:sz="0" w:space="0" w:color="auto"/>
        <w:bottom w:val="none" w:sz="0" w:space="0" w:color="auto"/>
        <w:right w:val="none" w:sz="0" w:space="0" w:color="auto"/>
      </w:divBdr>
    </w:div>
    <w:div w:id="1357585698">
      <w:bodyDiv w:val="1"/>
      <w:marLeft w:val="0"/>
      <w:marRight w:val="0"/>
      <w:marTop w:val="0"/>
      <w:marBottom w:val="0"/>
      <w:divBdr>
        <w:top w:val="none" w:sz="0" w:space="0" w:color="auto"/>
        <w:left w:val="none" w:sz="0" w:space="0" w:color="auto"/>
        <w:bottom w:val="none" w:sz="0" w:space="0" w:color="auto"/>
        <w:right w:val="none" w:sz="0" w:space="0" w:color="auto"/>
      </w:divBdr>
    </w:div>
    <w:div w:id="1363944449">
      <w:bodyDiv w:val="1"/>
      <w:marLeft w:val="0"/>
      <w:marRight w:val="0"/>
      <w:marTop w:val="0"/>
      <w:marBottom w:val="0"/>
      <w:divBdr>
        <w:top w:val="none" w:sz="0" w:space="0" w:color="auto"/>
        <w:left w:val="none" w:sz="0" w:space="0" w:color="auto"/>
        <w:bottom w:val="none" w:sz="0" w:space="0" w:color="auto"/>
        <w:right w:val="none" w:sz="0" w:space="0" w:color="auto"/>
      </w:divBdr>
    </w:div>
    <w:div w:id="1369404732">
      <w:bodyDiv w:val="1"/>
      <w:marLeft w:val="0"/>
      <w:marRight w:val="0"/>
      <w:marTop w:val="0"/>
      <w:marBottom w:val="0"/>
      <w:divBdr>
        <w:top w:val="none" w:sz="0" w:space="0" w:color="auto"/>
        <w:left w:val="none" w:sz="0" w:space="0" w:color="auto"/>
        <w:bottom w:val="none" w:sz="0" w:space="0" w:color="auto"/>
        <w:right w:val="none" w:sz="0" w:space="0" w:color="auto"/>
      </w:divBdr>
    </w:div>
    <w:div w:id="1379865483">
      <w:bodyDiv w:val="1"/>
      <w:marLeft w:val="0"/>
      <w:marRight w:val="0"/>
      <w:marTop w:val="0"/>
      <w:marBottom w:val="0"/>
      <w:divBdr>
        <w:top w:val="none" w:sz="0" w:space="0" w:color="auto"/>
        <w:left w:val="none" w:sz="0" w:space="0" w:color="auto"/>
        <w:bottom w:val="none" w:sz="0" w:space="0" w:color="auto"/>
        <w:right w:val="none" w:sz="0" w:space="0" w:color="auto"/>
      </w:divBdr>
    </w:div>
    <w:div w:id="1388801265">
      <w:bodyDiv w:val="1"/>
      <w:marLeft w:val="0"/>
      <w:marRight w:val="0"/>
      <w:marTop w:val="0"/>
      <w:marBottom w:val="0"/>
      <w:divBdr>
        <w:top w:val="none" w:sz="0" w:space="0" w:color="auto"/>
        <w:left w:val="none" w:sz="0" w:space="0" w:color="auto"/>
        <w:bottom w:val="none" w:sz="0" w:space="0" w:color="auto"/>
        <w:right w:val="none" w:sz="0" w:space="0" w:color="auto"/>
      </w:divBdr>
    </w:div>
    <w:div w:id="1393385191">
      <w:bodyDiv w:val="1"/>
      <w:marLeft w:val="0"/>
      <w:marRight w:val="0"/>
      <w:marTop w:val="0"/>
      <w:marBottom w:val="0"/>
      <w:divBdr>
        <w:top w:val="none" w:sz="0" w:space="0" w:color="auto"/>
        <w:left w:val="none" w:sz="0" w:space="0" w:color="auto"/>
        <w:bottom w:val="none" w:sz="0" w:space="0" w:color="auto"/>
        <w:right w:val="none" w:sz="0" w:space="0" w:color="auto"/>
      </w:divBdr>
    </w:div>
    <w:div w:id="1421753773">
      <w:bodyDiv w:val="1"/>
      <w:marLeft w:val="0"/>
      <w:marRight w:val="0"/>
      <w:marTop w:val="0"/>
      <w:marBottom w:val="0"/>
      <w:divBdr>
        <w:top w:val="none" w:sz="0" w:space="0" w:color="auto"/>
        <w:left w:val="none" w:sz="0" w:space="0" w:color="auto"/>
        <w:bottom w:val="none" w:sz="0" w:space="0" w:color="auto"/>
        <w:right w:val="none" w:sz="0" w:space="0" w:color="auto"/>
      </w:divBdr>
    </w:div>
    <w:div w:id="1441530484">
      <w:bodyDiv w:val="1"/>
      <w:marLeft w:val="0"/>
      <w:marRight w:val="0"/>
      <w:marTop w:val="0"/>
      <w:marBottom w:val="0"/>
      <w:divBdr>
        <w:top w:val="none" w:sz="0" w:space="0" w:color="auto"/>
        <w:left w:val="none" w:sz="0" w:space="0" w:color="auto"/>
        <w:bottom w:val="none" w:sz="0" w:space="0" w:color="auto"/>
        <w:right w:val="none" w:sz="0" w:space="0" w:color="auto"/>
      </w:divBdr>
    </w:div>
    <w:div w:id="1449659731">
      <w:bodyDiv w:val="1"/>
      <w:marLeft w:val="0"/>
      <w:marRight w:val="0"/>
      <w:marTop w:val="0"/>
      <w:marBottom w:val="0"/>
      <w:divBdr>
        <w:top w:val="none" w:sz="0" w:space="0" w:color="auto"/>
        <w:left w:val="none" w:sz="0" w:space="0" w:color="auto"/>
        <w:bottom w:val="none" w:sz="0" w:space="0" w:color="auto"/>
        <w:right w:val="none" w:sz="0" w:space="0" w:color="auto"/>
      </w:divBdr>
    </w:div>
    <w:div w:id="1483961356">
      <w:bodyDiv w:val="1"/>
      <w:marLeft w:val="0"/>
      <w:marRight w:val="0"/>
      <w:marTop w:val="0"/>
      <w:marBottom w:val="0"/>
      <w:divBdr>
        <w:top w:val="none" w:sz="0" w:space="0" w:color="auto"/>
        <w:left w:val="none" w:sz="0" w:space="0" w:color="auto"/>
        <w:bottom w:val="none" w:sz="0" w:space="0" w:color="auto"/>
        <w:right w:val="none" w:sz="0" w:space="0" w:color="auto"/>
      </w:divBdr>
    </w:div>
    <w:div w:id="1500540017">
      <w:bodyDiv w:val="1"/>
      <w:marLeft w:val="0"/>
      <w:marRight w:val="0"/>
      <w:marTop w:val="0"/>
      <w:marBottom w:val="0"/>
      <w:divBdr>
        <w:top w:val="none" w:sz="0" w:space="0" w:color="auto"/>
        <w:left w:val="none" w:sz="0" w:space="0" w:color="auto"/>
        <w:bottom w:val="none" w:sz="0" w:space="0" w:color="auto"/>
        <w:right w:val="none" w:sz="0" w:space="0" w:color="auto"/>
      </w:divBdr>
    </w:div>
    <w:div w:id="1502160636">
      <w:bodyDiv w:val="1"/>
      <w:marLeft w:val="0"/>
      <w:marRight w:val="0"/>
      <w:marTop w:val="0"/>
      <w:marBottom w:val="0"/>
      <w:divBdr>
        <w:top w:val="none" w:sz="0" w:space="0" w:color="auto"/>
        <w:left w:val="none" w:sz="0" w:space="0" w:color="auto"/>
        <w:bottom w:val="none" w:sz="0" w:space="0" w:color="auto"/>
        <w:right w:val="none" w:sz="0" w:space="0" w:color="auto"/>
      </w:divBdr>
    </w:div>
    <w:div w:id="1524635833">
      <w:bodyDiv w:val="1"/>
      <w:marLeft w:val="0"/>
      <w:marRight w:val="0"/>
      <w:marTop w:val="0"/>
      <w:marBottom w:val="0"/>
      <w:divBdr>
        <w:top w:val="none" w:sz="0" w:space="0" w:color="auto"/>
        <w:left w:val="none" w:sz="0" w:space="0" w:color="auto"/>
        <w:bottom w:val="none" w:sz="0" w:space="0" w:color="auto"/>
        <w:right w:val="none" w:sz="0" w:space="0" w:color="auto"/>
      </w:divBdr>
    </w:div>
    <w:div w:id="1545018274">
      <w:bodyDiv w:val="1"/>
      <w:marLeft w:val="0"/>
      <w:marRight w:val="0"/>
      <w:marTop w:val="0"/>
      <w:marBottom w:val="0"/>
      <w:divBdr>
        <w:top w:val="none" w:sz="0" w:space="0" w:color="auto"/>
        <w:left w:val="none" w:sz="0" w:space="0" w:color="auto"/>
        <w:bottom w:val="none" w:sz="0" w:space="0" w:color="auto"/>
        <w:right w:val="none" w:sz="0" w:space="0" w:color="auto"/>
      </w:divBdr>
    </w:div>
    <w:div w:id="1571884737">
      <w:bodyDiv w:val="1"/>
      <w:marLeft w:val="0"/>
      <w:marRight w:val="0"/>
      <w:marTop w:val="0"/>
      <w:marBottom w:val="0"/>
      <w:divBdr>
        <w:top w:val="none" w:sz="0" w:space="0" w:color="auto"/>
        <w:left w:val="none" w:sz="0" w:space="0" w:color="auto"/>
        <w:bottom w:val="none" w:sz="0" w:space="0" w:color="auto"/>
        <w:right w:val="none" w:sz="0" w:space="0" w:color="auto"/>
      </w:divBdr>
    </w:div>
    <w:div w:id="1587347715">
      <w:bodyDiv w:val="1"/>
      <w:marLeft w:val="0"/>
      <w:marRight w:val="0"/>
      <w:marTop w:val="0"/>
      <w:marBottom w:val="0"/>
      <w:divBdr>
        <w:top w:val="none" w:sz="0" w:space="0" w:color="auto"/>
        <w:left w:val="none" w:sz="0" w:space="0" w:color="auto"/>
        <w:bottom w:val="none" w:sz="0" w:space="0" w:color="auto"/>
        <w:right w:val="none" w:sz="0" w:space="0" w:color="auto"/>
      </w:divBdr>
    </w:div>
    <w:div w:id="1624341942">
      <w:bodyDiv w:val="1"/>
      <w:marLeft w:val="0"/>
      <w:marRight w:val="0"/>
      <w:marTop w:val="0"/>
      <w:marBottom w:val="0"/>
      <w:divBdr>
        <w:top w:val="none" w:sz="0" w:space="0" w:color="auto"/>
        <w:left w:val="none" w:sz="0" w:space="0" w:color="auto"/>
        <w:bottom w:val="none" w:sz="0" w:space="0" w:color="auto"/>
        <w:right w:val="none" w:sz="0" w:space="0" w:color="auto"/>
      </w:divBdr>
    </w:div>
    <w:div w:id="1637030795">
      <w:bodyDiv w:val="1"/>
      <w:marLeft w:val="0"/>
      <w:marRight w:val="0"/>
      <w:marTop w:val="0"/>
      <w:marBottom w:val="0"/>
      <w:divBdr>
        <w:top w:val="none" w:sz="0" w:space="0" w:color="auto"/>
        <w:left w:val="none" w:sz="0" w:space="0" w:color="auto"/>
        <w:bottom w:val="none" w:sz="0" w:space="0" w:color="auto"/>
        <w:right w:val="none" w:sz="0" w:space="0" w:color="auto"/>
      </w:divBdr>
    </w:div>
    <w:div w:id="1667586680">
      <w:bodyDiv w:val="1"/>
      <w:marLeft w:val="0"/>
      <w:marRight w:val="0"/>
      <w:marTop w:val="0"/>
      <w:marBottom w:val="0"/>
      <w:divBdr>
        <w:top w:val="none" w:sz="0" w:space="0" w:color="auto"/>
        <w:left w:val="none" w:sz="0" w:space="0" w:color="auto"/>
        <w:bottom w:val="none" w:sz="0" w:space="0" w:color="auto"/>
        <w:right w:val="none" w:sz="0" w:space="0" w:color="auto"/>
      </w:divBdr>
    </w:div>
    <w:div w:id="1704788166">
      <w:bodyDiv w:val="1"/>
      <w:marLeft w:val="0"/>
      <w:marRight w:val="0"/>
      <w:marTop w:val="0"/>
      <w:marBottom w:val="0"/>
      <w:divBdr>
        <w:top w:val="none" w:sz="0" w:space="0" w:color="auto"/>
        <w:left w:val="none" w:sz="0" w:space="0" w:color="auto"/>
        <w:bottom w:val="none" w:sz="0" w:space="0" w:color="auto"/>
        <w:right w:val="none" w:sz="0" w:space="0" w:color="auto"/>
      </w:divBdr>
    </w:div>
    <w:div w:id="1738630795">
      <w:bodyDiv w:val="1"/>
      <w:marLeft w:val="0"/>
      <w:marRight w:val="0"/>
      <w:marTop w:val="0"/>
      <w:marBottom w:val="0"/>
      <w:divBdr>
        <w:top w:val="none" w:sz="0" w:space="0" w:color="auto"/>
        <w:left w:val="none" w:sz="0" w:space="0" w:color="auto"/>
        <w:bottom w:val="none" w:sz="0" w:space="0" w:color="auto"/>
        <w:right w:val="none" w:sz="0" w:space="0" w:color="auto"/>
      </w:divBdr>
    </w:div>
    <w:div w:id="1752845547">
      <w:bodyDiv w:val="1"/>
      <w:marLeft w:val="0"/>
      <w:marRight w:val="0"/>
      <w:marTop w:val="0"/>
      <w:marBottom w:val="0"/>
      <w:divBdr>
        <w:top w:val="none" w:sz="0" w:space="0" w:color="auto"/>
        <w:left w:val="none" w:sz="0" w:space="0" w:color="auto"/>
        <w:bottom w:val="none" w:sz="0" w:space="0" w:color="auto"/>
        <w:right w:val="none" w:sz="0" w:space="0" w:color="auto"/>
      </w:divBdr>
    </w:div>
    <w:div w:id="1765808645">
      <w:bodyDiv w:val="1"/>
      <w:marLeft w:val="0"/>
      <w:marRight w:val="0"/>
      <w:marTop w:val="0"/>
      <w:marBottom w:val="0"/>
      <w:divBdr>
        <w:top w:val="none" w:sz="0" w:space="0" w:color="auto"/>
        <w:left w:val="none" w:sz="0" w:space="0" w:color="auto"/>
        <w:bottom w:val="none" w:sz="0" w:space="0" w:color="auto"/>
        <w:right w:val="none" w:sz="0" w:space="0" w:color="auto"/>
      </w:divBdr>
    </w:div>
    <w:div w:id="1783256752">
      <w:bodyDiv w:val="1"/>
      <w:marLeft w:val="0"/>
      <w:marRight w:val="0"/>
      <w:marTop w:val="0"/>
      <w:marBottom w:val="0"/>
      <w:divBdr>
        <w:top w:val="none" w:sz="0" w:space="0" w:color="auto"/>
        <w:left w:val="none" w:sz="0" w:space="0" w:color="auto"/>
        <w:bottom w:val="none" w:sz="0" w:space="0" w:color="auto"/>
        <w:right w:val="none" w:sz="0" w:space="0" w:color="auto"/>
      </w:divBdr>
      <w:divsChild>
        <w:div w:id="1843087474">
          <w:marLeft w:val="0"/>
          <w:marRight w:val="0"/>
          <w:marTop w:val="0"/>
          <w:marBottom w:val="0"/>
          <w:divBdr>
            <w:top w:val="none" w:sz="0" w:space="0" w:color="auto"/>
            <w:left w:val="none" w:sz="0" w:space="0" w:color="auto"/>
            <w:bottom w:val="none" w:sz="0" w:space="0" w:color="auto"/>
            <w:right w:val="none" w:sz="0" w:space="0" w:color="auto"/>
          </w:divBdr>
        </w:div>
      </w:divsChild>
    </w:div>
    <w:div w:id="1824278924">
      <w:bodyDiv w:val="1"/>
      <w:marLeft w:val="0"/>
      <w:marRight w:val="0"/>
      <w:marTop w:val="0"/>
      <w:marBottom w:val="0"/>
      <w:divBdr>
        <w:top w:val="none" w:sz="0" w:space="0" w:color="auto"/>
        <w:left w:val="none" w:sz="0" w:space="0" w:color="auto"/>
        <w:bottom w:val="none" w:sz="0" w:space="0" w:color="auto"/>
        <w:right w:val="none" w:sz="0" w:space="0" w:color="auto"/>
      </w:divBdr>
    </w:div>
    <w:div w:id="1849828892">
      <w:bodyDiv w:val="1"/>
      <w:marLeft w:val="0"/>
      <w:marRight w:val="0"/>
      <w:marTop w:val="0"/>
      <w:marBottom w:val="0"/>
      <w:divBdr>
        <w:top w:val="none" w:sz="0" w:space="0" w:color="auto"/>
        <w:left w:val="none" w:sz="0" w:space="0" w:color="auto"/>
        <w:bottom w:val="none" w:sz="0" w:space="0" w:color="auto"/>
        <w:right w:val="none" w:sz="0" w:space="0" w:color="auto"/>
      </w:divBdr>
    </w:div>
    <w:div w:id="1859389746">
      <w:bodyDiv w:val="1"/>
      <w:marLeft w:val="0"/>
      <w:marRight w:val="0"/>
      <w:marTop w:val="0"/>
      <w:marBottom w:val="0"/>
      <w:divBdr>
        <w:top w:val="none" w:sz="0" w:space="0" w:color="auto"/>
        <w:left w:val="none" w:sz="0" w:space="0" w:color="auto"/>
        <w:bottom w:val="none" w:sz="0" w:space="0" w:color="auto"/>
        <w:right w:val="none" w:sz="0" w:space="0" w:color="auto"/>
      </w:divBdr>
    </w:div>
    <w:div w:id="1884756413">
      <w:bodyDiv w:val="1"/>
      <w:marLeft w:val="0"/>
      <w:marRight w:val="0"/>
      <w:marTop w:val="0"/>
      <w:marBottom w:val="0"/>
      <w:divBdr>
        <w:top w:val="none" w:sz="0" w:space="0" w:color="auto"/>
        <w:left w:val="none" w:sz="0" w:space="0" w:color="auto"/>
        <w:bottom w:val="none" w:sz="0" w:space="0" w:color="auto"/>
        <w:right w:val="none" w:sz="0" w:space="0" w:color="auto"/>
      </w:divBdr>
    </w:div>
    <w:div w:id="1889146103">
      <w:bodyDiv w:val="1"/>
      <w:marLeft w:val="0"/>
      <w:marRight w:val="0"/>
      <w:marTop w:val="0"/>
      <w:marBottom w:val="0"/>
      <w:divBdr>
        <w:top w:val="none" w:sz="0" w:space="0" w:color="auto"/>
        <w:left w:val="none" w:sz="0" w:space="0" w:color="auto"/>
        <w:bottom w:val="none" w:sz="0" w:space="0" w:color="auto"/>
        <w:right w:val="none" w:sz="0" w:space="0" w:color="auto"/>
      </w:divBdr>
    </w:div>
    <w:div w:id="1901360053">
      <w:bodyDiv w:val="1"/>
      <w:marLeft w:val="0"/>
      <w:marRight w:val="0"/>
      <w:marTop w:val="0"/>
      <w:marBottom w:val="0"/>
      <w:divBdr>
        <w:top w:val="none" w:sz="0" w:space="0" w:color="auto"/>
        <w:left w:val="none" w:sz="0" w:space="0" w:color="auto"/>
        <w:bottom w:val="none" w:sz="0" w:space="0" w:color="auto"/>
        <w:right w:val="none" w:sz="0" w:space="0" w:color="auto"/>
      </w:divBdr>
      <w:divsChild>
        <w:div w:id="1400209089">
          <w:marLeft w:val="0"/>
          <w:marRight w:val="0"/>
          <w:marTop w:val="0"/>
          <w:marBottom w:val="0"/>
          <w:divBdr>
            <w:top w:val="none" w:sz="0" w:space="0" w:color="auto"/>
            <w:left w:val="none" w:sz="0" w:space="0" w:color="auto"/>
            <w:bottom w:val="none" w:sz="0" w:space="0" w:color="auto"/>
            <w:right w:val="none" w:sz="0" w:space="0" w:color="auto"/>
          </w:divBdr>
        </w:div>
      </w:divsChild>
    </w:div>
    <w:div w:id="1939212593">
      <w:bodyDiv w:val="1"/>
      <w:marLeft w:val="0"/>
      <w:marRight w:val="0"/>
      <w:marTop w:val="0"/>
      <w:marBottom w:val="0"/>
      <w:divBdr>
        <w:top w:val="none" w:sz="0" w:space="0" w:color="auto"/>
        <w:left w:val="none" w:sz="0" w:space="0" w:color="auto"/>
        <w:bottom w:val="none" w:sz="0" w:space="0" w:color="auto"/>
        <w:right w:val="none" w:sz="0" w:space="0" w:color="auto"/>
      </w:divBdr>
    </w:div>
    <w:div w:id="1952517806">
      <w:bodyDiv w:val="1"/>
      <w:marLeft w:val="0"/>
      <w:marRight w:val="0"/>
      <w:marTop w:val="0"/>
      <w:marBottom w:val="0"/>
      <w:divBdr>
        <w:top w:val="none" w:sz="0" w:space="0" w:color="auto"/>
        <w:left w:val="none" w:sz="0" w:space="0" w:color="auto"/>
        <w:bottom w:val="none" w:sz="0" w:space="0" w:color="auto"/>
        <w:right w:val="none" w:sz="0" w:space="0" w:color="auto"/>
      </w:divBdr>
    </w:div>
    <w:div w:id="1969777639">
      <w:bodyDiv w:val="1"/>
      <w:marLeft w:val="0"/>
      <w:marRight w:val="0"/>
      <w:marTop w:val="0"/>
      <w:marBottom w:val="0"/>
      <w:divBdr>
        <w:top w:val="none" w:sz="0" w:space="0" w:color="auto"/>
        <w:left w:val="none" w:sz="0" w:space="0" w:color="auto"/>
        <w:bottom w:val="none" w:sz="0" w:space="0" w:color="auto"/>
        <w:right w:val="none" w:sz="0" w:space="0" w:color="auto"/>
      </w:divBdr>
    </w:div>
    <w:div w:id="1981809746">
      <w:bodyDiv w:val="1"/>
      <w:marLeft w:val="0"/>
      <w:marRight w:val="0"/>
      <w:marTop w:val="0"/>
      <w:marBottom w:val="0"/>
      <w:divBdr>
        <w:top w:val="none" w:sz="0" w:space="0" w:color="auto"/>
        <w:left w:val="none" w:sz="0" w:space="0" w:color="auto"/>
        <w:bottom w:val="none" w:sz="0" w:space="0" w:color="auto"/>
        <w:right w:val="none" w:sz="0" w:space="0" w:color="auto"/>
      </w:divBdr>
    </w:div>
    <w:div w:id="1994988871">
      <w:bodyDiv w:val="1"/>
      <w:marLeft w:val="0"/>
      <w:marRight w:val="0"/>
      <w:marTop w:val="0"/>
      <w:marBottom w:val="0"/>
      <w:divBdr>
        <w:top w:val="none" w:sz="0" w:space="0" w:color="auto"/>
        <w:left w:val="none" w:sz="0" w:space="0" w:color="auto"/>
        <w:bottom w:val="none" w:sz="0" w:space="0" w:color="auto"/>
        <w:right w:val="none" w:sz="0" w:space="0" w:color="auto"/>
      </w:divBdr>
    </w:div>
    <w:div w:id="2012640788">
      <w:bodyDiv w:val="1"/>
      <w:marLeft w:val="0"/>
      <w:marRight w:val="0"/>
      <w:marTop w:val="0"/>
      <w:marBottom w:val="0"/>
      <w:divBdr>
        <w:top w:val="none" w:sz="0" w:space="0" w:color="auto"/>
        <w:left w:val="none" w:sz="0" w:space="0" w:color="auto"/>
        <w:bottom w:val="none" w:sz="0" w:space="0" w:color="auto"/>
        <w:right w:val="none" w:sz="0" w:space="0" w:color="auto"/>
      </w:divBdr>
    </w:div>
    <w:div w:id="2013605525">
      <w:bodyDiv w:val="1"/>
      <w:marLeft w:val="0"/>
      <w:marRight w:val="0"/>
      <w:marTop w:val="0"/>
      <w:marBottom w:val="0"/>
      <w:divBdr>
        <w:top w:val="none" w:sz="0" w:space="0" w:color="auto"/>
        <w:left w:val="none" w:sz="0" w:space="0" w:color="auto"/>
        <w:bottom w:val="none" w:sz="0" w:space="0" w:color="auto"/>
        <w:right w:val="none" w:sz="0" w:space="0" w:color="auto"/>
      </w:divBdr>
    </w:div>
    <w:div w:id="2015447347">
      <w:bodyDiv w:val="1"/>
      <w:marLeft w:val="0"/>
      <w:marRight w:val="0"/>
      <w:marTop w:val="0"/>
      <w:marBottom w:val="0"/>
      <w:divBdr>
        <w:top w:val="none" w:sz="0" w:space="0" w:color="auto"/>
        <w:left w:val="none" w:sz="0" w:space="0" w:color="auto"/>
        <w:bottom w:val="none" w:sz="0" w:space="0" w:color="auto"/>
        <w:right w:val="none" w:sz="0" w:space="0" w:color="auto"/>
      </w:divBdr>
    </w:div>
    <w:div w:id="2019623451">
      <w:bodyDiv w:val="1"/>
      <w:marLeft w:val="0"/>
      <w:marRight w:val="0"/>
      <w:marTop w:val="0"/>
      <w:marBottom w:val="0"/>
      <w:divBdr>
        <w:top w:val="none" w:sz="0" w:space="0" w:color="auto"/>
        <w:left w:val="none" w:sz="0" w:space="0" w:color="auto"/>
        <w:bottom w:val="none" w:sz="0" w:space="0" w:color="auto"/>
        <w:right w:val="none" w:sz="0" w:space="0" w:color="auto"/>
      </w:divBdr>
    </w:div>
    <w:div w:id="2059162229">
      <w:bodyDiv w:val="1"/>
      <w:marLeft w:val="0"/>
      <w:marRight w:val="0"/>
      <w:marTop w:val="0"/>
      <w:marBottom w:val="0"/>
      <w:divBdr>
        <w:top w:val="none" w:sz="0" w:space="0" w:color="auto"/>
        <w:left w:val="none" w:sz="0" w:space="0" w:color="auto"/>
        <w:bottom w:val="none" w:sz="0" w:space="0" w:color="auto"/>
        <w:right w:val="none" w:sz="0" w:space="0" w:color="auto"/>
      </w:divBdr>
    </w:div>
    <w:div w:id="2094812216">
      <w:bodyDiv w:val="1"/>
      <w:marLeft w:val="0"/>
      <w:marRight w:val="0"/>
      <w:marTop w:val="0"/>
      <w:marBottom w:val="0"/>
      <w:divBdr>
        <w:top w:val="none" w:sz="0" w:space="0" w:color="auto"/>
        <w:left w:val="none" w:sz="0" w:space="0" w:color="auto"/>
        <w:bottom w:val="none" w:sz="0" w:space="0" w:color="auto"/>
        <w:right w:val="none" w:sz="0" w:space="0" w:color="auto"/>
      </w:divBdr>
    </w:div>
    <w:div w:id="2101487070">
      <w:bodyDiv w:val="1"/>
      <w:marLeft w:val="0"/>
      <w:marRight w:val="0"/>
      <w:marTop w:val="0"/>
      <w:marBottom w:val="0"/>
      <w:divBdr>
        <w:top w:val="none" w:sz="0" w:space="0" w:color="auto"/>
        <w:left w:val="none" w:sz="0" w:space="0" w:color="auto"/>
        <w:bottom w:val="none" w:sz="0" w:space="0" w:color="auto"/>
        <w:right w:val="none" w:sz="0" w:space="0" w:color="auto"/>
      </w:divBdr>
    </w:div>
    <w:div w:id="214357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ricefarmer2002/Normalisation-method-comparisons/tree/ma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3492</Words>
  <Characters>22840</Characters>
  <Application>Microsoft Office Word</Application>
  <DocSecurity>0</DocSecurity>
  <Lines>400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Rice</dc:creator>
  <cp:keywords/>
  <dc:description/>
  <cp:lastModifiedBy>Sam Rice</cp:lastModifiedBy>
  <cp:revision>4</cp:revision>
  <dcterms:created xsi:type="dcterms:W3CDTF">2025-05-19T00:26:00Z</dcterms:created>
  <dcterms:modified xsi:type="dcterms:W3CDTF">2025-05-19T00:46:00Z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2cedd081-903c-45a6-a7b0-5f55e5df54ff</vt:lpwstr>
  </property>
</Properties>
</file>