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7C1AC" w14:textId="07E18AEB" w:rsidR="00BE10C1" w:rsidRPr="00EA4922" w:rsidRDefault="00C70016">
      <w:pPr>
        <w:rPr>
          <w:b/>
          <w:bCs/>
          <w:sz w:val="40"/>
          <w:szCs w:val="40"/>
        </w:rPr>
      </w:pPr>
      <w:r w:rsidRPr="00EA4922">
        <w:rPr>
          <w:b/>
          <w:bCs/>
          <w:sz w:val="40"/>
          <w:szCs w:val="40"/>
        </w:rPr>
        <w:t xml:space="preserve">Assessment Cycle 2 </w:t>
      </w:r>
    </w:p>
    <w:p w14:paraId="52B209DF" w14:textId="6BBE4B12" w:rsidR="002668FA" w:rsidRPr="00EA4922" w:rsidRDefault="002668FA">
      <w:pPr>
        <w:rPr>
          <w:b/>
          <w:bCs/>
          <w:sz w:val="40"/>
          <w:szCs w:val="40"/>
        </w:rPr>
      </w:pPr>
      <w:r w:rsidRPr="00EA4922">
        <w:rPr>
          <w:b/>
          <w:bCs/>
          <w:sz w:val="40"/>
          <w:szCs w:val="40"/>
        </w:rPr>
        <w:t>Summary</w:t>
      </w:r>
    </w:p>
    <w:p w14:paraId="4B9E5F66" w14:textId="095EEF61" w:rsidR="002668FA" w:rsidRPr="00EA4922" w:rsidRDefault="002668FA">
      <w:r w:rsidRPr="00EA4922">
        <w:t xml:space="preserve">A </w:t>
      </w:r>
      <w:r w:rsidR="00E11899" w:rsidRPr="00EA4922">
        <w:t xml:space="preserve">single-nucleotide polymorphism (SNP) </w:t>
      </w:r>
      <w:r w:rsidRPr="00EA4922">
        <w:t xml:space="preserve">in </w:t>
      </w:r>
      <w:r w:rsidR="00E11899" w:rsidRPr="00EA4922">
        <w:t xml:space="preserve">the </w:t>
      </w:r>
      <w:r w:rsidRPr="00EA4922">
        <w:t>transcription factor</w:t>
      </w:r>
      <w:r w:rsidR="00E11899" w:rsidRPr="00EA4922">
        <w:t>, forkhead protein (FKHR) mRNA,</w:t>
      </w:r>
      <w:r w:rsidRPr="00EA4922">
        <w:t xml:space="preserve"> is suspected to be the underlying cause of a genetic disease by changing gene expression</w:t>
      </w:r>
      <w:r w:rsidR="005222A1" w:rsidRPr="00EA4922">
        <w:t xml:space="preserve">. </w:t>
      </w:r>
      <w:r w:rsidR="00266099" w:rsidRPr="00EA4922">
        <w:t xml:space="preserve">Using variant </w:t>
      </w:r>
      <w:r w:rsidR="009B46D7">
        <w:t>calling</w:t>
      </w:r>
      <w:r w:rsidR="00266099" w:rsidRPr="00EA4922">
        <w:t xml:space="preserve"> on Illumina sequencing data, a substitution at position 1103 was identified as the most likely to be </w:t>
      </w:r>
      <w:r w:rsidR="00E11899" w:rsidRPr="00EA4922">
        <w:t xml:space="preserve">the disease-causing single-nucleotide polymorphism (SNP), changing cytosine to guanine and resulting in a Proline-to-Arginine amino acid change. </w:t>
      </w:r>
    </w:p>
    <w:p w14:paraId="4F5B43B9" w14:textId="647296C4" w:rsidR="005222A1" w:rsidRPr="00EA4922" w:rsidRDefault="00E11899">
      <w:r w:rsidRPr="00EA4922">
        <w:t>Differential analysis of RNA-</w:t>
      </w:r>
      <w:proofErr w:type="spellStart"/>
      <w:r w:rsidRPr="00EA4922">
        <w:t>seq</w:t>
      </w:r>
      <w:proofErr w:type="spellEnd"/>
      <w:r w:rsidRPr="00EA4922">
        <w:t xml:space="preserve"> </w:t>
      </w:r>
      <w:r w:rsidR="0018195A" w:rsidRPr="00EA4922">
        <w:t>comparing mutant and wild-type transcription factors revealed thousands of differentially expressed genes (DEGs). Gene ontology (GO) enrichment analysis of the DEGs revealed the mutation effects on transcription associated with upregulation of mitotic processes</w:t>
      </w:r>
      <w:r w:rsidR="00D40AAC" w:rsidRPr="00EA4922">
        <w:t>, chromosome segregation</w:t>
      </w:r>
      <w:r w:rsidR="0018195A" w:rsidRPr="00EA4922">
        <w:t>, organelle fusion, and mRNA, while downregulating ion homeostasis and autophagy pathways.</w:t>
      </w:r>
      <w:r w:rsidR="001860B4" w:rsidRPr="00EA4922">
        <w:t xml:space="preserve"> </w:t>
      </w:r>
    </w:p>
    <w:p w14:paraId="310C5410" w14:textId="4101C4A0" w:rsidR="0066388A" w:rsidRPr="00EA4922" w:rsidRDefault="0066388A">
      <w:pPr>
        <w:rPr>
          <w:b/>
          <w:bCs/>
          <w:sz w:val="40"/>
          <w:szCs w:val="40"/>
        </w:rPr>
      </w:pPr>
      <w:r w:rsidRPr="00EA4922">
        <w:rPr>
          <w:b/>
          <w:bCs/>
          <w:sz w:val="40"/>
          <w:szCs w:val="40"/>
        </w:rPr>
        <w:t>Part A</w:t>
      </w:r>
    </w:p>
    <w:p w14:paraId="1C77F662" w14:textId="77777777" w:rsidR="00462066" w:rsidRPr="00EA4922" w:rsidRDefault="0066388A" w:rsidP="00104CFD">
      <w:r w:rsidRPr="00EA4922">
        <w:t>U</w:t>
      </w:r>
      <w:r w:rsidR="0048526A" w:rsidRPr="00EA4922">
        <w:t>sin</w:t>
      </w:r>
      <w:r w:rsidRPr="00EA4922">
        <w:t>g the Windows command line interface, Ubuntu</w:t>
      </w:r>
      <w:r w:rsidR="00B525DC" w:rsidRPr="00EA4922">
        <w:t xml:space="preserve"> (Barnes, 2021)</w:t>
      </w:r>
      <w:r w:rsidRPr="00EA4922">
        <w:t>, Illumina sequencing reads were mapped to the reference sequence to identify the engineered amino acid change in the transcription factor (TF) gene. The reads were aligned using BWA-MEM, an algorithm optimised for high-throughput mapping of short reads with high accuracy</w:t>
      </w:r>
      <w:r w:rsidR="00335116" w:rsidRPr="00EA4922">
        <w:t xml:space="preserve"> (Li, 2013)</w:t>
      </w:r>
      <w:r w:rsidRPr="00EA4922">
        <w:t xml:space="preserve">. </w:t>
      </w:r>
    </w:p>
    <w:p w14:paraId="35911831" w14:textId="2DC7D7EF" w:rsidR="0066388A" w:rsidRPr="00EA4922" w:rsidRDefault="0066388A" w:rsidP="00104CFD">
      <w:r w:rsidRPr="00EA4922">
        <w:t>SAM file</w:t>
      </w:r>
      <w:r w:rsidR="00462066" w:rsidRPr="00EA4922">
        <w:t>s</w:t>
      </w:r>
      <w:r w:rsidRPr="00EA4922">
        <w:t xml:space="preserve"> w</w:t>
      </w:r>
      <w:r w:rsidR="00462066" w:rsidRPr="00EA4922">
        <w:t>ere</w:t>
      </w:r>
      <w:r w:rsidRPr="00EA4922">
        <w:t xml:space="preserve"> converted to BAM format using </w:t>
      </w:r>
      <w:proofErr w:type="spellStart"/>
      <w:r w:rsidRPr="00EA4922">
        <w:t>SAMtools</w:t>
      </w:r>
      <w:proofErr w:type="spellEnd"/>
      <w:r w:rsidRPr="00EA4922">
        <w:t xml:space="preserve"> for </w:t>
      </w:r>
      <w:r w:rsidR="00335116" w:rsidRPr="00EA4922">
        <w:t>efficient</w:t>
      </w:r>
      <w:r w:rsidRPr="00EA4922">
        <w:t xml:space="preserve"> data structuring</w:t>
      </w:r>
      <w:r w:rsidR="00462066" w:rsidRPr="00EA4922">
        <w:t xml:space="preserve"> (Clarke et al., 2012)</w:t>
      </w:r>
      <w:r w:rsidR="00335116" w:rsidRPr="00EA4922">
        <w:t>.</w:t>
      </w:r>
      <w:r w:rsidRPr="00EA4922">
        <w:t xml:space="preserve"> The haplotype-based variant detector</w:t>
      </w:r>
      <w:r w:rsidR="00104CFD" w:rsidRPr="00EA4922">
        <w:t xml:space="preserve">, </w:t>
      </w:r>
      <w:proofErr w:type="spellStart"/>
      <w:r w:rsidR="00104CFD" w:rsidRPr="00EA4922">
        <w:t>FreeBayes</w:t>
      </w:r>
      <w:proofErr w:type="spellEnd"/>
      <w:r w:rsidR="00335116" w:rsidRPr="00EA4922">
        <w:t xml:space="preserve"> (Garrison and Marth, 2012)</w:t>
      </w:r>
      <w:r w:rsidR="00104CFD" w:rsidRPr="00EA4922">
        <w:t xml:space="preserve">, was used for variant calling, inferring SNPs using a Bayesian statistical framework. </w:t>
      </w:r>
      <w:r w:rsidR="00214D15" w:rsidRPr="00EA4922">
        <w:t>V</w:t>
      </w:r>
      <w:r w:rsidR="00104CFD" w:rsidRPr="00EA4922">
        <w:t>ariants were validated using Integrative Genomics Viewer (IGV</w:t>
      </w:r>
      <w:r w:rsidR="00335116" w:rsidRPr="00EA4922">
        <w:t>; Robinson et al., 2011</w:t>
      </w:r>
      <w:r w:rsidR="00214D15" w:rsidRPr="00EA4922">
        <w:t>; Figure 1</w:t>
      </w:r>
      <w:r w:rsidR="00335116" w:rsidRPr="00EA4922">
        <w:t>)</w:t>
      </w:r>
      <w:r w:rsidR="00214D15" w:rsidRPr="00EA4922">
        <w:t xml:space="preserve">. </w:t>
      </w:r>
      <w:r w:rsidR="00A663F0" w:rsidRPr="00EA4922">
        <w:rPr>
          <w:b/>
          <w:bCs/>
          <w:noProof/>
          <w:sz w:val="40"/>
          <w:szCs w:val="40"/>
        </w:rPr>
        <w:drawing>
          <wp:inline distT="0" distB="0" distL="0" distR="0" wp14:anchorId="66B3C656" wp14:editId="0387A6D0">
            <wp:extent cx="5731510" cy="2806065"/>
            <wp:effectExtent l="0" t="0" r="2540" b="0"/>
            <wp:docPr id="63702484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24845" name="Picture 1" descr="A screen shot of a computer screen&#10;&#10;AI-generated content may be incorrect."/>
                    <pic:cNvPicPr/>
                  </pic:nvPicPr>
                  <pic:blipFill>
                    <a:blip r:embed="rId5"/>
                    <a:stretch>
                      <a:fillRect/>
                    </a:stretch>
                  </pic:blipFill>
                  <pic:spPr>
                    <a:xfrm>
                      <a:off x="0" y="0"/>
                      <a:ext cx="5731510" cy="2806065"/>
                    </a:xfrm>
                    <a:prstGeom prst="rect">
                      <a:avLst/>
                    </a:prstGeom>
                  </pic:spPr>
                </pic:pic>
              </a:graphicData>
            </a:graphic>
          </wp:inline>
        </w:drawing>
      </w:r>
    </w:p>
    <w:p w14:paraId="03C59429" w14:textId="4FE325EA" w:rsidR="00A663F0" w:rsidRPr="00EA4922" w:rsidRDefault="00A663F0" w:rsidP="00104CFD">
      <w:pPr>
        <w:rPr>
          <w:b/>
          <w:bCs/>
        </w:rPr>
      </w:pPr>
      <w:r w:rsidRPr="00EA4922">
        <w:rPr>
          <w:b/>
          <w:bCs/>
        </w:rPr>
        <w:t xml:space="preserve">Figure 1. Integrative Genomics Viewer (IGV) visualising SNPs identified in the </w:t>
      </w:r>
      <w:proofErr w:type="spellStart"/>
      <w:r w:rsidRPr="00EA4922">
        <w:rPr>
          <w:b/>
          <w:bCs/>
        </w:rPr>
        <w:t>forkhead</w:t>
      </w:r>
      <w:proofErr w:type="spellEnd"/>
      <w:r w:rsidRPr="00EA4922">
        <w:rPr>
          <w:b/>
          <w:bCs/>
        </w:rPr>
        <w:t xml:space="preserve"> protein (FKHR) mRNA transcription factor coding sequence</w:t>
      </w:r>
      <w:r w:rsidR="008827CE" w:rsidRPr="00EA4922">
        <w:rPr>
          <w:b/>
          <w:bCs/>
        </w:rPr>
        <w:t>.</w:t>
      </w:r>
    </w:p>
    <w:p w14:paraId="140B1453" w14:textId="317CF893" w:rsidR="00A663F0" w:rsidRPr="00EA4922" w:rsidRDefault="00A663F0" w:rsidP="00A663F0">
      <w:r w:rsidRPr="00EA4922">
        <w:t xml:space="preserve">The three homozygous SNPs were identified as C1103G, T1142C, and T1878A. C1103G induces a non-conservative proline-to-leucine change, which alters the rigid, helix-breaking residue to a </w:t>
      </w:r>
      <w:r w:rsidRPr="00EA4922">
        <w:lastRenderedPageBreak/>
        <w:t xml:space="preserve">positively charged, flexible one. Such changes can disrupt secondary structure, potentially altering protein folding, transcriptional regulation ability and functional domains in DNA-binding proteins like transcription factors (MacArthur and Thornton, 1991; Carland et al., 2004). In contrast, T1142C and T1878A induce phenylalanine-to-leucine substitution, which both have similar size and hydrophobicity, qualities that are typically well-tolerated substitutions in protein structure and function (Brender and Zhang, 2015). </w:t>
      </w:r>
    </w:p>
    <w:p w14:paraId="67A0C3D9" w14:textId="16B90D8F" w:rsidR="0079222C" w:rsidRPr="00EA4922" w:rsidRDefault="00A663F0" w:rsidP="00104CFD">
      <w:r w:rsidRPr="00EA4922">
        <w:t>All candidates</w:t>
      </w:r>
      <w:r w:rsidR="00610A7B" w:rsidRPr="00EA4922">
        <w:t xml:space="preserve"> had high QUAL</w:t>
      </w:r>
      <w:r w:rsidR="00EF217E" w:rsidRPr="00EA4922">
        <w:t>/</w:t>
      </w:r>
      <w:r w:rsidR="00610A7B" w:rsidRPr="00EA4922">
        <w:t>support scores</w:t>
      </w:r>
      <w:r w:rsidR="00EF217E" w:rsidRPr="00EA4922">
        <w:t xml:space="preserve"> and </w:t>
      </w:r>
      <w:r w:rsidR="00375938" w:rsidRPr="00EA4922">
        <w:t>produced an amino acid change</w:t>
      </w:r>
      <w:r w:rsidR="00EF217E" w:rsidRPr="00EA4922">
        <w:t>.</w:t>
      </w:r>
      <w:r w:rsidR="0079222C" w:rsidRPr="00EA4922">
        <w:t xml:space="preserve"> These amino acid changes are under the assumption that the reference is a clean coding sequence starting at position 1 and that it's in frame.</w:t>
      </w:r>
    </w:p>
    <w:p w14:paraId="38EE08F8" w14:textId="77777777" w:rsidR="00A663F0" w:rsidRPr="00EA4922" w:rsidRDefault="00A663F0" w:rsidP="00104CFD"/>
    <w:p w14:paraId="1A064C18" w14:textId="61FCC3BD" w:rsidR="004356FB" w:rsidRPr="00EA4922" w:rsidRDefault="004356FB" w:rsidP="00104CFD">
      <w:pPr>
        <w:rPr>
          <w:b/>
          <w:bCs/>
        </w:rPr>
      </w:pPr>
      <w:r w:rsidRPr="00EA4922">
        <w:rPr>
          <w:b/>
          <w:bCs/>
        </w:rPr>
        <w:t xml:space="preserve">Table </w:t>
      </w:r>
      <w:r w:rsidR="005C0C60" w:rsidRPr="00EA4922">
        <w:rPr>
          <w:b/>
          <w:bCs/>
        </w:rPr>
        <w:t>1</w:t>
      </w:r>
      <w:r w:rsidRPr="00EA4922">
        <w:rPr>
          <w:b/>
          <w:bCs/>
        </w:rPr>
        <w:t xml:space="preserve">. </w:t>
      </w:r>
      <w:r w:rsidR="001860B4" w:rsidRPr="00EA4922">
        <w:rPr>
          <w:b/>
          <w:bCs/>
        </w:rPr>
        <w:t>Summary of h</w:t>
      </w:r>
      <w:r w:rsidRPr="00EA4922">
        <w:rPr>
          <w:b/>
          <w:bCs/>
        </w:rPr>
        <w:t xml:space="preserve">omozygous SNPs identified in the </w:t>
      </w:r>
      <w:r w:rsidR="001860B4" w:rsidRPr="00EA4922">
        <w:rPr>
          <w:b/>
          <w:bCs/>
        </w:rPr>
        <w:t xml:space="preserve">forkhead protein (FKHR) mRNA </w:t>
      </w:r>
      <w:r w:rsidRPr="00EA4922">
        <w:rPr>
          <w:b/>
          <w:bCs/>
        </w:rPr>
        <w:t xml:space="preserve">transcription factor </w:t>
      </w:r>
      <w:r w:rsidR="001860B4" w:rsidRPr="00EA4922">
        <w:rPr>
          <w:b/>
          <w:bCs/>
        </w:rPr>
        <w:t xml:space="preserve">coding </w:t>
      </w:r>
      <w:r w:rsidRPr="00EA4922">
        <w:rPr>
          <w:b/>
          <w:bCs/>
        </w:rPr>
        <w:t>sequence</w:t>
      </w:r>
      <w:r w:rsidR="001860B4" w:rsidRPr="00EA4922">
        <w:rPr>
          <w:b/>
          <w:bCs/>
        </w:rPr>
        <w:t>.</w:t>
      </w:r>
    </w:p>
    <w:tbl>
      <w:tblPr>
        <w:tblStyle w:val="TableGrid"/>
        <w:tblW w:w="11340" w:type="dxa"/>
        <w:tblInd w:w="-1139" w:type="dxa"/>
        <w:tblLook w:val="04A0" w:firstRow="1" w:lastRow="0" w:firstColumn="1" w:lastColumn="0" w:noHBand="0" w:noVBand="1"/>
      </w:tblPr>
      <w:tblGrid>
        <w:gridCol w:w="1114"/>
        <w:gridCol w:w="1540"/>
        <w:gridCol w:w="1558"/>
        <w:gridCol w:w="3804"/>
        <w:gridCol w:w="938"/>
        <w:gridCol w:w="829"/>
        <w:gridCol w:w="1557"/>
      </w:tblGrid>
      <w:tr w:rsidR="00A663F0" w:rsidRPr="00EA4922" w14:paraId="21588151" w14:textId="77777777" w:rsidTr="00A663F0">
        <w:trPr>
          <w:trHeight w:val="541"/>
        </w:trPr>
        <w:tc>
          <w:tcPr>
            <w:tcW w:w="1114" w:type="dxa"/>
          </w:tcPr>
          <w:p w14:paraId="6D7DA06D" w14:textId="4CEBD9C1" w:rsidR="00A663F0" w:rsidRPr="00EA4922" w:rsidRDefault="00A663F0" w:rsidP="00104CFD">
            <w:pPr>
              <w:rPr>
                <w:b/>
                <w:bCs/>
              </w:rPr>
            </w:pPr>
            <w:r w:rsidRPr="00EA4922">
              <w:rPr>
                <w:b/>
                <w:bCs/>
              </w:rPr>
              <w:t>Mutation</w:t>
            </w:r>
          </w:p>
        </w:tc>
        <w:tc>
          <w:tcPr>
            <w:tcW w:w="1580" w:type="dxa"/>
          </w:tcPr>
          <w:p w14:paraId="65E66EA2" w14:textId="1FF164DF" w:rsidR="00A663F0" w:rsidRPr="00EA4922" w:rsidRDefault="00A663F0" w:rsidP="00104CFD">
            <w:pPr>
              <w:rPr>
                <w:b/>
                <w:bCs/>
              </w:rPr>
            </w:pPr>
            <w:r w:rsidRPr="00EA4922">
              <w:rPr>
                <w:b/>
                <w:bCs/>
              </w:rPr>
              <w:t>Codon Change</w:t>
            </w:r>
          </w:p>
        </w:tc>
        <w:tc>
          <w:tcPr>
            <w:tcW w:w="992" w:type="dxa"/>
          </w:tcPr>
          <w:p w14:paraId="542F38C8" w14:textId="2137AEDF" w:rsidR="00A663F0" w:rsidRPr="00EA4922" w:rsidRDefault="00A663F0" w:rsidP="00104CFD">
            <w:pPr>
              <w:rPr>
                <w:b/>
                <w:bCs/>
              </w:rPr>
            </w:pPr>
            <w:r w:rsidRPr="00EA4922">
              <w:rPr>
                <w:b/>
                <w:bCs/>
              </w:rPr>
              <w:t>Amino Acid (AA) Change</w:t>
            </w:r>
          </w:p>
        </w:tc>
        <w:tc>
          <w:tcPr>
            <w:tcW w:w="4329" w:type="dxa"/>
          </w:tcPr>
          <w:p w14:paraId="32A23B21" w14:textId="0433B9B5" w:rsidR="00A663F0" w:rsidRPr="00EA4922" w:rsidRDefault="00A663F0" w:rsidP="00104CFD">
            <w:pPr>
              <w:rPr>
                <w:b/>
                <w:bCs/>
              </w:rPr>
            </w:pPr>
            <w:r w:rsidRPr="00EA4922">
              <w:rPr>
                <w:b/>
                <w:bCs/>
              </w:rPr>
              <w:t>AA Property Change</w:t>
            </w:r>
          </w:p>
        </w:tc>
        <w:tc>
          <w:tcPr>
            <w:tcW w:w="938" w:type="dxa"/>
          </w:tcPr>
          <w:p w14:paraId="26564A72" w14:textId="7A920672" w:rsidR="00A663F0" w:rsidRPr="00EA4922" w:rsidRDefault="00A663F0" w:rsidP="00104CFD">
            <w:pPr>
              <w:rPr>
                <w:b/>
                <w:bCs/>
              </w:rPr>
            </w:pPr>
            <w:r w:rsidRPr="00EA4922">
              <w:rPr>
                <w:b/>
                <w:bCs/>
              </w:rPr>
              <w:t>Quality Score</w:t>
            </w:r>
          </w:p>
        </w:tc>
        <w:tc>
          <w:tcPr>
            <w:tcW w:w="829" w:type="dxa"/>
          </w:tcPr>
          <w:p w14:paraId="118C1D7A" w14:textId="1083723B" w:rsidR="00A663F0" w:rsidRPr="00EA4922" w:rsidRDefault="00A663F0" w:rsidP="00104CFD">
            <w:pPr>
              <w:rPr>
                <w:b/>
                <w:bCs/>
              </w:rPr>
            </w:pPr>
            <w:r w:rsidRPr="00EA4922">
              <w:rPr>
                <w:b/>
                <w:bCs/>
              </w:rPr>
              <w:t>Depth</w:t>
            </w:r>
          </w:p>
        </w:tc>
        <w:tc>
          <w:tcPr>
            <w:tcW w:w="1558" w:type="dxa"/>
          </w:tcPr>
          <w:p w14:paraId="466F37CB" w14:textId="1FC45380" w:rsidR="00A663F0" w:rsidRPr="00EA4922" w:rsidRDefault="00A663F0" w:rsidP="00104CFD">
            <w:pPr>
              <w:rPr>
                <w:b/>
                <w:bCs/>
              </w:rPr>
            </w:pPr>
            <w:r w:rsidRPr="00EA4922">
              <w:rPr>
                <w:b/>
                <w:bCs/>
              </w:rPr>
              <w:t>Alternative Observations</w:t>
            </w:r>
          </w:p>
        </w:tc>
      </w:tr>
      <w:tr w:rsidR="00A663F0" w:rsidRPr="00EA4922" w14:paraId="42D8CE3B" w14:textId="77777777" w:rsidTr="00A663F0">
        <w:trPr>
          <w:trHeight w:val="817"/>
        </w:trPr>
        <w:tc>
          <w:tcPr>
            <w:tcW w:w="1114" w:type="dxa"/>
          </w:tcPr>
          <w:p w14:paraId="5B65D518" w14:textId="0AFE3D34" w:rsidR="00A663F0" w:rsidRPr="00EA4922" w:rsidRDefault="00A663F0" w:rsidP="00104CFD">
            <w:r w:rsidRPr="00EA4922">
              <w:t>C1103G</w:t>
            </w:r>
          </w:p>
        </w:tc>
        <w:tc>
          <w:tcPr>
            <w:tcW w:w="1580" w:type="dxa"/>
          </w:tcPr>
          <w:p w14:paraId="3EB295CF" w14:textId="6BEC2A0A" w:rsidR="00A663F0" w:rsidRPr="00EA4922" w:rsidRDefault="00A663F0" w:rsidP="00104CFD">
            <w:r w:rsidRPr="00EA4922">
              <w:t>CCC</w:t>
            </w:r>
            <w:r w:rsidRPr="00EA4922">
              <w:sym w:font="Wingdings" w:char="F0E8"/>
            </w:r>
            <w:r w:rsidRPr="00EA4922">
              <w:t>CGC</w:t>
            </w:r>
          </w:p>
        </w:tc>
        <w:tc>
          <w:tcPr>
            <w:tcW w:w="992" w:type="dxa"/>
          </w:tcPr>
          <w:p w14:paraId="642A00EF" w14:textId="212E7F51" w:rsidR="00A663F0" w:rsidRPr="00EA4922" w:rsidRDefault="00A663F0" w:rsidP="00104CFD">
            <w:r w:rsidRPr="00EA4922">
              <w:t xml:space="preserve">Proline </w:t>
            </w:r>
            <w:r w:rsidRPr="00EA4922">
              <w:sym w:font="Wingdings" w:char="F0E8"/>
            </w:r>
            <w:r w:rsidRPr="00EA4922">
              <w:t>Arginine</w:t>
            </w:r>
          </w:p>
        </w:tc>
        <w:tc>
          <w:tcPr>
            <w:tcW w:w="4329" w:type="dxa"/>
          </w:tcPr>
          <w:p w14:paraId="3A72CFC1" w14:textId="250A00AB" w:rsidR="00A663F0" w:rsidRPr="00EA4922" w:rsidRDefault="00A663F0" w:rsidP="00104CFD">
            <w:r w:rsidRPr="00EA4922">
              <w:t xml:space="preserve">Non-polar </w:t>
            </w:r>
            <w:r w:rsidRPr="00EA4922">
              <w:sym w:font="Wingdings" w:char="F0E8"/>
            </w:r>
            <w:r w:rsidRPr="00EA4922">
              <w:t>Positively Charged</w:t>
            </w:r>
          </w:p>
        </w:tc>
        <w:tc>
          <w:tcPr>
            <w:tcW w:w="938" w:type="dxa"/>
          </w:tcPr>
          <w:p w14:paraId="65B3B741" w14:textId="4205D8E8" w:rsidR="00A663F0" w:rsidRPr="00EA4922" w:rsidRDefault="00A663F0" w:rsidP="00104CFD">
            <w:r w:rsidRPr="00EA4922">
              <w:t>101150</w:t>
            </w:r>
          </w:p>
        </w:tc>
        <w:tc>
          <w:tcPr>
            <w:tcW w:w="829" w:type="dxa"/>
          </w:tcPr>
          <w:p w14:paraId="6AE94E78" w14:textId="1C3AD974" w:rsidR="00A663F0" w:rsidRPr="00EA4922" w:rsidRDefault="00A663F0" w:rsidP="00104CFD">
            <w:r w:rsidRPr="00EA4922">
              <w:t>6809</w:t>
            </w:r>
          </w:p>
        </w:tc>
        <w:tc>
          <w:tcPr>
            <w:tcW w:w="1558" w:type="dxa"/>
          </w:tcPr>
          <w:p w14:paraId="56D2FA00" w14:textId="675328A4" w:rsidR="00A663F0" w:rsidRPr="00EA4922" w:rsidRDefault="00A663F0" w:rsidP="00104CFD">
            <w:r w:rsidRPr="00EA4922">
              <w:t>6672</w:t>
            </w:r>
          </w:p>
        </w:tc>
      </w:tr>
      <w:tr w:rsidR="00A663F0" w:rsidRPr="00EA4922" w14:paraId="523EF903" w14:textId="77777777" w:rsidTr="00A663F0">
        <w:trPr>
          <w:trHeight w:val="817"/>
        </w:trPr>
        <w:tc>
          <w:tcPr>
            <w:tcW w:w="1114" w:type="dxa"/>
          </w:tcPr>
          <w:p w14:paraId="126C754B" w14:textId="5662E1BD" w:rsidR="00A663F0" w:rsidRPr="00EA4922" w:rsidRDefault="00A663F0" w:rsidP="00104CFD">
            <w:r w:rsidRPr="00EA4922">
              <w:t>T1142C</w:t>
            </w:r>
          </w:p>
        </w:tc>
        <w:tc>
          <w:tcPr>
            <w:tcW w:w="1580" w:type="dxa"/>
          </w:tcPr>
          <w:p w14:paraId="56202B13" w14:textId="005A1B22" w:rsidR="00A663F0" w:rsidRPr="00EA4922" w:rsidRDefault="00A663F0" w:rsidP="00104CFD">
            <w:r w:rsidRPr="00EA4922">
              <w:t>TTC</w:t>
            </w:r>
            <w:r w:rsidRPr="00EA4922">
              <w:sym w:font="Wingdings" w:char="F0E8"/>
            </w:r>
            <w:r w:rsidRPr="00EA4922">
              <w:t>CTC</w:t>
            </w:r>
          </w:p>
        </w:tc>
        <w:tc>
          <w:tcPr>
            <w:tcW w:w="992" w:type="dxa"/>
          </w:tcPr>
          <w:p w14:paraId="2B215F4E" w14:textId="249EA97D" w:rsidR="00A663F0" w:rsidRPr="00EA4922" w:rsidRDefault="00A663F0" w:rsidP="00104CFD">
            <w:r w:rsidRPr="00EA4922">
              <w:t xml:space="preserve">Phenylalanine </w:t>
            </w:r>
            <w:r w:rsidRPr="00EA4922">
              <w:sym w:font="Wingdings" w:char="F0E8"/>
            </w:r>
            <w:r w:rsidRPr="00EA4922">
              <w:t>Leucine</w:t>
            </w:r>
          </w:p>
        </w:tc>
        <w:tc>
          <w:tcPr>
            <w:tcW w:w="4329" w:type="dxa"/>
          </w:tcPr>
          <w:p w14:paraId="3A52004A" w14:textId="29039CB6" w:rsidR="00A663F0" w:rsidRPr="00EA4922" w:rsidRDefault="00A663F0" w:rsidP="00104CFD">
            <w:r w:rsidRPr="00EA4922">
              <w:t xml:space="preserve">Aromatic </w:t>
            </w:r>
            <w:r w:rsidRPr="00EA4922">
              <w:sym w:font="Wingdings" w:char="F0E8"/>
            </w:r>
            <w:r w:rsidRPr="00EA4922">
              <w:t xml:space="preserve"> Aliphatic (hydrophobic)</w:t>
            </w:r>
          </w:p>
        </w:tc>
        <w:tc>
          <w:tcPr>
            <w:tcW w:w="938" w:type="dxa"/>
          </w:tcPr>
          <w:p w14:paraId="638A3D68" w14:textId="23635313" w:rsidR="00A663F0" w:rsidRPr="00EA4922" w:rsidRDefault="00A663F0" w:rsidP="00104CFD">
            <w:r w:rsidRPr="00EA4922">
              <w:t>107039</w:t>
            </w:r>
          </w:p>
        </w:tc>
        <w:tc>
          <w:tcPr>
            <w:tcW w:w="829" w:type="dxa"/>
          </w:tcPr>
          <w:p w14:paraId="6C28C242" w14:textId="09E60237" w:rsidR="00A663F0" w:rsidRPr="00EA4922" w:rsidRDefault="00A663F0" w:rsidP="00104CFD">
            <w:r w:rsidRPr="00EA4922">
              <w:t>7130</w:t>
            </w:r>
          </w:p>
        </w:tc>
        <w:tc>
          <w:tcPr>
            <w:tcW w:w="1558" w:type="dxa"/>
          </w:tcPr>
          <w:p w14:paraId="4E0C28D5" w14:textId="1C6D71FF" w:rsidR="00A663F0" w:rsidRPr="00EA4922" w:rsidRDefault="00A663F0" w:rsidP="00104CFD">
            <w:r w:rsidRPr="00EA4922">
              <w:t>7002</w:t>
            </w:r>
          </w:p>
        </w:tc>
      </w:tr>
      <w:tr w:rsidR="00A663F0" w:rsidRPr="00EA4922" w14:paraId="3B17DA08" w14:textId="77777777" w:rsidTr="00A663F0">
        <w:trPr>
          <w:trHeight w:val="817"/>
        </w:trPr>
        <w:tc>
          <w:tcPr>
            <w:tcW w:w="1114" w:type="dxa"/>
          </w:tcPr>
          <w:p w14:paraId="54E3C2AD" w14:textId="4BFD1B66" w:rsidR="00A663F0" w:rsidRPr="00EA4922" w:rsidRDefault="00A663F0" w:rsidP="004356FB">
            <w:r w:rsidRPr="00EA4922">
              <w:t>T1878A</w:t>
            </w:r>
          </w:p>
        </w:tc>
        <w:tc>
          <w:tcPr>
            <w:tcW w:w="1580" w:type="dxa"/>
          </w:tcPr>
          <w:p w14:paraId="4826A9A6" w14:textId="40963A3A" w:rsidR="00A663F0" w:rsidRPr="00EA4922" w:rsidRDefault="00A663F0" w:rsidP="004356FB">
            <w:r w:rsidRPr="00EA4922">
              <w:t>TTC</w:t>
            </w:r>
            <w:r w:rsidRPr="00EA4922">
              <w:sym w:font="Wingdings" w:char="F0E8"/>
            </w:r>
            <w:r w:rsidRPr="00EA4922">
              <w:t>ATC</w:t>
            </w:r>
          </w:p>
        </w:tc>
        <w:tc>
          <w:tcPr>
            <w:tcW w:w="992" w:type="dxa"/>
          </w:tcPr>
          <w:p w14:paraId="0E471748" w14:textId="29A1402F" w:rsidR="00A663F0" w:rsidRPr="00EA4922" w:rsidRDefault="00A663F0" w:rsidP="004356FB">
            <w:r w:rsidRPr="00EA4922">
              <w:t xml:space="preserve">Phenylalanine </w:t>
            </w:r>
            <w:r w:rsidRPr="00EA4922">
              <w:sym w:font="Wingdings" w:char="F0E8"/>
            </w:r>
            <w:r w:rsidRPr="00EA4922">
              <w:t xml:space="preserve"> Isoleucine</w:t>
            </w:r>
          </w:p>
        </w:tc>
        <w:tc>
          <w:tcPr>
            <w:tcW w:w="4329" w:type="dxa"/>
          </w:tcPr>
          <w:p w14:paraId="5854CDB1" w14:textId="634C4574" w:rsidR="00A663F0" w:rsidRPr="00EA4922" w:rsidRDefault="00A663F0" w:rsidP="004356FB">
            <w:r w:rsidRPr="00EA4922">
              <w:t xml:space="preserve">Aromatic </w:t>
            </w:r>
            <w:r w:rsidRPr="00EA4922">
              <w:sym w:font="Wingdings" w:char="F0E8"/>
            </w:r>
            <w:r w:rsidRPr="00EA4922">
              <w:t xml:space="preserve"> Aliphatic (hydrophobic)</w:t>
            </w:r>
          </w:p>
        </w:tc>
        <w:tc>
          <w:tcPr>
            <w:tcW w:w="938" w:type="dxa"/>
          </w:tcPr>
          <w:p w14:paraId="695A3CD7" w14:textId="32995B71" w:rsidR="00A663F0" w:rsidRPr="00EA4922" w:rsidRDefault="00A663F0" w:rsidP="004356FB">
            <w:r w:rsidRPr="00EA4922">
              <w:t>106998</w:t>
            </w:r>
          </w:p>
        </w:tc>
        <w:tc>
          <w:tcPr>
            <w:tcW w:w="829" w:type="dxa"/>
          </w:tcPr>
          <w:p w14:paraId="14E4F105" w14:textId="23C32567" w:rsidR="00A663F0" w:rsidRPr="00EA4922" w:rsidRDefault="00A663F0" w:rsidP="004356FB">
            <w:r w:rsidRPr="00EA4922">
              <w:t>7214</w:t>
            </w:r>
          </w:p>
        </w:tc>
        <w:tc>
          <w:tcPr>
            <w:tcW w:w="1558" w:type="dxa"/>
          </w:tcPr>
          <w:p w14:paraId="3B4AD0C1" w14:textId="4E94B7C6" w:rsidR="00A663F0" w:rsidRPr="00EA4922" w:rsidRDefault="00A663F0" w:rsidP="004356FB">
            <w:r w:rsidRPr="00EA4922">
              <w:t>7061</w:t>
            </w:r>
          </w:p>
        </w:tc>
      </w:tr>
    </w:tbl>
    <w:p w14:paraId="3FC93ADA" w14:textId="77777777" w:rsidR="00A663F0" w:rsidRPr="00EA4922" w:rsidRDefault="00A663F0" w:rsidP="00A663F0"/>
    <w:p w14:paraId="3A96A9A0" w14:textId="1DBF599D" w:rsidR="00A663F0" w:rsidRPr="00EA4922" w:rsidRDefault="00A663F0" w:rsidP="00A663F0">
      <w:r w:rsidRPr="00EA4922">
        <w:t xml:space="preserve">However, the translated reference sequence was input into </w:t>
      </w:r>
      <w:proofErr w:type="spellStart"/>
      <w:r w:rsidRPr="00EA4922">
        <w:t>InterPro</w:t>
      </w:r>
      <w:proofErr w:type="spellEnd"/>
      <w:r w:rsidRPr="00EA4922">
        <w:t xml:space="preserve"> to assess functional domains. C1103G and T1142C, at translated positions 368 and 381, were not within any functional domains but were at the centre of the FOXO family. Only T1878A, translated to position 626, was identified as within the transactivation domain (TAD; PF16676) of the FOXO protein family (593-634). This domain is known for its promiscuous binding abilities, interacting with CBP/p300’s KIX domain at two distinct binding sites, TAZ1/TAZ2 domains simultaneously, allowing for flexible binding</w:t>
      </w:r>
      <w:r w:rsidR="003970F1" w:rsidRPr="00EA4922">
        <w:t xml:space="preserve"> (Figure 2)</w:t>
      </w:r>
      <w:r w:rsidRPr="00EA4922">
        <w:t>. Changes like an SNP here could affect the protein's ability to recruit coactivators, altering gene expression. Therefore, T1878A has a clear potential to affect the transcriptional capacity of the protein, meaning that this is likely the engineered mutation (Wang et al., 2012).</w:t>
      </w:r>
    </w:p>
    <w:p w14:paraId="0FA9A627" w14:textId="77777777" w:rsidR="0048526A" w:rsidRPr="00EA4922" w:rsidRDefault="0048526A">
      <w:pPr>
        <w:rPr>
          <w:b/>
          <w:bCs/>
          <w:sz w:val="40"/>
          <w:szCs w:val="40"/>
        </w:rPr>
      </w:pPr>
    </w:p>
    <w:p w14:paraId="2897E62A" w14:textId="0F56D573" w:rsidR="006B7AE2" w:rsidRPr="00EA4922" w:rsidRDefault="000C08B6">
      <w:pPr>
        <w:rPr>
          <w:b/>
          <w:bCs/>
          <w:sz w:val="40"/>
          <w:szCs w:val="40"/>
        </w:rPr>
      </w:pPr>
      <w:r w:rsidRPr="00EA4922">
        <w:rPr>
          <w:b/>
          <w:bCs/>
          <w:noProof/>
          <w:sz w:val="40"/>
          <w:szCs w:val="40"/>
        </w:rPr>
        <w:lastRenderedPageBreak/>
        <w:drawing>
          <wp:inline distT="0" distB="0" distL="0" distR="0" wp14:anchorId="11474CCF" wp14:editId="34656187">
            <wp:extent cx="5731510" cy="4896485"/>
            <wp:effectExtent l="0" t="0" r="2540" b="0"/>
            <wp:docPr id="193719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9615" name="Picture 1" descr="A screenshot of a computer&#10;&#10;AI-generated content may be incorrect."/>
                    <pic:cNvPicPr/>
                  </pic:nvPicPr>
                  <pic:blipFill>
                    <a:blip r:embed="rId6"/>
                    <a:stretch>
                      <a:fillRect/>
                    </a:stretch>
                  </pic:blipFill>
                  <pic:spPr>
                    <a:xfrm>
                      <a:off x="0" y="0"/>
                      <a:ext cx="5731510" cy="4896485"/>
                    </a:xfrm>
                    <a:prstGeom prst="rect">
                      <a:avLst/>
                    </a:prstGeom>
                  </pic:spPr>
                </pic:pic>
              </a:graphicData>
            </a:graphic>
          </wp:inline>
        </w:drawing>
      </w:r>
    </w:p>
    <w:p w14:paraId="17AFBBD5" w14:textId="365E0499" w:rsidR="0048526A" w:rsidRPr="00EA4922" w:rsidRDefault="00D0373F">
      <w:r w:rsidRPr="00EA4922">
        <w:rPr>
          <w:b/>
          <w:bCs/>
        </w:rPr>
        <w:t xml:space="preserve">Figure 2. Functional domain analysis of the </w:t>
      </w:r>
      <w:proofErr w:type="spellStart"/>
      <w:r w:rsidRPr="00EA4922">
        <w:rPr>
          <w:b/>
          <w:bCs/>
        </w:rPr>
        <w:t>forkhead</w:t>
      </w:r>
      <w:proofErr w:type="spellEnd"/>
      <w:r w:rsidRPr="00EA4922">
        <w:rPr>
          <w:b/>
          <w:bCs/>
        </w:rPr>
        <w:t xml:space="preserve"> protein (FKHR) mRNA transcription factor using </w:t>
      </w:r>
      <w:proofErr w:type="spellStart"/>
      <w:r w:rsidRPr="00EA4922">
        <w:rPr>
          <w:b/>
          <w:bCs/>
        </w:rPr>
        <w:t>InterPro</w:t>
      </w:r>
      <w:proofErr w:type="spellEnd"/>
      <w:r w:rsidRPr="00EA4922">
        <w:rPr>
          <w:b/>
          <w:bCs/>
        </w:rPr>
        <w:t>.</w:t>
      </w:r>
      <w:r w:rsidR="008827CE" w:rsidRPr="00EA4922">
        <w:t xml:space="preserve"> The functional domains of the transcription factor were used to identify the placement of three SNPs as C1103G (position 368), T1142C (position 381), and T1878A (position 626).</w:t>
      </w:r>
    </w:p>
    <w:p w14:paraId="061D2D7D" w14:textId="4BC58E74" w:rsidR="0066388A" w:rsidRPr="00EA4922" w:rsidRDefault="0066388A">
      <w:pPr>
        <w:rPr>
          <w:b/>
          <w:bCs/>
          <w:sz w:val="40"/>
          <w:szCs w:val="40"/>
        </w:rPr>
      </w:pPr>
      <w:r w:rsidRPr="00EA4922">
        <w:rPr>
          <w:b/>
          <w:bCs/>
          <w:sz w:val="40"/>
          <w:szCs w:val="40"/>
        </w:rPr>
        <w:t>Part B</w:t>
      </w:r>
    </w:p>
    <w:p w14:paraId="0C6F110B" w14:textId="72410773" w:rsidR="008827CE" w:rsidRPr="00EA4922" w:rsidRDefault="00C70016">
      <w:r w:rsidRPr="00EA4922">
        <w:t>Sample metadata and a matrix containing RNA-</w:t>
      </w:r>
      <w:proofErr w:type="spellStart"/>
      <w:r w:rsidRPr="00EA4922">
        <w:t>seq</w:t>
      </w:r>
      <w:proofErr w:type="spellEnd"/>
      <w:r w:rsidRPr="00EA4922">
        <w:t xml:space="preserve"> read counts were loaded into R and processed with the DESeq2 library</w:t>
      </w:r>
      <w:r w:rsidR="008827CE" w:rsidRPr="00EA4922">
        <w:t xml:space="preserve"> (Love, Huber and Anders, 2014)</w:t>
      </w:r>
      <w:r w:rsidR="00F069CB" w:rsidRPr="00EA4922">
        <w:t>. This package performs median ratios normalisation to account for RNA composition bias and sequencing depth. Statistical noise was reduced by removing genes with less than 10 total counts. The mutation (mut) was used in the design,</w:t>
      </w:r>
      <w:r w:rsidR="00783ACB" w:rsidRPr="00EA4922">
        <w:t xml:space="preserve"> with the control as the reference (</w:t>
      </w:r>
      <w:proofErr w:type="spellStart"/>
      <w:r w:rsidR="00783ACB" w:rsidRPr="00EA4922">
        <w:t>ctl</w:t>
      </w:r>
      <w:proofErr w:type="spellEnd"/>
      <w:r w:rsidR="00783ACB" w:rsidRPr="00EA4922">
        <w:t>).</w:t>
      </w:r>
      <w:r w:rsidR="00F069CB" w:rsidRPr="00EA4922">
        <w:t xml:space="preserve"> The</w:t>
      </w:r>
      <w:r w:rsidR="00783ACB" w:rsidRPr="00EA4922">
        <w:t xml:space="preserve"> Wald test</w:t>
      </w:r>
      <w:r w:rsidR="00F069CB" w:rsidRPr="00EA4922">
        <w:t xml:space="preserve"> was used to identify differentially expressed genes (DEGs)</w:t>
      </w:r>
      <w:r w:rsidR="00783ACB" w:rsidRPr="00EA4922">
        <w:t>, a</w:t>
      </w:r>
      <w:r w:rsidR="00F069CB" w:rsidRPr="00EA4922">
        <w:t>djusting</w:t>
      </w:r>
      <w:r w:rsidR="00783ACB" w:rsidRPr="00EA4922">
        <w:t xml:space="preserve"> p-values with the Benjamini-Hochberg method. </w:t>
      </w:r>
    </w:p>
    <w:p w14:paraId="509E6CEA" w14:textId="671E31F2" w:rsidR="00783ACB" w:rsidRPr="00EA4922" w:rsidRDefault="00783ACB">
      <w:pPr>
        <w:rPr>
          <w:b/>
          <w:bCs/>
        </w:rPr>
      </w:pPr>
      <w:r w:rsidRPr="00EA4922">
        <w:rPr>
          <w:b/>
          <w:bCs/>
        </w:rPr>
        <w:t>Reproducibility among replicates</w:t>
      </w:r>
    </w:p>
    <w:p w14:paraId="446083A9" w14:textId="77777777" w:rsidR="00012102" w:rsidRPr="00EA4922" w:rsidRDefault="00F069CB">
      <w:r w:rsidRPr="00EA4922">
        <w:t xml:space="preserve">The PCA plot of the </w:t>
      </w:r>
      <w:proofErr w:type="spellStart"/>
      <w:r w:rsidRPr="00EA4922">
        <w:t>rlog</w:t>
      </w:r>
      <w:proofErr w:type="spellEnd"/>
      <w:r w:rsidRPr="00EA4922">
        <w:t xml:space="preserve">-transformed counts </w:t>
      </w:r>
      <w:r w:rsidR="00784669" w:rsidRPr="00EA4922">
        <w:t>depicts</w:t>
      </w:r>
      <w:r w:rsidRPr="00EA4922">
        <w:t xml:space="preserve"> </w:t>
      </w:r>
      <w:r w:rsidR="00784669" w:rsidRPr="00EA4922">
        <w:t xml:space="preserve">a </w:t>
      </w:r>
      <w:r w:rsidRPr="00EA4922">
        <w:t>clear separation</w:t>
      </w:r>
      <w:r w:rsidR="00784669" w:rsidRPr="00EA4922">
        <w:t xml:space="preserve"> between control and mutant samples along PC1 (99% variance), clustering replicates of each group (Figure </w:t>
      </w:r>
      <w:r w:rsidR="00012102" w:rsidRPr="00EA4922">
        <w:t>3</w:t>
      </w:r>
      <w:r w:rsidR="00784669" w:rsidRPr="00EA4922">
        <w:t>). PC2 accounted for no variance, but only the mutant replicates clustered.</w:t>
      </w:r>
    </w:p>
    <w:p w14:paraId="3211B53C" w14:textId="065DC1CC" w:rsidR="00F069CB" w:rsidRPr="00EA4922" w:rsidRDefault="00F069CB">
      <w:r w:rsidRPr="00EA4922">
        <w:rPr>
          <w:noProof/>
        </w:rPr>
        <w:lastRenderedPageBreak/>
        <w:drawing>
          <wp:inline distT="0" distB="0" distL="0" distR="0" wp14:anchorId="55E057B8" wp14:editId="71D2B880">
            <wp:extent cx="5087060" cy="3172268"/>
            <wp:effectExtent l="0" t="0" r="0" b="9525"/>
            <wp:docPr id="1986952216" name="Picture 1" descr="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52216" name="Picture 1" descr="A graph with numbers and dots&#10;&#10;AI-generated content may be incorrect."/>
                    <pic:cNvPicPr/>
                  </pic:nvPicPr>
                  <pic:blipFill>
                    <a:blip r:embed="rId7"/>
                    <a:stretch>
                      <a:fillRect/>
                    </a:stretch>
                  </pic:blipFill>
                  <pic:spPr>
                    <a:xfrm>
                      <a:off x="0" y="0"/>
                      <a:ext cx="5087060" cy="3172268"/>
                    </a:xfrm>
                    <a:prstGeom prst="rect">
                      <a:avLst/>
                    </a:prstGeom>
                  </pic:spPr>
                </pic:pic>
              </a:graphicData>
            </a:graphic>
          </wp:inline>
        </w:drawing>
      </w:r>
    </w:p>
    <w:p w14:paraId="084CF75F" w14:textId="1B7033DC" w:rsidR="00F069CB" w:rsidRPr="00EA4922" w:rsidRDefault="00784669">
      <w:pPr>
        <w:rPr>
          <w:b/>
          <w:bCs/>
        </w:rPr>
      </w:pPr>
      <w:r w:rsidRPr="00EA4922">
        <w:rPr>
          <w:b/>
          <w:bCs/>
        </w:rPr>
        <w:t xml:space="preserve">Figure </w:t>
      </w:r>
      <w:r w:rsidR="00ED3CD2" w:rsidRPr="00EA4922">
        <w:rPr>
          <w:b/>
          <w:bCs/>
        </w:rPr>
        <w:t>3</w:t>
      </w:r>
      <w:r w:rsidRPr="00EA4922">
        <w:rPr>
          <w:b/>
          <w:bCs/>
        </w:rPr>
        <w:t xml:space="preserve">. PCA of </w:t>
      </w:r>
      <w:proofErr w:type="spellStart"/>
      <w:r w:rsidRPr="00EA4922">
        <w:rPr>
          <w:b/>
          <w:bCs/>
        </w:rPr>
        <w:t>rlog</w:t>
      </w:r>
      <w:proofErr w:type="spellEnd"/>
      <w:r w:rsidRPr="00EA4922">
        <w:rPr>
          <w:b/>
          <w:bCs/>
        </w:rPr>
        <w:t>-transformed data across control and mutant samples</w:t>
      </w:r>
      <w:r w:rsidR="006C6672" w:rsidRPr="00EA4922">
        <w:rPr>
          <w:b/>
          <w:bCs/>
        </w:rPr>
        <w:t>.</w:t>
      </w:r>
    </w:p>
    <w:p w14:paraId="72A4F691" w14:textId="77777777" w:rsidR="00012102" w:rsidRPr="00EA4922" w:rsidRDefault="00012102">
      <w:pPr>
        <w:rPr>
          <w:b/>
          <w:bCs/>
        </w:rPr>
      </w:pPr>
    </w:p>
    <w:p w14:paraId="61298883" w14:textId="77777777" w:rsidR="00012102" w:rsidRPr="00EA4922" w:rsidRDefault="00012102">
      <w:pPr>
        <w:rPr>
          <w:b/>
          <w:bCs/>
        </w:rPr>
      </w:pPr>
    </w:p>
    <w:p w14:paraId="458B54DF" w14:textId="3D9402ED" w:rsidR="00784669" w:rsidRPr="00EA4922" w:rsidRDefault="00012102">
      <w:r w:rsidRPr="00EA4922">
        <w:t xml:space="preserve"> The sample distance matrix confirmed the high intra-group similarity of the mutant samples, less similarity of the control samples, and distinct inter-group differences (Figure 4).</w:t>
      </w:r>
    </w:p>
    <w:p w14:paraId="7D7459BE" w14:textId="619F1F11" w:rsidR="00784669" w:rsidRPr="00EA4922" w:rsidRDefault="006C6672">
      <w:r w:rsidRPr="00EA4922">
        <w:rPr>
          <w:noProof/>
        </w:rPr>
        <w:drawing>
          <wp:inline distT="0" distB="0" distL="0" distR="0" wp14:anchorId="3077AE90" wp14:editId="49E6D0EC">
            <wp:extent cx="5068007" cy="3124636"/>
            <wp:effectExtent l="0" t="0" r="0" b="0"/>
            <wp:docPr id="28306793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67930" name="Picture 1" descr="A diagram of a graph&#10;&#10;AI-generated content may be incorrect."/>
                    <pic:cNvPicPr/>
                  </pic:nvPicPr>
                  <pic:blipFill>
                    <a:blip r:embed="rId8"/>
                    <a:stretch>
                      <a:fillRect/>
                    </a:stretch>
                  </pic:blipFill>
                  <pic:spPr>
                    <a:xfrm>
                      <a:off x="0" y="0"/>
                      <a:ext cx="5068007" cy="3124636"/>
                    </a:xfrm>
                    <a:prstGeom prst="rect">
                      <a:avLst/>
                    </a:prstGeom>
                  </pic:spPr>
                </pic:pic>
              </a:graphicData>
            </a:graphic>
          </wp:inline>
        </w:drawing>
      </w:r>
    </w:p>
    <w:p w14:paraId="144411D1" w14:textId="324128CB" w:rsidR="00F069CB" w:rsidRPr="00EA4922" w:rsidRDefault="006C6672">
      <w:pPr>
        <w:rPr>
          <w:b/>
          <w:bCs/>
        </w:rPr>
      </w:pPr>
      <w:r w:rsidRPr="00EA4922">
        <w:rPr>
          <w:b/>
          <w:bCs/>
        </w:rPr>
        <w:t xml:space="preserve">Figure </w:t>
      </w:r>
      <w:r w:rsidR="00ED3CD2" w:rsidRPr="00EA4922">
        <w:rPr>
          <w:b/>
          <w:bCs/>
        </w:rPr>
        <w:t>4</w:t>
      </w:r>
      <w:r w:rsidRPr="00EA4922">
        <w:rPr>
          <w:b/>
          <w:bCs/>
        </w:rPr>
        <w:t xml:space="preserve">. Sample distance matrix across control and mutant samples. </w:t>
      </w:r>
    </w:p>
    <w:p w14:paraId="5D0FBCFE" w14:textId="77777777" w:rsidR="00F069CB" w:rsidRPr="00EA4922" w:rsidRDefault="00F069CB"/>
    <w:p w14:paraId="386E283D" w14:textId="77777777" w:rsidR="00012102" w:rsidRPr="00EA4922" w:rsidRDefault="00012102" w:rsidP="00D564B7"/>
    <w:p w14:paraId="289FAD35" w14:textId="1167066C" w:rsidR="00D564B7" w:rsidRPr="00EA4922" w:rsidRDefault="00982F37" w:rsidP="00D564B7">
      <w:pPr>
        <w:rPr>
          <w:b/>
          <w:bCs/>
        </w:rPr>
      </w:pPr>
      <w:r w:rsidRPr="00EA4922">
        <w:rPr>
          <w:b/>
          <w:bCs/>
        </w:rPr>
        <w:lastRenderedPageBreak/>
        <w:t>Differential Expression</w:t>
      </w:r>
    </w:p>
    <w:p w14:paraId="09BB8690" w14:textId="15E3B658" w:rsidR="00982F37" w:rsidRPr="00EA4922" w:rsidRDefault="00D564B7">
      <w:r w:rsidRPr="00EA4922">
        <w:t>The MA plot presents log2 fold change against the mean normalised counts</w:t>
      </w:r>
      <w:r w:rsidR="00982F37" w:rsidRPr="00EA4922">
        <w:t xml:space="preserve">, highlighting the 3419 upregulated and 3543 downregulated genes in blue (Figure </w:t>
      </w:r>
      <w:r w:rsidR="00012102" w:rsidRPr="00EA4922">
        <w:t>5</w:t>
      </w:r>
      <w:r w:rsidR="00982F37" w:rsidRPr="00EA4922">
        <w:t>)</w:t>
      </w:r>
      <w:r w:rsidR="00FB3D09" w:rsidRPr="00EA4922">
        <w:t>.</w:t>
      </w:r>
    </w:p>
    <w:p w14:paraId="74E20007" w14:textId="77777777" w:rsidR="00982F37" w:rsidRPr="00EA4922" w:rsidRDefault="00982F37">
      <w:r w:rsidRPr="00EA4922">
        <w:rPr>
          <w:noProof/>
        </w:rPr>
        <w:drawing>
          <wp:inline distT="0" distB="0" distL="0" distR="0" wp14:anchorId="0D92D332" wp14:editId="333ABF5E">
            <wp:extent cx="5000625" cy="2724149"/>
            <wp:effectExtent l="0" t="0" r="0" b="635"/>
            <wp:docPr id="10929400" name="Picture 1"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400" name="Picture 1" descr="A graph of a number of dots&#10;&#10;AI-generated content may be incorrect."/>
                    <pic:cNvPicPr/>
                  </pic:nvPicPr>
                  <pic:blipFill rotWithShape="1">
                    <a:blip r:embed="rId9"/>
                    <a:srcRect t="12270"/>
                    <a:stretch/>
                  </pic:blipFill>
                  <pic:spPr bwMode="auto">
                    <a:xfrm>
                      <a:off x="0" y="0"/>
                      <a:ext cx="5001323" cy="2724529"/>
                    </a:xfrm>
                    <a:prstGeom prst="rect">
                      <a:avLst/>
                    </a:prstGeom>
                    <a:ln>
                      <a:noFill/>
                    </a:ln>
                    <a:extLst>
                      <a:ext uri="{53640926-AAD7-44D8-BBD7-CCE9431645EC}">
                        <a14:shadowObscured xmlns:a14="http://schemas.microsoft.com/office/drawing/2010/main"/>
                      </a:ext>
                    </a:extLst>
                  </pic:spPr>
                </pic:pic>
              </a:graphicData>
            </a:graphic>
          </wp:inline>
        </w:drawing>
      </w:r>
    </w:p>
    <w:p w14:paraId="3EA307F7" w14:textId="02926752" w:rsidR="00982F37" w:rsidRPr="00EA4922" w:rsidRDefault="00982F37">
      <w:pPr>
        <w:rPr>
          <w:b/>
          <w:bCs/>
        </w:rPr>
      </w:pPr>
      <w:r w:rsidRPr="00EA4922">
        <w:rPr>
          <w:b/>
          <w:bCs/>
        </w:rPr>
        <w:t xml:space="preserve">Figure </w:t>
      </w:r>
      <w:r w:rsidR="00ED3CD2" w:rsidRPr="00EA4922">
        <w:rPr>
          <w:b/>
          <w:bCs/>
        </w:rPr>
        <w:t>5</w:t>
      </w:r>
      <w:r w:rsidRPr="00EA4922">
        <w:rPr>
          <w:b/>
          <w:bCs/>
        </w:rPr>
        <w:t xml:space="preserve">. </w:t>
      </w:r>
      <w:r w:rsidR="0071687A" w:rsidRPr="00EA4922">
        <w:rPr>
          <w:b/>
          <w:bCs/>
        </w:rPr>
        <w:t xml:space="preserve">MA plot </w:t>
      </w:r>
      <w:r w:rsidR="00FB3D09" w:rsidRPr="00EA4922">
        <w:rPr>
          <w:b/>
          <w:bCs/>
        </w:rPr>
        <w:t>comparing mutant and control conditions.</w:t>
      </w:r>
      <w:r w:rsidR="008827CE" w:rsidRPr="00EA4922">
        <w:rPr>
          <w:b/>
          <w:bCs/>
        </w:rPr>
        <w:t xml:space="preserve"> </w:t>
      </w:r>
    </w:p>
    <w:p w14:paraId="697B1DCC" w14:textId="4D748AB9" w:rsidR="00FB3D09" w:rsidRPr="00EA4922" w:rsidRDefault="00C2393B">
      <w:r w:rsidRPr="00EA4922">
        <w:t xml:space="preserve">The most significant DEG, </w:t>
      </w:r>
      <w:r w:rsidR="00FB3D09" w:rsidRPr="00EA4922">
        <w:rPr>
          <w:i/>
          <w:iCs/>
        </w:rPr>
        <w:t>ENSG00000025039</w:t>
      </w:r>
      <w:r w:rsidRPr="00EA4922">
        <w:t>,</w:t>
      </w:r>
      <w:r w:rsidR="00FB3D09" w:rsidRPr="00EA4922">
        <w:t xml:space="preserve"> was strongly downregulated in the mutant condition, with normalised counts reducing from over 2000 in the control to less than 200 in the mutant samples (Figure </w:t>
      </w:r>
      <w:r w:rsidR="00012102" w:rsidRPr="00EA4922">
        <w:t>6</w:t>
      </w:r>
      <w:r w:rsidR="00FB3D09" w:rsidRPr="00EA4922">
        <w:t xml:space="preserve">). </w:t>
      </w:r>
      <w:r w:rsidR="00012102" w:rsidRPr="00EA4922">
        <w:t xml:space="preserve">Table 2 presents the top upregulated and downregulated DEGS. </w:t>
      </w:r>
    </w:p>
    <w:p w14:paraId="587FCAEC" w14:textId="77777777" w:rsidR="00FB3D09" w:rsidRPr="00EA4922" w:rsidRDefault="00FB3D09"/>
    <w:p w14:paraId="31228D3A" w14:textId="52837C99" w:rsidR="00FB3D09" w:rsidRPr="00EA4922" w:rsidRDefault="00FB3D09">
      <w:r w:rsidRPr="00EA4922">
        <w:rPr>
          <w:noProof/>
        </w:rPr>
        <w:drawing>
          <wp:inline distT="0" distB="0" distL="0" distR="0" wp14:anchorId="194FE57B" wp14:editId="4E75F852">
            <wp:extent cx="5087060" cy="3153215"/>
            <wp:effectExtent l="0" t="0" r="0" b="9525"/>
            <wp:docPr id="1262006583" name="Picture 1" descr="A white rectangular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06583" name="Picture 1" descr="A white rectangular graph with black text&#10;&#10;AI-generated content may be incorrect."/>
                    <pic:cNvPicPr/>
                  </pic:nvPicPr>
                  <pic:blipFill>
                    <a:blip r:embed="rId10"/>
                    <a:stretch>
                      <a:fillRect/>
                    </a:stretch>
                  </pic:blipFill>
                  <pic:spPr>
                    <a:xfrm>
                      <a:off x="0" y="0"/>
                      <a:ext cx="5087060" cy="3153215"/>
                    </a:xfrm>
                    <a:prstGeom prst="rect">
                      <a:avLst/>
                    </a:prstGeom>
                  </pic:spPr>
                </pic:pic>
              </a:graphicData>
            </a:graphic>
          </wp:inline>
        </w:drawing>
      </w:r>
    </w:p>
    <w:p w14:paraId="6C03A6F9" w14:textId="6CB22D1B" w:rsidR="00FB3D09" w:rsidRPr="00EA4922" w:rsidRDefault="00FB3D09">
      <w:pPr>
        <w:rPr>
          <w:b/>
          <w:bCs/>
        </w:rPr>
      </w:pPr>
      <w:r w:rsidRPr="00EA4922">
        <w:rPr>
          <w:b/>
          <w:bCs/>
        </w:rPr>
        <w:t xml:space="preserve">Figure </w:t>
      </w:r>
      <w:r w:rsidR="00ED3CD2" w:rsidRPr="00EA4922">
        <w:rPr>
          <w:b/>
          <w:bCs/>
        </w:rPr>
        <w:t>6</w:t>
      </w:r>
      <w:r w:rsidRPr="00EA4922">
        <w:rPr>
          <w:b/>
          <w:bCs/>
        </w:rPr>
        <w:t>. ENSG00000025039 expression across control and mutant samples.</w:t>
      </w:r>
    </w:p>
    <w:p w14:paraId="4ACA7868" w14:textId="77777777" w:rsidR="00FB3D09" w:rsidRPr="00EA4922" w:rsidRDefault="00FB3D09"/>
    <w:p w14:paraId="29F84BB3" w14:textId="1DF43705" w:rsidR="00783ACB" w:rsidRPr="00EA4922" w:rsidRDefault="00012102">
      <w:pPr>
        <w:rPr>
          <w:b/>
          <w:bCs/>
        </w:rPr>
      </w:pPr>
      <w:r w:rsidRPr="00EA4922">
        <w:rPr>
          <w:b/>
          <w:bCs/>
        </w:rPr>
        <w:lastRenderedPageBreak/>
        <w:t>Table 2. Top upregulated and downregulated differentially expressed genes across mutant and control samples.</w:t>
      </w:r>
    </w:p>
    <w:p w14:paraId="132CA3F0" w14:textId="748D756F" w:rsidR="00783ACB" w:rsidRPr="00EA4922" w:rsidRDefault="00012102">
      <w:r w:rsidRPr="00EA4922">
        <w:rPr>
          <w:noProof/>
        </w:rPr>
        <w:drawing>
          <wp:inline distT="0" distB="0" distL="0" distR="0" wp14:anchorId="71DF2686" wp14:editId="18D5D58C">
            <wp:extent cx="4934639" cy="3067478"/>
            <wp:effectExtent l="0" t="0" r="0" b="0"/>
            <wp:docPr id="85121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12046" name=""/>
                    <pic:cNvPicPr/>
                  </pic:nvPicPr>
                  <pic:blipFill>
                    <a:blip r:embed="rId11"/>
                    <a:stretch>
                      <a:fillRect/>
                    </a:stretch>
                  </pic:blipFill>
                  <pic:spPr>
                    <a:xfrm>
                      <a:off x="0" y="0"/>
                      <a:ext cx="4934639" cy="3067478"/>
                    </a:xfrm>
                    <a:prstGeom prst="rect">
                      <a:avLst/>
                    </a:prstGeom>
                  </pic:spPr>
                </pic:pic>
              </a:graphicData>
            </a:graphic>
          </wp:inline>
        </w:drawing>
      </w:r>
    </w:p>
    <w:p w14:paraId="552DE006" w14:textId="78C76CDE" w:rsidR="00783ACB" w:rsidRPr="00EA4922" w:rsidRDefault="00C2393B">
      <w:pPr>
        <w:rPr>
          <w:b/>
          <w:bCs/>
        </w:rPr>
      </w:pPr>
      <w:r w:rsidRPr="00EA4922">
        <w:rPr>
          <w:b/>
          <w:bCs/>
        </w:rPr>
        <w:t>Pathway analysis</w:t>
      </w:r>
    </w:p>
    <w:p w14:paraId="2E8DC584" w14:textId="50658C29" w:rsidR="009D2EF6" w:rsidRPr="00EA4922" w:rsidRDefault="00C2393B">
      <w:r w:rsidRPr="00EA4922">
        <w:t xml:space="preserve">GO enrichment analysis was performed using the </w:t>
      </w:r>
      <w:proofErr w:type="spellStart"/>
      <w:r w:rsidRPr="00EA4922">
        <w:t>clusterProfiler</w:t>
      </w:r>
      <w:proofErr w:type="spellEnd"/>
      <w:r w:rsidR="008827CE" w:rsidRPr="00EA4922">
        <w:t xml:space="preserve"> </w:t>
      </w:r>
      <w:r w:rsidRPr="00EA4922">
        <w:t>library</w:t>
      </w:r>
      <w:r w:rsidR="00A23753" w:rsidRPr="00EA4922">
        <w:t xml:space="preserve"> to retrieve biological process (BP) terms</w:t>
      </w:r>
      <w:r w:rsidR="008827CE" w:rsidRPr="00EA4922">
        <w:t xml:space="preserve"> (Yu et al., 2012)</w:t>
      </w:r>
      <w:r w:rsidR="00A23753" w:rsidRPr="00EA4922">
        <w:t>. The mutant sample</w:t>
      </w:r>
      <w:r w:rsidR="009D2EF6" w:rsidRPr="00EA4922">
        <w:t>s</w:t>
      </w:r>
      <w:r w:rsidR="00A23753" w:rsidRPr="00EA4922">
        <w:t xml:space="preserve"> upregulated pathways associated with mRNA processing, chromosome segregation, organelle </w:t>
      </w:r>
      <w:r w:rsidR="00012102" w:rsidRPr="00EA4922">
        <w:t>fusion</w:t>
      </w:r>
      <w:r w:rsidR="00A23753" w:rsidRPr="00EA4922">
        <w:t xml:space="preserve">, </w:t>
      </w:r>
      <w:r w:rsidR="00012102" w:rsidRPr="00EA4922">
        <w:t xml:space="preserve">and </w:t>
      </w:r>
      <w:r w:rsidR="00A23753" w:rsidRPr="00EA4922">
        <w:t>nuclear</w:t>
      </w:r>
      <w:r w:rsidR="009D2EF6" w:rsidRPr="00EA4922">
        <w:t xml:space="preserve"> mitotic</w:t>
      </w:r>
      <w:r w:rsidR="00A23753" w:rsidRPr="00EA4922">
        <w:t xml:space="preserve"> division</w:t>
      </w:r>
      <w:r w:rsidR="009D2EF6" w:rsidRPr="00EA4922">
        <w:t xml:space="preserve"> (Figure </w:t>
      </w:r>
      <w:r w:rsidR="00012102" w:rsidRPr="00EA4922">
        <w:t>6</w:t>
      </w:r>
      <w:r w:rsidR="009D2EF6" w:rsidRPr="00EA4922">
        <w:t xml:space="preserve">). </w:t>
      </w:r>
      <w:r w:rsidR="006604EF" w:rsidRPr="00EA4922">
        <w:t xml:space="preserve">These processes are intricately associated with FOXO transcription factor activity, playing a </w:t>
      </w:r>
      <w:proofErr w:type="spellStart"/>
      <w:r w:rsidR="006604EF" w:rsidRPr="00EA4922">
        <w:t>pivitol</w:t>
      </w:r>
      <w:proofErr w:type="spellEnd"/>
      <w:r w:rsidR="006604EF" w:rsidRPr="00EA4922">
        <w:t xml:space="preserve"> role in regulating genes linked to mitotic fidelity and cell cycle progression (Wang, 2021). </w:t>
      </w:r>
      <w:r w:rsidR="009D2EF6" w:rsidRPr="00EA4922">
        <w:t xml:space="preserve">In contrast, downregulated pathways included monoatomic ion/cation homeostasis, </w:t>
      </w:r>
      <w:proofErr w:type="spellStart"/>
      <w:r w:rsidR="009D2EF6" w:rsidRPr="00EA4922">
        <w:t>macroautophagy</w:t>
      </w:r>
      <w:proofErr w:type="spellEnd"/>
      <w:r w:rsidR="009D2EF6" w:rsidRPr="00EA4922">
        <w:t xml:space="preserve">, lipid catabolic process, and protein localisation to the cell periphery (Figure </w:t>
      </w:r>
      <w:r w:rsidR="00012102" w:rsidRPr="00EA4922">
        <w:t>7</w:t>
      </w:r>
      <w:r w:rsidR="009D2EF6" w:rsidRPr="00EA4922">
        <w:t>)</w:t>
      </w:r>
    </w:p>
    <w:p w14:paraId="5DDC173F" w14:textId="73B4D077" w:rsidR="009D2EF6" w:rsidRPr="00EA4922" w:rsidRDefault="009D2EF6"/>
    <w:p w14:paraId="58F9D119" w14:textId="40A83580" w:rsidR="00783ACB" w:rsidRPr="00EA4922" w:rsidRDefault="00A23753">
      <w:r w:rsidRPr="00EA4922">
        <w:rPr>
          <w:noProof/>
        </w:rPr>
        <w:lastRenderedPageBreak/>
        <w:drawing>
          <wp:inline distT="0" distB="0" distL="0" distR="0" wp14:anchorId="10194A3E" wp14:editId="3D78CA29">
            <wp:extent cx="4080294" cy="3264326"/>
            <wp:effectExtent l="0" t="0" r="0" b="0"/>
            <wp:docPr id="1520044205"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44205" name="Picture 4" descr="A graph with red and blue dot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6106" cy="3268976"/>
                    </a:xfrm>
                    <a:prstGeom prst="rect">
                      <a:avLst/>
                    </a:prstGeom>
                    <a:noFill/>
                    <a:ln>
                      <a:noFill/>
                    </a:ln>
                  </pic:spPr>
                </pic:pic>
              </a:graphicData>
            </a:graphic>
          </wp:inline>
        </w:drawing>
      </w:r>
    </w:p>
    <w:p w14:paraId="289135E8" w14:textId="1E7CDD83" w:rsidR="00A23753" w:rsidRPr="00EA4922" w:rsidRDefault="00A23753">
      <w:r w:rsidRPr="00EA4922">
        <w:t xml:space="preserve">Figure </w:t>
      </w:r>
      <w:r w:rsidR="00ED3CD2" w:rsidRPr="00EA4922">
        <w:t>7</w:t>
      </w:r>
      <w:r w:rsidRPr="00EA4922">
        <w:t xml:space="preserve">. GO enrichment </w:t>
      </w:r>
      <w:r w:rsidR="006604EF" w:rsidRPr="00EA4922">
        <w:t>dot plot</w:t>
      </w:r>
      <w:r w:rsidRPr="00EA4922">
        <w:t xml:space="preserve"> for upregulated genes in the mutant samples.</w:t>
      </w:r>
    </w:p>
    <w:p w14:paraId="58BEDB03" w14:textId="69E69F7B" w:rsidR="00C2393B" w:rsidRPr="00EA4922" w:rsidRDefault="00C2393B" w:rsidP="00C2393B">
      <w:r w:rsidRPr="00EA4922">
        <w:rPr>
          <w:noProof/>
        </w:rPr>
        <w:drawing>
          <wp:inline distT="0" distB="0" distL="0" distR="0" wp14:anchorId="66D371BA" wp14:editId="20CF3719">
            <wp:extent cx="3717985" cy="2974470"/>
            <wp:effectExtent l="0" t="0" r="0" b="0"/>
            <wp:docPr id="1617956729" name="Picture 2" descr="A graph with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56729" name="Picture 2" descr="A graph with dots and lin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8954" cy="2983245"/>
                    </a:xfrm>
                    <a:prstGeom prst="rect">
                      <a:avLst/>
                    </a:prstGeom>
                    <a:noFill/>
                    <a:ln>
                      <a:noFill/>
                    </a:ln>
                  </pic:spPr>
                </pic:pic>
              </a:graphicData>
            </a:graphic>
          </wp:inline>
        </w:drawing>
      </w:r>
    </w:p>
    <w:p w14:paraId="11F3CE26" w14:textId="25167080" w:rsidR="00C2393B" w:rsidRPr="00EA4922" w:rsidRDefault="009D2EF6">
      <w:r w:rsidRPr="00EA4922">
        <w:t xml:space="preserve">Figure </w:t>
      </w:r>
      <w:r w:rsidR="00ED3CD2" w:rsidRPr="00EA4922">
        <w:t>8</w:t>
      </w:r>
      <w:r w:rsidRPr="00EA4922">
        <w:t xml:space="preserve">. GO enrichment </w:t>
      </w:r>
      <w:r w:rsidR="006604EF" w:rsidRPr="00EA4922">
        <w:t>dot plot</w:t>
      </w:r>
      <w:r w:rsidRPr="00EA4922">
        <w:t xml:space="preserve"> for downregulated genes in the mutant samples.</w:t>
      </w:r>
      <w:r w:rsidR="00BC041D" w:rsidRPr="00EA4922">
        <w:t xml:space="preserve"> </w:t>
      </w:r>
      <w:r w:rsidR="000702B8" w:rsidRPr="00EA4922">
        <w:t xml:space="preserve"> </w:t>
      </w:r>
    </w:p>
    <w:p w14:paraId="57D8AA4C" w14:textId="77777777" w:rsidR="00C70016" w:rsidRPr="00EA4922" w:rsidRDefault="00C70016"/>
    <w:p w14:paraId="53822EF4" w14:textId="77777777" w:rsidR="00C70016" w:rsidRPr="00EA4922" w:rsidRDefault="00C70016"/>
    <w:p w14:paraId="51EF355D" w14:textId="77777777" w:rsidR="00C70016" w:rsidRPr="00EA4922" w:rsidRDefault="00C70016"/>
    <w:sectPr w:rsidR="00C70016" w:rsidRPr="00EA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10754"/>
    <w:multiLevelType w:val="multilevel"/>
    <w:tmpl w:val="BC62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1295F"/>
    <w:multiLevelType w:val="multilevel"/>
    <w:tmpl w:val="AFB6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666383">
    <w:abstractNumId w:val="0"/>
  </w:num>
  <w:num w:numId="2" w16cid:durableId="629479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16"/>
    <w:rsid w:val="00012102"/>
    <w:rsid w:val="00062E71"/>
    <w:rsid w:val="0006500A"/>
    <w:rsid w:val="000702B8"/>
    <w:rsid w:val="0008352D"/>
    <w:rsid w:val="000C08B6"/>
    <w:rsid w:val="000C294E"/>
    <w:rsid w:val="000D4F41"/>
    <w:rsid w:val="00104CFD"/>
    <w:rsid w:val="001516BA"/>
    <w:rsid w:val="0015362D"/>
    <w:rsid w:val="0018195A"/>
    <w:rsid w:val="001860B4"/>
    <w:rsid w:val="001E0339"/>
    <w:rsid w:val="00214D15"/>
    <w:rsid w:val="00225775"/>
    <w:rsid w:val="00266099"/>
    <w:rsid w:val="002668FA"/>
    <w:rsid w:val="002A64FA"/>
    <w:rsid w:val="002C1D36"/>
    <w:rsid w:val="002C5C7B"/>
    <w:rsid w:val="00315E02"/>
    <w:rsid w:val="00335116"/>
    <w:rsid w:val="00335CD5"/>
    <w:rsid w:val="00375938"/>
    <w:rsid w:val="0039336D"/>
    <w:rsid w:val="003970F1"/>
    <w:rsid w:val="004356FB"/>
    <w:rsid w:val="00462066"/>
    <w:rsid w:val="00464041"/>
    <w:rsid w:val="0048526A"/>
    <w:rsid w:val="005002DE"/>
    <w:rsid w:val="00501086"/>
    <w:rsid w:val="005222A1"/>
    <w:rsid w:val="00534373"/>
    <w:rsid w:val="00592252"/>
    <w:rsid w:val="005C0C60"/>
    <w:rsid w:val="00610A7B"/>
    <w:rsid w:val="00631FDD"/>
    <w:rsid w:val="006604EF"/>
    <w:rsid w:val="0066388A"/>
    <w:rsid w:val="006B7AE2"/>
    <w:rsid w:val="006C6672"/>
    <w:rsid w:val="006D2905"/>
    <w:rsid w:val="0071687A"/>
    <w:rsid w:val="007532BD"/>
    <w:rsid w:val="00773559"/>
    <w:rsid w:val="00773CDF"/>
    <w:rsid w:val="00783ACB"/>
    <w:rsid w:val="00784669"/>
    <w:rsid w:val="0079222C"/>
    <w:rsid w:val="008249EA"/>
    <w:rsid w:val="008827CE"/>
    <w:rsid w:val="00982F37"/>
    <w:rsid w:val="0098688D"/>
    <w:rsid w:val="009B46D7"/>
    <w:rsid w:val="009D2EF6"/>
    <w:rsid w:val="009E415C"/>
    <w:rsid w:val="00A13544"/>
    <w:rsid w:val="00A23753"/>
    <w:rsid w:val="00A663F0"/>
    <w:rsid w:val="00B525DC"/>
    <w:rsid w:val="00BC041D"/>
    <w:rsid w:val="00BE10C1"/>
    <w:rsid w:val="00C014FC"/>
    <w:rsid w:val="00C2325C"/>
    <w:rsid w:val="00C2393B"/>
    <w:rsid w:val="00C650CE"/>
    <w:rsid w:val="00C70016"/>
    <w:rsid w:val="00D0373F"/>
    <w:rsid w:val="00D40AAC"/>
    <w:rsid w:val="00D564B7"/>
    <w:rsid w:val="00E11899"/>
    <w:rsid w:val="00EA4922"/>
    <w:rsid w:val="00ED3CD2"/>
    <w:rsid w:val="00EF217E"/>
    <w:rsid w:val="00F069CB"/>
    <w:rsid w:val="00F20F61"/>
    <w:rsid w:val="00FB3D09"/>
    <w:rsid w:val="00FC257A"/>
    <w:rsid w:val="00FE0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7DE40"/>
  <w15:chartTrackingRefBased/>
  <w15:docId w15:val="{C6833159-CA96-42E8-AB30-8F120C48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0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0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0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0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0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70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0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0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0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01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70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016"/>
    <w:rPr>
      <w:rFonts w:eastAsiaTheme="majorEastAsia" w:cstheme="majorBidi"/>
      <w:color w:val="272727" w:themeColor="text1" w:themeTint="D8"/>
    </w:rPr>
  </w:style>
  <w:style w:type="paragraph" w:styleId="Title">
    <w:name w:val="Title"/>
    <w:basedOn w:val="Normal"/>
    <w:next w:val="Normal"/>
    <w:link w:val="TitleChar"/>
    <w:uiPriority w:val="10"/>
    <w:qFormat/>
    <w:rsid w:val="00C70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016"/>
    <w:pPr>
      <w:spacing w:before="160"/>
      <w:jc w:val="center"/>
    </w:pPr>
    <w:rPr>
      <w:i/>
      <w:iCs/>
      <w:color w:val="404040" w:themeColor="text1" w:themeTint="BF"/>
    </w:rPr>
  </w:style>
  <w:style w:type="character" w:customStyle="1" w:styleId="QuoteChar">
    <w:name w:val="Quote Char"/>
    <w:basedOn w:val="DefaultParagraphFont"/>
    <w:link w:val="Quote"/>
    <w:uiPriority w:val="29"/>
    <w:rsid w:val="00C70016"/>
    <w:rPr>
      <w:i/>
      <w:iCs/>
      <w:color w:val="404040" w:themeColor="text1" w:themeTint="BF"/>
    </w:rPr>
  </w:style>
  <w:style w:type="paragraph" w:styleId="ListParagraph">
    <w:name w:val="List Paragraph"/>
    <w:basedOn w:val="Normal"/>
    <w:uiPriority w:val="34"/>
    <w:qFormat/>
    <w:rsid w:val="00C70016"/>
    <w:pPr>
      <w:ind w:left="720"/>
      <w:contextualSpacing/>
    </w:pPr>
  </w:style>
  <w:style w:type="character" w:styleId="IntenseEmphasis">
    <w:name w:val="Intense Emphasis"/>
    <w:basedOn w:val="DefaultParagraphFont"/>
    <w:uiPriority w:val="21"/>
    <w:qFormat/>
    <w:rsid w:val="00C70016"/>
    <w:rPr>
      <w:i/>
      <w:iCs/>
      <w:color w:val="0F4761" w:themeColor="accent1" w:themeShade="BF"/>
    </w:rPr>
  </w:style>
  <w:style w:type="paragraph" w:styleId="IntenseQuote">
    <w:name w:val="Intense Quote"/>
    <w:basedOn w:val="Normal"/>
    <w:next w:val="Normal"/>
    <w:link w:val="IntenseQuoteChar"/>
    <w:uiPriority w:val="30"/>
    <w:qFormat/>
    <w:rsid w:val="00C700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016"/>
    <w:rPr>
      <w:i/>
      <w:iCs/>
      <w:color w:val="0F4761" w:themeColor="accent1" w:themeShade="BF"/>
    </w:rPr>
  </w:style>
  <w:style w:type="character" w:styleId="IntenseReference">
    <w:name w:val="Intense Reference"/>
    <w:basedOn w:val="DefaultParagraphFont"/>
    <w:uiPriority w:val="32"/>
    <w:qFormat/>
    <w:rsid w:val="00C70016"/>
    <w:rPr>
      <w:b/>
      <w:bCs/>
      <w:smallCaps/>
      <w:color w:val="0F4761" w:themeColor="accent1" w:themeShade="BF"/>
      <w:spacing w:val="5"/>
    </w:rPr>
  </w:style>
  <w:style w:type="character" w:styleId="Hyperlink">
    <w:name w:val="Hyperlink"/>
    <w:basedOn w:val="DefaultParagraphFont"/>
    <w:uiPriority w:val="99"/>
    <w:unhideWhenUsed/>
    <w:rsid w:val="005222A1"/>
    <w:rPr>
      <w:color w:val="467886" w:themeColor="hyperlink"/>
      <w:u w:val="single"/>
    </w:rPr>
  </w:style>
  <w:style w:type="character" w:styleId="UnresolvedMention">
    <w:name w:val="Unresolved Mention"/>
    <w:basedOn w:val="DefaultParagraphFont"/>
    <w:uiPriority w:val="99"/>
    <w:semiHidden/>
    <w:unhideWhenUsed/>
    <w:rsid w:val="005222A1"/>
    <w:rPr>
      <w:color w:val="605E5C"/>
      <w:shd w:val="clear" w:color="auto" w:fill="E1DFDD"/>
    </w:rPr>
  </w:style>
  <w:style w:type="table" w:styleId="TableGrid">
    <w:name w:val="Table Grid"/>
    <w:basedOn w:val="TableNormal"/>
    <w:uiPriority w:val="39"/>
    <w:rsid w:val="00534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1F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83679">
      <w:bodyDiv w:val="1"/>
      <w:marLeft w:val="0"/>
      <w:marRight w:val="0"/>
      <w:marTop w:val="0"/>
      <w:marBottom w:val="0"/>
      <w:divBdr>
        <w:top w:val="none" w:sz="0" w:space="0" w:color="auto"/>
        <w:left w:val="none" w:sz="0" w:space="0" w:color="auto"/>
        <w:bottom w:val="none" w:sz="0" w:space="0" w:color="auto"/>
        <w:right w:val="none" w:sz="0" w:space="0" w:color="auto"/>
      </w:divBdr>
    </w:div>
    <w:div w:id="282152155">
      <w:bodyDiv w:val="1"/>
      <w:marLeft w:val="0"/>
      <w:marRight w:val="0"/>
      <w:marTop w:val="0"/>
      <w:marBottom w:val="0"/>
      <w:divBdr>
        <w:top w:val="none" w:sz="0" w:space="0" w:color="auto"/>
        <w:left w:val="none" w:sz="0" w:space="0" w:color="auto"/>
        <w:bottom w:val="none" w:sz="0" w:space="0" w:color="auto"/>
        <w:right w:val="none" w:sz="0" w:space="0" w:color="auto"/>
      </w:divBdr>
      <w:divsChild>
        <w:div w:id="1960405989">
          <w:marLeft w:val="0"/>
          <w:marRight w:val="0"/>
          <w:marTop w:val="0"/>
          <w:marBottom w:val="0"/>
          <w:divBdr>
            <w:top w:val="none" w:sz="0" w:space="0" w:color="auto"/>
            <w:left w:val="none" w:sz="0" w:space="0" w:color="auto"/>
            <w:bottom w:val="none" w:sz="0" w:space="0" w:color="auto"/>
            <w:right w:val="none" w:sz="0" w:space="0" w:color="auto"/>
          </w:divBdr>
        </w:div>
        <w:div w:id="1489904167">
          <w:marLeft w:val="0"/>
          <w:marRight w:val="0"/>
          <w:marTop w:val="0"/>
          <w:marBottom w:val="0"/>
          <w:divBdr>
            <w:top w:val="none" w:sz="0" w:space="0" w:color="auto"/>
            <w:left w:val="none" w:sz="0" w:space="0" w:color="auto"/>
            <w:bottom w:val="none" w:sz="0" w:space="0" w:color="auto"/>
            <w:right w:val="none" w:sz="0" w:space="0" w:color="auto"/>
          </w:divBdr>
        </w:div>
        <w:div w:id="835993143">
          <w:marLeft w:val="0"/>
          <w:marRight w:val="0"/>
          <w:marTop w:val="0"/>
          <w:marBottom w:val="0"/>
          <w:divBdr>
            <w:top w:val="none" w:sz="0" w:space="0" w:color="auto"/>
            <w:left w:val="none" w:sz="0" w:space="0" w:color="auto"/>
            <w:bottom w:val="none" w:sz="0" w:space="0" w:color="auto"/>
            <w:right w:val="none" w:sz="0" w:space="0" w:color="auto"/>
          </w:divBdr>
        </w:div>
        <w:div w:id="1687975370">
          <w:marLeft w:val="0"/>
          <w:marRight w:val="0"/>
          <w:marTop w:val="0"/>
          <w:marBottom w:val="0"/>
          <w:divBdr>
            <w:top w:val="none" w:sz="0" w:space="0" w:color="auto"/>
            <w:left w:val="none" w:sz="0" w:space="0" w:color="auto"/>
            <w:bottom w:val="none" w:sz="0" w:space="0" w:color="auto"/>
            <w:right w:val="none" w:sz="0" w:space="0" w:color="auto"/>
          </w:divBdr>
        </w:div>
        <w:div w:id="1991055622">
          <w:marLeft w:val="0"/>
          <w:marRight w:val="0"/>
          <w:marTop w:val="0"/>
          <w:marBottom w:val="0"/>
          <w:divBdr>
            <w:top w:val="none" w:sz="0" w:space="0" w:color="auto"/>
            <w:left w:val="none" w:sz="0" w:space="0" w:color="auto"/>
            <w:bottom w:val="none" w:sz="0" w:space="0" w:color="auto"/>
            <w:right w:val="none" w:sz="0" w:space="0" w:color="auto"/>
          </w:divBdr>
        </w:div>
        <w:div w:id="35591380">
          <w:marLeft w:val="0"/>
          <w:marRight w:val="0"/>
          <w:marTop w:val="0"/>
          <w:marBottom w:val="0"/>
          <w:divBdr>
            <w:top w:val="none" w:sz="0" w:space="0" w:color="auto"/>
            <w:left w:val="none" w:sz="0" w:space="0" w:color="auto"/>
            <w:bottom w:val="none" w:sz="0" w:space="0" w:color="auto"/>
            <w:right w:val="none" w:sz="0" w:space="0" w:color="auto"/>
          </w:divBdr>
        </w:div>
        <w:div w:id="182791545">
          <w:marLeft w:val="0"/>
          <w:marRight w:val="0"/>
          <w:marTop w:val="0"/>
          <w:marBottom w:val="0"/>
          <w:divBdr>
            <w:top w:val="none" w:sz="0" w:space="0" w:color="auto"/>
            <w:left w:val="none" w:sz="0" w:space="0" w:color="auto"/>
            <w:bottom w:val="none" w:sz="0" w:space="0" w:color="auto"/>
            <w:right w:val="none" w:sz="0" w:space="0" w:color="auto"/>
          </w:divBdr>
        </w:div>
        <w:div w:id="280041589">
          <w:marLeft w:val="0"/>
          <w:marRight w:val="0"/>
          <w:marTop w:val="0"/>
          <w:marBottom w:val="0"/>
          <w:divBdr>
            <w:top w:val="none" w:sz="0" w:space="0" w:color="auto"/>
            <w:left w:val="none" w:sz="0" w:space="0" w:color="auto"/>
            <w:bottom w:val="none" w:sz="0" w:space="0" w:color="auto"/>
            <w:right w:val="none" w:sz="0" w:space="0" w:color="auto"/>
          </w:divBdr>
        </w:div>
      </w:divsChild>
    </w:div>
    <w:div w:id="317853065">
      <w:bodyDiv w:val="1"/>
      <w:marLeft w:val="0"/>
      <w:marRight w:val="0"/>
      <w:marTop w:val="0"/>
      <w:marBottom w:val="0"/>
      <w:divBdr>
        <w:top w:val="none" w:sz="0" w:space="0" w:color="auto"/>
        <w:left w:val="none" w:sz="0" w:space="0" w:color="auto"/>
        <w:bottom w:val="none" w:sz="0" w:space="0" w:color="auto"/>
        <w:right w:val="none" w:sz="0" w:space="0" w:color="auto"/>
      </w:divBdr>
    </w:div>
    <w:div w:id="320429472">
      <w:bodyDiv w:val="1"/>
      <w:marLeft w:val="0"/>
      <w:marRight w:val="0"/>
      <w:marTop w:val="0"/>
      <w:marBottom w:val="0"/>
      <w:divBdr>
        <w:top w:val="none" w:sz="0" w:space="0" w:color="auto"/>
        <w:left w:val="none" w:sz="0" w:space="0" w:color="auto"/>
        <w:bottom w:val="none" w:sz="0" w:space="0" w:color="auto"/>
        <w:right w:val="none" w:sz="0" w:space="0" w:color="auto"/>
      </w:divBdr>
    </w:div>
    <w:div w:id="376050779">
      <w:bodyDiv w:val="1"/>
      <w:marLeft w:val="0"/>
      <w:marRight w:val="0"/>
      <w:marTop w:val="0"/>
      <w:marBottom w:val="0"/>
      <w:divBdr>
        <w:top w:val="none" w:sz="0" w:space="0" w:color="auto"/>
        <w:left w:val="none" w:sz="0" w:space="0" w:color="auto"/>
        <w:bottom w:val="none" w:sz="0" w:space="0" w:color="auto"/>
        <w:right w:val="none" w:sz="0" w:space="0" w:color="auto"/>
      </w:divBdr>
    </w:div>
    <w:div w:id="399601708">
      <w:bodyDiv w:val="1"/>
      <w:marLeft w:val="0"/>
      <w:marRight w:val="0"/>
      <w:marTop w:val="0"/>
      <w:marBottom w:val="0"/>
      <w:divBdr>
        <w:top w:val="none" w:sz="0" w:space="0" w:color="auto"/>
        <w:left w:val="none" w:sz="0" w:space="0" w:color="auto"/>
        <w:bottom w:val="none" w:sz="0" w:space="0" w:color="auto"/>
        <w:right w:val="none" w:sz="0" w:space="0" w:color="auto"/>
      </w:divBdr>
    </w:div>
    <w:div w:id="440998169">
      <w:bodyDiv w:val="1"/>
      <w:marLeft w:val="0"/>
      <w:marRight w:val="0"/>
      <w:marTop w:val="0"/>
      <w:marBottom w:val="0"/>
      <w:divBdr>
        <w:top w:val="none" w:sz="0" w:space="0" w:color="auto"/>
        <w:left w:val="none" w:sz="0" w:space="0" w:color="auto"/>
        <w:bottom w:val="none" w:sz="0" w:space="0" w:color="auto"/>
        <w:right w:val="none" w:sz="0" w:space="0" w:color="auto"/>
      </w:divBdr>
    </w:div>
    <w:div w:id="513810918">
      <w:bodyDiv w:val="1"/>
      <w:marLeft w:val="0"/>
      <w:marRight w:val="0"/>
      <w:marTop w:val="0"/>
      <w:marBottom w:val="0"/>
      <w:divBdr>
        <w:top w:val="none" w:sz="0" w:space="0" w:color="auto"/>
        <w:left w:val="none" w:sz="0" w:space="0" w:color="auto"/>
        <w:bottom w:val="none" w:sz="0" w:space="0" w:color="auto"/>
        <w:right w:val="none" w:sz="0" w:space="0" w:color="auto"/>
      </w:divBdr>
    </w:div>
    <w:div w:id="526915160">
      <w:bodyDiv w:val="1"/>
      <w:marLeft w:val="0"/>
      <w:marRight w:val="0"/>
      <w:marTop w:val="0"/>
      <w:marBottom w:val="0"/>
      <w:divBdr>
        <w:top w:val="none" w:sz="0" w:space="0" w:color="auto"/>
        <w:left w:val="none" w:sz="0" w:space="0" w:color="auto"/>
        <w:bottom w:val="none" w:sz="0" w:space="0" w:color="auto"/>
        <w:right w:val="none" w:sz="0" w:space="0" w:color="auto"/>
      </w:divBdr>
    </w:div>
    <w:div w:id="591596827">
      <w:bodyDiv w:val="1"/>
      <w:marLeft w:val="0"/>
      <w:marRight w:val="0"/>
      <w:marTop w:val="0"/>
      <w:marBottom w:val="0"/>
      <w:divBdr>
        <w:top w:val="none" w:sz="0" w:space="0" w:color="auto"/>
        <w:left w:val="none" w:sz="0" w:space="0" w:color="auto"/>
        <w:bottom w:val="none" w:sz="0" w:space="0" w:color="auto"/>
        <w:right w:val="none" w:sz="0" w:space="0" w:color="auto"/>
      </w:divBdr>
    </w:div>
    <w:div w:id="633877082">
      <w:bodyDiv w:val="1"/>
      <w:marLeft w:val="0"/>
      <w:marRight w:val="0"/>
      <w:marTop w:val="0"/>
      <w:marBottom w:val="0"/>
      <w:divBdr>
        <w:top w:val="none" w:sz="0" w:space="0" w:color="auto"/>
        <w:left w:val="none" w:sz="0" w:space="0" w:color="auto"/>
        <w:bottom w:val="none" w:sz="0" w:space="0" w:color="auto"/>
        <w:right w:val="none" w:sz="0" w:space="0" w:color="auto"/>
      </w:divBdr>
    </w:div>
    <w:div w:id="722947058">
      <w:bodyDiv w:val="1"/>
      <w:marLeft w:val="0"/>
      <w:marRight w:val="0"/>
      <w:marTop w:val="0"/>
      <w:marBottom w:val="0"/>
      <w:divBdr>
        <w:top w:val="none" w:sz="0" w:space="0" w:color="auto"/>
        <w:left w:val="none" w:sz="0" w:space="0" w:color="auto"/>
        <w:bottom w:val="none" w:sz="0" w:space="0" w:color="auto"/>
        <w:right w:val="none" w:sz="0" w:space="0" w:color="auto"/>
      </w:divBdr>
    </w:div>
    <w:div w:id="818575975">
      <w:bodyDiv w:val="1"/>
      <w:marLeft w:val="0"/>
      <w:marRight w:val="0"/>
      <w:marTop w:val="0"/>
      <w:marBottom w:val="0"/>
      <w:divBdr>
        <w:top w:val="none" w:sz="0" w:space="0" w:color="auto"/>
        <w:left w:val="none" w:sz="0" w:space="0" w:color="auto"/>
        <w:bottom w:val="none" w:sz="0" w:space="0" w:color="auto"/>
        <w:right w:val="none" w:sz="0" w:space="0" w:color="auto"/>
      </w:divBdr>
    </w:div>
    <w:div w:id="847334307">
      <w:bodyDiv w:val="1"/>
      <w:marLeft w:val="0"/>
      <w:marRight w:val="0"/>
      <w:marTop w:val="0"/>
      <w:marBottom w:val="0"/>
      <w:divBdr>
        <w:top w:val="none" w:sz="0" w:space="0" w:color="auto"/>
        <w:left w:val="none" w:sz="0" w:space="0" w:color="auto"/>
        <w:bottom w:val="none" w:sz="0" w:space="0" w:color="auto"/>
        <w:right w:val="none" w:sz="0" w:space="0" w:color="auto"/>
      </w:divBdr>
    </w:div>
    <w:div w:id="948706205">
      <w:bodyDiv w:val="1"/>
      <w:marLeft w:val="0"/>
      <w:marRight w:val="0"/>
      <w:marTop w:val="0"/>
      <w:marBottom w:val="0"/>
      <w:divBdr>
        <w:top w:val="none" w:sz="0" w:space="0" w:color="auto"/>
        <w:left w:val="none" w:sz="0" w:space="0" w:color="auto"/>
        <w:bottom w:val="none" w:sz="0" w:space="0" w:color="auto"/>
        <w:right w:val="none" w:sz="0" w:space="0" w:color="auto"/>
      </w:divBdr>
    </w:div>
    <w:div w:id="966424479">
      <w:bodyDiv w:val="1"/>
      <w:marLeft w:val="0"/>
      <w:marRight w:val="0"/>
      <w:marTop w:val="0"/>
      <w:marBottom w:val="0"/>
      <w:divBdr>
        <w:top w:val="none" w:sz="0" w:space="0" w:color="auto"/>
        <w:left w:val="none" w:sz="0" w:space="0" w:color="auto"/>
        <w:bottom w:val="none" w:sz="0" w:space="0" w:color="auto"/>
        <w:right w:val="none" w:sz="0" w:space="0" w:color="auto"/>
      </w:divBdr>
    </w:div>
    <w:div w:id="1013800523">
      <w:bodyDiv w:val="1"/>
      <w:marLeft w:val="0"/>
      <w:marRight w:val="0"/>
      <w:marTop w:val="0"/>
      <w:marBottom w:val="0"/>
      <w:divBdr>
        <w:top w:val="none" w:sz="0" w:space="0" w:color="auto"/>
        <w:left w:val="none" w:sz="0" w:space="0" w:color="auto"/>
        <w:bottom w:val="none" w:sz="0" w:space="0" w:color="auto"/>
        <w:right w:val="none" w:sz="0" w:space="0" w:color="auto"/>
      </w:divBdr>
    </w:div>
    <w:div w:id="1062481659">
      <w:bodyDiv w:val="1"/>
      <w:marLeft w:val="0"/>
      <w:marRight w:val="0"/>
      <w:marTop w:val="0"/>
      <w:marBottom w:val="0"/>
      <w:divBdr>
        <w:top w:val="none" w:sz="0" w:space="0" w:color="auto"/>
        <w:left w:val="none" w:sz="0" w:space="0" w:color="auto"/>
        <w:bottom w:val="none" w:sz="0" w:space="0" w:color="auto"/>
        <w:right w:val="none" w:sz="0" w:space="0" w:color="auto"/>
      </w:divBdr>
    </w:div>
    <w:div w:id="1070615573">
      <w:bodyDiv w:val="1"/>
      <w:marLeft w:val="0"/>
      <w:marRight w:val="0"/>
      <w:marTop w:val="0"/>
      <w:marBottom w:val="0"/>
      <w:divBdr>
        <w:top w:val="none" w:sz="0" w:space="0" w:color="auto"/>
        <w:left w:val="none" w:sz="0" w:space="0" w:color="auto"/>
        <w:bottom w:val="none" w:sz="0" w:space="0" w:color="auto"/>
        <w:right w:val="none" w:sz="0" w:space="0" w:color="auto"/>
      </w:divBdr>
    </w:div>
    <w:div w:id="1117290012">
      <w:bodyDiv w:val="1"/>
      <w:marLeft w:val="0"/>
      <w:marRight w:val="0"/>
      <w:marTop w:val="0"/>
      <w:marBottom w:val="0"/>
      <w:divBdr>
        <w:top w:val="none" w:sz="0" w:space="0" w:color="auto"/>
        <w:left w:val="none" w:sz="0" w:space="0" w:color="auto"/>
        <w:bottom w:val="none" w:sz="0" w:space="0" w:color="auto"/>
        <w:right w:val="none" w:sz="0" w:space="0" w:color="auto"/>
      </w:divBdr>
    </w:div>
    <w:div w:id="1202135455">
      <w:bodyDiv w:val="1"/>
      <w:marLeft w:val="0"/>
      <w:marRight w:val="0"/>
      <w:marTop w:val="0"/>
      <w:marBottom w:val="0"/>
      <w:divBdr>
        <w:top w:val="none" w:sz="0" w:space="0" w:color="auto"/>
        <w:left w:val="none" w:sz="0" w:space="0" w:color="auto"/>
        <w:bottom w:val="none" w:sz="0" w:space="0" w:color="auto"/>
        <w:right w:val="none" w:sz="0" w:space="0" w:color="auto"/>
      </w:divBdr>
    </w:div>
    <w:div w:id="1203442866">
      <w:bodyDiv w:val="1"/>
      <w:marLeft w:val="0"/>
      <w:marRight w:val="0"/>
      <w:marTop w:val="0"/>
      <w:marBottom w:val="0"/>
      <w:divBdr>
        <w:top w:val="none" w:sz="0" w:space="0" w:color="auto"/>
        <w:left w:val="none" w:sz="0" w:space="0" w:color="auto"/>
        <w:bottom w:val="none" w:sz="0" w:space="0" w:color="auto"/>
        <w:right w:val="none" w:sz="0" w:space="0" w:color="auto"/>
      </w:divBdr>
    </w:div>
    <w:div w:id="1240750107">
      <w:bodyDiv w:val="1"/>
      <w:marLeft w:val="0"/>
      <w:marRight w:val="0"/>
      <w:marTop w:val="0"/>
      <w:marBottom w:val="0"/>
      <w:divBdr>
        <w:top w:val="none" w:sz="0" w:space="0" w:color="auto"/>
        <w:left w:val="none" w:sz="0" w:space="0" w:color="auto"/>
        <w:bottom w:val="none" w:sz="0" w:space="0" w:color="auto"/>
        <w:right w:val="none" w:sz="0" w:space="0" w:color="auto"/>
      </w:divBdr>
    </w:div>
    <w:div w:id="1270088159">
      <w:bodyDiv w:val="1"/>
      <w:marLeft w:val="0"/>
      <w:marRight w:val="0"/>
      <w:marTop w:val="0"/>
      <w:marBottom w:val="0"/>
      <w:divBdr>
        <w:top w:val="none" w:sz="0" w:space="0" w:color="auto"/>
        <w:left w:val="none" w:sz="0" w:space="0" w:color="auto"/>
        <w:bottom w:val="none" w:sz="0" w:space="0" w:color="auto"/>
        <w:right w:val="none" w:sz="0" w:space="0" w:color="auto"/>
      </w:divBdr>
    </w:div>
    <w:div w:id="1436244418">
      <w:bodyDiv w:val="1"/>
      <w:marLeft w:val="0"/>
      <w:marRight w:val="0"/>
      <w:marTop w:val="0"/>
      <w:marBottom w:val="0"/>
      <w:divBdr>
        <w:top w:val="none" w:sz="0" w:space="0" w:color="auto"/>
        <w:left w:val="none" w:sz="0" w:space="0" w:color="auto"/>
        <w:bottom w:val="none" w:sz="0" w:space="0" w:color="auto"/>
        <w:right w:val="none" w:sz="0" w:space="0" w:color="auto"/>
      </w:divBdr>
    </w:div>
    <w:div w:id="1483546681">
      <w:bodyDiv w:val="1"/>
      <w:marLeft w:val="0"/>
      <w:marRight w:val="0"/>
      <w:marTop w:val="0"/>
      <w:marBottom w:val="0"/>
      <w:divBdr>
        <w:top w:val="none" w:sz="0" w:space="0" w:color="auto"/>
        <w:left w:val="none" w:sz="0" w:space="0" w:color="auto"/>
        <w:bottom w:val="none" w:sz="0" w:space="0" w:color="auto"/>
        <w:right w:val="none" w:sz="0" w:space="0" w:color="auto"/>
      </w:divBdr>
    </w:div>
    <w:div w:id="1553688284">
      <w:bodyDiv w:val="1"/>
      <w:marLeft w:val="0"/>
      <w:marRight w:val="0"/>
      <w:marTop w:val="0"/>
      <w:marBottom w:val="0"/>
      <w:divBdr>
        <w:top w:val="none" w:sz="0" w:space="0" w:color="auto"/>
        <w:left w:val="none" w:sz="0" w:space="0" w:color="auto"/>
        <w:bottom w:val="none" w:sz="0" w:space="0" w:color="auto"/>
        <w:right w:val="none" w:sz="0" w:space="0" w:color="auto"/>
      </w:divBdr>
    </w:div>
    <w:div w:id="1588420384">
      <w:bodyDiv w:val="1"/>
      <w:marLeft w:val="0"/>
      <w:marRight w:val="0"/>
      <w:marTop w:val="0"/>
      <w:marBottom w:val="0"/>
      <w:divBdr>
        <w:top w:val="none" w:sz="0" w:space="0" w:color="auto"/>
        <w:left w:val="none" w:sz="0" w:space="0" w:color="auto"/>
        <w:bottom w:val="none" w:sz="0" w:space="0" w:color="auto"/>
        <w:right w:val="none" w:sz="0" w:space="0" w:color="auto"/>
      </w:divBdr>
    </w:div>
    <w:div w:id="1729958071">
      <w:bodyDiv w:val="1"/>
      <w:marLeft w:val="0"/>
      <w:marRight w:val="0"/>
      <w:marTop w:val="0"/>
      <w:marBottom w:val="0"/>
      <w:divBdr>
        <w:top w:val="none" w:sz="0" w:space="0" w:color="auto"/>
        <w:left w:val="none" w:sz="0" w:space="0" w:color="auto"/>
        <w:bottom w:val="none" w:sz="0" w:space="0" w:color="auto"/>
        <w:right w:val="none" w:sz="0" w:space="0" w:color="auto"/>
      </w:divBdr>
    </w:div>
    <w:div w:id="1879124284">
      <w:bodyDiv w:val="1"/>
      <w:marLeft w:val="0"/>
      <w:marRight w:val="0"/>
      <w:marTop w:val="0"/>
      <w:marBottom w:val="0"/>
      <w:divBdr>
        <w:top w:val="none" w:sz="0" w:space="0" w:color="auto"/>
        <w:left w:val="none" w:sz="0" w:space="0" w:color="auto"/>
        <w:bottom w:val="none" w:sz="0" w:space="0" w:color="auto"/>
        <w:right w:val="none" w:sz="0" w:space="0" w:color="auto"/>
      </w:divBdr>
    </w:div>
    <w:div w:id="1888029376">
      <w:bodyDiv w:val="1"/>
      <w:marLeft w:val="0"/>
      <w:marRight w:val="0"/>
      <w:marTop w:val="0"/>
      <w:marBottom w:val="0"/>
      <w:divBdr>
        <w:top w:val="none" w:sz="0" w:space="0" w:color="auto"/>
        <w:left w:val="none" w:sz="0" w:space="0" w:color="auto"/>
        <w:bottom w:val="none" w:sz="0" w:space="0" w:color="auto"/>
        <w:right w:val="none" w:sz="0" w:space="0" w:color="auto"/>
      </w:divBdr>
    </w:div>
    <w:div w:id="1893614546">
      <w:bodyDiv w:val="1"/>
      <w:marLeft w:val="0"/>
      <w:marRight w:val="0"/>
      <w:marTop w:val="0"/>
      <w:marBottom w:val="0"/>
      <w:divBdr>
        <w:top w:val="none" w:sz="0" w:space="0" w:color="auto"/>
        <w:left w:val="none" w:sz="0" w:space="0" w:color="auto"/>
        <w:bottom w:val="none" w:sz="0" w:space="0" w:color="auto"/>
        <w:right w:val="none" w:sz="0" w:space="0" w:color="auto"/>
      </w:divBdr>
    </w:div>
    <w:div w:id="1904952523">
      <w:bodyDiv w:val="1"/>
      <w:marLeft w:val="0"/>
      <w:marRight w:val="0"/>
      <w:marTop w:val="0"/>
      <w:marBottom w:val="0"/>
      <w:divBdr>
        <w:top w:val="none" w:sz="0" w:space="0" w:color="auto"/>
        <w:left w:val="none" w:sz="0" w:space="0" w:color="auto"/>
        <w:bottom w:val="none" w:sz="0" w:space="0" w:color="auto"/>
        <w:right w:val="none" w:sz="0" w:space="0" w:color="auto"/>
      </w:divBdr>
    </w:div>
    <w:div w:id="1933585605">
      <w:bodyDiv w:val="1"/>
      <w:marLeft w:val="0"/>
      <w:marRight w:val="0"/>
      <w:marTop w:val="0"/>
      <w:marBottom w:val="0"/>
      <w:divBdr>
        <w:top w:val="none" w:sz="0" w:space="0" w:color="auto"/>
        <w:left w:val="none" w:sz="0" w:space="0" w:color="auto"/>
        <w:bottom w:val="none" w:sz="0" w:space="0" w:color="auto"/>
        <w:right w:val="none" w:sz="0" w:space="0" w:color="auto"/>
      </w:divBdr>
    </w:div>
    <w:div w:id="1939210399">
      <w:bodyDiv w:val="1"/>
      <w:marLeft w:val="0"/>
      <w:marRight w:val="0"/>
      <w:marTop w:val="0"/>
      <w:marBottom w:val="0"/>
      <w:divBdr>
        <w:top w:val="none" w:sz="0" w:space="0" w:color="auto"/>
        <w:left w:val="none" w:sz="0" w:space="0" w:color="auto"/>
        <w:bottom w:val="none" w:sz="0" w:space="0" w:color="auto"/>
        <w:right w:val="none" w:sz="0" w:space="0" w:color="auto"/>
      </w:divBdr>
      <w:divsChild>
        <w:div w:id="271397415">
          <w:marLeft w:val="0"/>
          <w:marRight w:val="0"/>
          <w:marTop w:val="0"/>
          <w:marBottom w:val="0"/>
          <w:divBdr>
            <w:top w:val="none" w:sz="0" w:space="0" w:color="auto"/>
            <w:left w:val="none" w:sz="0" w:space="0" w:color="auto"/>
            <w:bottom w:val="none" w:sz="0" w:space="0" w:color="auto"/>
            <w:right w:val="none" w:sz="0" w:space="0" w:color="auto"/>
          </w:divBdr>
        </w:div>
        <w:div w:id="301692179">
          <w:marLeft w:val="0"/>
          <w:marRight w:val="0"/>
          <w:marTop w:val="0"/>
          <w:marBottom w:val="0"/>
          <w:divBdr>
            <w:top w:val="none" w:sz="0" w:space="0" w:color="auto"/>
            <w:left w:val="none" w:sz="0" w:space="0" w:color="auto"/>
            <w:bottom w:val="none" w:sz="0" w:space="0" w:color="auto"/>
            <w:right w:val="none" w:sz="0" w:space="0" w:color="auto"/>
          </w:divBdr>
        </w:div>
        <w:div w:id="113065548">
          <w:marLeft w:val="0"/>
          <w:marRight w:val="0"/>
          <w:marTop w:val="0"/>
          <w:marBottom w:val="0"/>
          <w:divBdr>
            <w:top w:val="none" w:sz="0" w:space="0" w:color="auto"/>
            <w:left w:val="none" w:sz="0" w:space="0" w:color="auto"/>
            <w:bottom w:val="none" w:sz="0" w:space="0" w:color="auto"/>
            <w:right w:val="none" w:sz="0" w:space="0" w:color="auto"/>
          </w:divBdr>
        </w:div>
        <w:div w:id="223417514">
          <w:marLeft w:val="0"/>
          <w:marRight w:val="0"/>
          <w:marTop w:val="0"/>
          <w:marBottom w:val="0"/>
          <w:divBdr>
            <w:top w:val="none" w:sz="0" w:space="0" w:color="auto"/>
            <w:left w:val="none" w:sz="0" w:space="0" w:color="auto"/>
            <w:bottom w:val="none" w:sz="0" w:space="0" w:color="auto"/>
            <w:right w:val="none" w:sz="0" w:space="0" w:color="auto"/>
          </w:divBdr>
        </w:div>
        <w:div w:id="1244798233">
          <w:marLeft w:val="0"/>
          <w:marRight w:val="0"/>
          <w:marTop w:val="0"/>
          <w:marBottom w:val="0"/>
          <w:divBdr>
            <w:top w:val="none" w:sz="0" w:space="0" w:color="auto"/>
            <w:left w:val="none" w:sz="0" w:space="0" w:color="auto"/>
            <w:bottom w:val="none" w:sz="0" w:space="0" w:color="auto"/>
            <w:right w:val="none" w:sz="0" w:space="0" w:color="auto"/>
          </w:divBdr>
        </w:div>
        <w:div w:id="1606425763">
          <w:marLeft w:val="0"/>
          <w:marRight w:val="0"/>
          <w:marTop w:val="0"/>
          <w:marBottom w:val="0"/>
          <w:divBdr>
            <w:top w:val="none" w:sz="0" w:space="0" w:color="auto"/>
            <w:left w:val="none" w:sz="0" w:space="0" w:color="auto"/>
            <w:bottom w:val="none" w:sz="0" w:space="0" w:color="auto"/>
            <w:right w:val="none" w:sz="0" w:space="0" w:color="auto"/>
          </w:divBdr>
        </w:div>
        <w:div w:id="486022752">
          <w:marLeft w:val="0"/>
          <w:marRight w:val="0"/>
          <w:marTop w:val="0"/>
          <w:marBottom w:val="0"/>
          <w:divBdr>
            <w:top w:val="none" w:sz="0" w:space="0" w:color="auto"/>
            <w:left w:val="none" w:sz="0" w:space="0" w:color="auto"/>
            <w:bottom w:val="none" w:sz="0" w:space="0" w:color="auto"/>
            <w:right w:val="none" w:sz="0" w:space="0" w:color="auto"/>
          </w:divBdr>
        </w:div>
        <w:div w:id="1540627515">
          <w:marLeft w:val="0"/>
          <w:marRight w:val="0"/>
          <w:marTop w:val="0"/>
          <w:marBottom w:val="0"/>
          <w:divBdr>
            <w:top w:val="none" w:sz="0" w:space="0" w:color="auto"/>
            <w:left w:val="none" w:sz="0" w:space="0" w:color="auto"/>
            <w:bottom w:val="none" w:sz="0" w:space="0" w:color="auto"/>
            <w:right w:val="none" w:sz="0" w:space="0" w:color="auto"/>
          </w:divBdr>
        </w:div>
      </w:divsChild>
    </w:div>
    <w:div w:id="1940336562">
      <w:bodyDiv w:val="1"/>
      <w:marLeft w:val="0"/>
      <w:marRight w:val="0"/>
      <w:marTop w:val="0"/>
      <w:marBottom w:val="0"/>
      <w:divBdr>
        <w:top w:val="none" w:sz="0" w:space="0" w:color="auto"/>
        <w:left w:val="none" w:sz="0" w:space="0" w:color="auto"/>
        <w:bottom w:val="none" w:sz="0" w:space="0" w:color="auto"/>
        <w:right w:val="none" w:sz="0" w:space="0" w:color="auto"/>
      </w:divBdr>
    </w:div>
    <w:div w:id="1987394040">
      <w:bodyDiv w:val="1"/>
      <w:marLeft w:val="0"/>
      <w:marRight w:val="0"/>
      <w:marTop w:val="0"/>
      <w:marBottom w:val="0"/>
      <w:divBdr>
        <w:top w:val="none" w:sz="0" w:space="0" w:color="auto"/>
        <w:left w:val="none" w:sz="0" w:space="0" w:color="auto"/>
        <w:bottom w:val="none" w:sz="0" w:space="0" w:color="auto"/>
        <w:right w:val="none" w:sz="0" w:space="0" w:color="auto"/>
      </w:divBdr>
    </w:div>
    <w:div w:id="2057116921">
      <w:bodyDiv w:val="1"/>
      <w:marLeft w:val="0"/>
      <w:marRight w:val="0"/>
      <w:marTop w:val="0"/>
      <w:marBottom w:val="0"/>
      <w:divBdr>
        <w:top w:val="none" w:sz="0" w:space="0" w:color="auto"/>
        <w:left w:val="none" w:sz="0" w:space="0" w:color="auto"/>
        <w:bottom w:val="none" w:sz="0" w:space="0" w:color="auto"/>
        <w:right w:val="none" w:sz="0" w:space="0" w:color="auto"/>
      </w:divBdr>
    </w:div>
    <w:div w:id="2080981500">
      <w:bodyDiv w:val="1"/>
      <w:marLeft w:val="0"/>
      <w:marRight w:val="0"/>
      <w:marTop w:val="0"/>
      <w:marBottom w:val="0"/>
      <w:divBdr>
        <w:top w:val="none" w:sz="0" w:space="0" w:color="auto"/>
        <w:left w:val="none" w:sz="0" w:space="0" w:color="auto"/>
        <w:bottom w:val="none" w:sz="0" w:space="0" w:color="auto"/>
        <w:right w:val="none" w:sz="0" w:space="0" w:color="auto"/>
      </w:divBdr>
    </w:div>
    <w:div w:id="209377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2294</TotalTime>
  <Pages>7</Pages>
  <Words>989</Words>
  <Characters>6045</Characters>
  <Application>Microsoft Office Word</Application>
  <DocSecurity>0</DocSecurity>
  <Lines>143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Rice</dc:creator>
  <cp:keywords/>
  <dc:description/>
  <cp:lastModifiedBy>Sam Rice</cp:lastModifiedBy>
  <cp:revision>20</cp:revision>
  <dcterms:created xsi:type="dcterms:W3CDTF">2025-05-04T17:11:00Z</dcterms:created>
  <dcterms:modified xsi:type="dcterms:W3CDTF">2025-06-10T21:09:00Z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f91e98d0-454c-48f5-bb53-c38c9f319d4c</vt:lpwstr>
  </property>
</Properties>
</file>