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36F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1. </w:t>
      </w:r>
      <w:proofErr w:type="spellStart"/>
      <w:r w:rsidRPr="00880B34">
        <w:rPr>
          <w:b/>
          <w:bCs/>
        </w:rPr>
        <w:t>Theoretical</w:t>
      </w:r>
      <w:proofErr w:type="spellEnd"/>
      <w:r w:rsidRPr="00880B34">
        <w:rPr>
          <w:b/>
          <w:bCs/>
        </w:rPr>
        <w:t xml:space="preserve"> framework (Quadro Teórico)</w:t>
      </w:r>
    </w:p>
    <w:p w14:paraId="6B01215D" w14:textId="77777777" w:rsidR="00880B34" w:rsidRPr="00880B34" w:rsidRDefault="00880B34" w:rsidP="00880B34">
      <w:r w:rsidRPr="00880B34">
        <w:t>Fornece a base para a seleção e combinação de variáveis em um indicador significativo sob o princípio de adequação ao propósito ("fitness-for-</w:t>
      </w:r>
      <w:proofErr w:type="spellStart"/>
      <w:r w:rsidRPr="00880B34">
        <w:t>purpose</w:t>
      </w:r>
      <w:proofErr w:type="spellEnd"/>
      <w:r w:rsidRPr="00880B34">
        <w:t>"). É aqui que se entende o fenômeno multidimensional e se define a estrutura em subgrupos.</w:t>
      </w:r>
    </w:p>
    <w:p w14:paraId="2569D709" w14:textId="77777777" w:rsidR="00880B34" w:rsidRPr="00880B34" w:rsidRDefault="00880B34" w:rsidP="00880B34">
      <w:pPr>
        <w:numPr>
          <w:ilvl w:val="0"/>
          <w:numId w:val="1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É materializado na construção da tabela de metadados (</w:t>
      </w:r>
      <w:proofErr w:type="spellStart"/>
      <w:r w:rsidRPr="00880B34">
        <w:t>iMeta</w:t>
      </w:r>
      <w:proofErr w:type="spellEnd"/>
      <w:r w:rsidRPr="00880B34">
        <w:t>). Nela, traduz-se a teoria em estrutura, definindo a hierarquia matemática (</w:t>
      </w:r>
      <w:proofErr w:type="spellStart"/>
      <w:r w:rsidRPr="00880B34">
        <w:t>Level</w:t>
      </w:r>
      <w:proofErr w:type="spellEnd"/>
      <w:r w:rsidRPr="00880B34">
        <w:t xml:space="preserve"> 1 para indicadores e 2 para o agregado final), a direcionalidade de cada variável (Direction, onde 1 indica que quanto maior o número, melhor o impacto no índice) e a qual família o indicador pertence (</w:t>
      </w:r>
      <w:proofErr w:type="spellStart"/>
      <w:r w:rsidRPr="00880B34">
        <w:t>Parent</w:t>
      </w:r>
      <w:proofErr w:type="spellEnd"/>
      <w:r w:rsidRPr="00880B34">
        <w:t>).</w:t>
      </w:r>
    </w:p>
    <w:p w14:paraId="686B3D9F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2. Data </w:t>
      </w:r>
      <w:proofErr w:type="spellStart"/>
      <w:r w:rsidRPr="00880B34">
        <w:rPr>
          <w:b/>
          <w:bCs/>
        </w:rPr>
        <w:t>selection</w:t>
      </w:r>
      <w:proofErr w:type="spellEnd"/>
      <w:r w:rsidRPr="00880B34">
        <w:rPr>
          <w:b/>
          <w:bCs/>
        </w:rPr>
        <w:t xml:space="preserve"> (Seleção de Dados)</w:t>
      </w:r>
    </w:p>
    <w:p w14:paraId="7527F64B" w14:textId="77777777" w:rsidR="00880B34" w:rsidRPr="00880B34" w:rsidRDefault="00880B34" w:rsidP="00880B34">
      <w:r w:rsidRPr="00880B34">
        <w:t>A seleção deve basear-se na solidez analítica, mensurabilidade, cobertura e relevância dos indicadores para o fenômeno que está sendo medido.</w:t>
      </w:r>
    </w:p>
    <w:p w14:paraId="19208CEA" w14:textId="77777777" w:rsidR="00880B34" w:rsidRPr="00880B34" w:rsidRDefault="00880B34" w:rsidP="00880B34">
      <w:pPr>
        <w:numPr>
          <w:ilvl w:val="0"/>
          <w:numId w:val="2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Traduz-se na preparação do banco de dados brutos (</w:t>
      </w:r>
      <w:proofErr w:type="spellStart"/>
      <w:r w:rsidRPr="00880B34">
        <w:t>iData</w:t>
      </w:r>
      <w:proofErr w:type="spellEnd"/>
      <w:r w:rsidRPr="00880B34">
        <w:t xml:space="preserve">). O pacote exige um rigor absoluto de formatação, onde cada linha deve ter um identificador único de unidade espacial (a coluna obrigatoriamente chamada </w:t>
      </w:r>
      <w:proofErr w:type="spellStart"/>
      <w:r w:rsidRPr="00880B34">
        <w:t>uCode</w:t>
      </w:r>
      <w:proofErr w:type="spellEnd"/>
      <w:r w:rsidRPr="00880B34">
        <w:t>, como os nomes das regionais formatados sem espaços) cruzando perfeitamente com os códigos de indicadores declarados na etapa teórica.</w:t>
      </w:r>
    </w:p>
    <w:p w14:paraId="10CAB59E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3. </w:t>
      </w:r>
      <w:proofErr w:type="spellStart"/>
      <w:r w:rsidRPr="00880B34">
        <w:rPr>
          <w:b/>
          <w:bCs/>
        </w:rPr>
        <w:t>Imputation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of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missing</w:t>
      </w:r>
      <w:proofErr w:type="spellEnd"/>
      <w:r w:rsidRPr="00880B34">
        <w:rPr>
          <w:b/>
          <w:bCs/>
        </w:rPr>
        <w:t xml:space="preserve"> data (Imputação de Dados Faltantes)</w:t>
      </w:r>
    </w:p>
    <w:p w14:paraId="4BA62240" w14:textId="77777777" w:rsidR="00880B34" w:rsidRPr="00880B34" w:rsidRDefault="00880B34" w:rsidP="00880B34">
      <w:r w:rsidRPr="00880B34">
        <w:t>Necessária para fornecer um conjunto de dados completo (por exemplo, por meio de imputação única ou múltipla), permitindo estimar valores ausentes e avaliar o impacto dessa estimativa nos resultados.</w:t>
      </w:r>
    </w:p>
    <w:p w14:paraId="3F7CBF67" w14:textId="77777777" w:rsidR="00880B34" w:rsidRPr="00880B34" w:rsidRDefault="00880B34" w:rsidP="00880B34">
      <w:pPr>
        <w:numPr>
          <w:ilvl w:val="0"/>
          <w:numId w:val="3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A função nativa </w:t>
      </w:r>
      <w:proofErr w:type="gramStart"/>
      <w:r w:rsidRPr="00880B34">
        <w:t>Impute(</w:t>
      </w:r>
      <w:proofErr w:type="gramEnd"/>
      <w:r w:rsidRPr="00880B34">
        <w:t xml:space="preserve">) permite preencher lacunas utilizando métodos estatísticos avançados, como médias incondicionais ou regressões de maximização de expectativa (EM). No fluxo direto com </w:t>
      </w:r>
      <w:proofErr w:type="spellStart"/>
      <w:r w:rsidRPr="00880B34">
        <w:t>tidyverse</w:t>
      </w:r>
      <w:proofErr w:type="spellEnd"/>
      <w:r w:rsidRPr="00880B34">
        <w:t xml:space="preserve">, pode ser antecipada na manipulação dos dados brutos forçando o tratamento </w:t>
      </w:r>
      <w:proofErr w:type="gramStart"/>
      <w:r w:rsidRPr="00880B34">
        <w:t xml:space="preserve">de </w:t>
      </w:r>
      <w:proofErr w:type="spellStart"/>
      <w:r w:rsidRPr="00880B34">
        <w:t>NAs</w:t>
      </w:r>
      <w:proofErr w:type="spellEnd"/>
      <w:proofErr w:type="gramEnd"/>
      <w:r w:rsidRPr="00880B34">
        <w:t xml:space="preserve"> (garantindo que centros ou equipes não registradas sejam computados como zero) antes de encapsular os dados na função </w:t>
      </w:r>
      <w:proofErr w:type="spellStart"/>
      <w:r w:rsidRPr="00880B34">
        <w:t>new_</w:t>
      </w:r>
      <w:proofErr w:type="gramStart"/>
      <w:r w:rsidRPr="00880B34">
        <w:t>coin</w:t>
      </w:r>
      <w:proofErr w:type="spellEnd"/>
      <w:r w:rsidRPr="00880B34">
        <w:t>(</w:t>
      </w:r>
      <w:proofErr w:type="gramEnd"/>
      <w:r w:rsidRPr="00880B34">
        <w:t>).</w:t>
      </w:r>
    </w:p>
    <w:p w14:paraId="2FC79734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4. </w:t>
      </w:r>
      <w:proofErr w:type="spellStart"/>
      <w:r w:rsidRPr="00880B34">
        <w:rPr>
          <w:b/>
          <w:bCs/>
        </w:rPr>
        <w:t>Multivariate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analysis</w:t>
      </w:r>
      <w:proofErr w:type="spellEnd"/>
      <w:r w:rsidRPr="00880B34">
        <w:rPr>
          <w:b/>
          <w:bCs/>
        </w:rPr>
        <w:t xml:space="preserve"> (Análise Multivariada)</w:t>
      </w:r>
    </w:p>
    <w:p w14:paraId="170075FE" w14:textId="77777777" w:rsidR="00880B34" w:rsidRPr="00880B34" w:rsidRDefault="00880B34" w:rsidP="00880B34">
      <w:r w:rsidRPr="00880B34">
        <w:t>Deve ser usada para estudar a estrutura geral do conjunto de dados, avaliar sua adequação e guiar escolhas metodológicas subsequentes. Serve para verificar se os agrupamentos de indicadores pensados teoricamente têm suporte empírico.</w:t>
      </w:r>
    </w:p>
    <w:p w14:paraId="07BB4B6C" w14:textId="77777777" w:rsidR="00880B34" w:rsidRPr="00880B34" w:rsidRDefault="00880B34" w:rsidP="00880B34">
      <w:pPr>
        <w:numPr>
          <w:ilvl w:val="0"/>
          <w:numId w:val="4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Implementada através de ferramentas exploratórias próprias do pacote, como as funções </w:t>
      </w:r>
      <w:proofErr w:type="spellStart"/>
      <w:r w:rsidRPr="00880B34">
        <w:t>get_</w:t>
      </w:r>
      <w:proofErr w:type="gramStart"/>
      <w:r w:rsidRPr="00880B34">
        <w:t>corr</w:t>
      </w:r>
      <w:proofErr w:type="spellEnd"/>
      <w:r w:rsidRPr="00880B34">
        <w:t>(</w:t>
      </w:r>
      <w:proofErr w:type="gramEnd"/>
      <w:r w:rsidRPr="00880B34">
        <w:t>) (para calcular as matrizes de correlação de Pearson/</w:t>
      </w:r>
      <w:proofErr w:type="spellStart"/>
      <w:r w:rsidRPr="00880B34">
        <w:t>Spearman</w:t>
      </w:r>
      <w:proofErr w:type="spellEnd"/>
      <w:r w:rsidRPr="00880B34">
        <w:t xml:space="preserve">) e </w:t>
      </w:r>
      <w:proofErr w:type="spellStart"/>
      <w:r w:rsidRPr="00880B34">
        <w:t>get_</w:t>
      </w:r>
      <w:proofErr w:type="gramStart"/>
      <w:r w:rsidRPr="00880B34">
        <w:t>PCA</w:t>
      </w:r>
      <w:proofErr w:type="spellEnd"/>
      <w:r w:rsidRPr="00880B34">
        <w:t>(</w:t>
      </w:r>
      <w:proofErr w:type="gramEnd"/>
      <w:r w:rsidRPr="00880B34">
        <w:t>) (para Análise de Componentes Principais), garantindo que as pressões demográficas ou as capacidades de infraestrutura não possuam redundâncias silenciosas que dupliquem o peso de uma dimensão.</w:t>
      </w:r>
    </w:p>
    <w:p w14:paraId="37491FEA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5. </w:t>
      </w:r>
      <w:proofErr w:type="spellStart"/>
      <w:r w:rsidRPr="00880B34">
        <w:rPr>
          <w:b/>
          <w:bCs/>
        </w:rPr>
        <w:t>Normalisation</w:t>
      </w:r>
      <w:proofErr w:type="spellEnd"/>
      <w:r w:rsidRPr="00880B34">
        <w:rPr>
          <w:b/>
          <w:bCs/>
        </w:rPr>
        <w:t xml:space="preserve"> (Normalização)</w:t>
      </w:r>
    </w:p>
    <w:p w14:paraId="0B5A17E5" w14:textId="77777777" w:rsidR="00880B34" w:rsidRPr="00880B34" w:rsidRDefault="00880B34" w:rsidP="00880B34">
      <w:r w:rsidRPr="00880B34">
        <w:lastRenderedPageBreak/>
        <w:t>Realizada para tornar as variáveis diretamente comparáveis, fazendo ajustes de escala e neutralizando os valores extremos (outliers) que poderiam se tornar benchmarks indesejados.</w:t>
      </w:r>
    </w:p>
    <w:p w14:paraId="1A537566" w14:textId="77777777" w:rsidR="00880B34" w:rsidRPr="00880B34" w:rsidRDefault="00880B34" w:rsidP="00880B34">
      <w:pPr>
        <w:numPr>
          <w:ilvl w:val="0"/>
          <w:numId w:val="5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Executada primariamente pela função </w:t>
      </w:r>
      <w:proofErr w:type="spellStart"/>
      <w:proofErr w:type="gramStart"/>
      <w:r w:rsidRPr="00880B34">
        <w:t>Normalise</w:t>
      </w:r>
      <w:proofErr w:type="spellEnd"/>
      <w:r w:rsidRPr="00880B34">
        <w:t>(</w:t>
      </w:r>
      <w:proofErr w:type="gramEnd"/>
      <w:r w:rsidRPr="00880B34">
        <w:t xml:space="preserve">). Através do argumento </w:t>
      </w:r>
      <w:proofErr w:type="spellStart"/>
      <w:r w:rsidRPr="00880B34">
        <w:t>global_specs</w:t>
      </w:r>
      <w:proofErr w:type="spellEnd"/>
      <w:r w:rsidRPr="00880B34">
        <w:t xml:space="preserve">, aplica-se a técnica estatística mais condizente (como o método Min-Max via </w:t>
      </w:r>
      <w:proofErr w:type="spellStart"/>
      <w:r w:rsidRPr="00880B34">
        <w:t>f_n</w:t>
      </w:r>
      <w:proofErr w:type="spellEnd"/>
      <w:r w:rsidRPr="00880B34">
        <w:t xml:space="preserve"> = "</w:t>
      </w:r>
      <w:proofErr w:type="spellStart"/>
      <w:r w:rsidRPr="00880B34">
        <w:t>n_minmax</w:t>
      </w:r>
      <w:proofErr w:type="spellEnd"/>
      <w:r w:rsidRPr="00880B34">
        <w:t xml:space="preserve">"). É nesta função que se garante a comparabilidade e o não-esgotamento matemático, podendo ditar se as notas variam, por exemplo, estritamente entre os limites arbitrários de </w:t>
      </w:r>
      <w:proofErr w:type="spellStart"/>
      <w:r w:rsidRPr="00880B34">
        <w:t>l_u</w:t>
      </w:r>
      <w:proofErr w:type="spellEnd"/>
      <w:r w:rsidRPr="00880B34">
        <w:t xml:space="preserve"> = </w:t>
      </w:r>
      <w:proofErr w:type="gramStart"/>
      <w:r w:rsidRPr="00880B34">
        <w:t>c(</w:t>
      </w:r>
      <w:proofErr w:type="gramEnd"/>
      <w:r w:rsidRPr="00880B34">
        <w:t xml:space="preserve">1, 10) ou </w:t>
      </w:r>
      <w:proofErr w:type="gramStart"/>
      <w:r w:rsidRPr="00880B34">
        <w:t>c(</w:t>
      </w:r>
      <w:proofErr w:type="gramEnd"/>
      <w:r w:rsidRPr="00880B34">
        <w:t>0, 10).</w:t>
      </w:r>
    </w:p>
    <w:p w14:paraId="0ECB8F4B" w14:textId="77777777" w:rsidR="00880B34" w:rsidRPr="00880B34" w:rsidRDefault="00880B34" w:rsidP="00880B34">
      <w:pPr>
        <w:rPr>
          <w:b/>
          <w:bCs/>
          <w:lang w:val="en-US"/>
        </w:rPr>
      </w:pPr>
      <w:r w:rsidRPr="00880B34">
        <w:rPr>
          <w:b/>
          <w:bCs/>
          <w:lang w:val="en-US"/>
        </w:rPr>
        <w:t>6. Weighting and aggregation (Ponderação e Agregação)</w:t>
      </w:r>
    </w:p>
    <w:p w14:paraId="3244DD6E" w14:textId="77777777" w:rsidR="00880B34" w:rsidRPr="00880B34" w:rsidRDefault="00880B34" w:rsidP="00880B34">
      <w:r w:rsidRPr="00880B34">
        <w:t xml:space="preserve">Feita de acordo com as linhas do quadro teórico subjacente. Seleciona procedimentos que consideram a variabilidade dos dados e estipula se o modelo permite </w:t>
      </w:r>
      <w:proofErr w:type="spellStart"/>
      <w:r w:rsidRPr="00880B34">
        <w:t>compensabilidade</w:t>
      </w:r>
      <w:proofErr w:type="spellEnd"/>
      <w:r w:rsidRPr="00880B34">
        <w:t xml:space="preserve"> entre os indicadores (um desempenho excelente em uma variável escondendo um déficit em outra).</w:t>
      </w:r>
    </w:p>
    <w:p w14:paraId="16EF8CBF" w14:textId="77777777" w:rsidR="00880B34" w:rsidRPr="00880B34" w:rsidRDefault="00880B34" w:rsidP="00880B34">
      <w:pPr>
        <w:numPr>
          <w:ilvl w:val="0"/>
          <w:numId w:val="6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Executada por meio da função </w:t>
      </w:r>
      <w:proofErr w:type="spellStart"/>
      <w:proofErr w:type="gramStart"/>
      <w:r w:rsidRPr="00880B34">
        <w:t>Aggregate</w:t>
      </w:r>
      <w:proofErr w:type="spellEnd"/>
      <w:r w:rsidRPr="00880B34">
        <w:t>(</w:t>
      </w:r>
      <w:proofErr w:type="gramEnd"/>
      <w:r w:rsidRPr="00880B34">
        <w:t>). A função "lê" a coluna de pesos (</w:t>
      </w:r>
      <w:proofErr w:type="spellStart"/>
      <w:r w:rsidRPr="00880B34">
        <w:t>Weight</w:t>
      </w:r>
      <w:proofErr w:type="spellEnd"/>
      <w:r w:rsidRPr="00880B34">
        <w:t xml:space="preserve">) declarada lá no </w:t>
      </w:r>
      <w:proofErr w:type="spellStart"/>
      <w:r w:rsidRPr="00880B34">
        <w:t>iMeta</w:t>
      </w:r>
      <w:proofErr w:type="spellEnd"/>
      <w:r w:rsidRPr="00880B34">
        <w:t xml:space="preserve"> (Passo 1) e processa o agrupamento dos dados normalizados (Passo 5). Se for utilizada a média aritmética (</w:t>
      </w:r>
      <w:proofErr w:type="spellStart"/>
      <w:r w:rsidRPr="00880B34">
        <w:t>f_ag</w:t>
      </w:r>
      <w:proofErr w:type="spellEnd"/>
      <w:r w:rsidRPr="00880B34">
        <w:t xml:space="preserve"> = "</w:t>
      </w:r>
      <w:proofErr w:type="spellStart"/>
      <w:r w:rsidRPr="00880B34">
        <w:t>a_amean</w:t>
      </w:r>
      <w:proofErr w:type="spellEnd"/>
      <w:r w:rsidRPr="00880B34">
        <w:t>"), aceita-se a compensação linear; se for usada a média geométrica, o modelo torna-se mais severo contra desempenhos assimétricos.</w:t>
      </w:r>
    </w:p>
    <w:p w14:paraId="7EF72F4F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7. </w:t>
      </w:r>
      <w:proofErr w:type="spellStart"/>
      <w:r w:rsidRPr="00880B34">
        <w:rPr>
          <w:b/>
          <w:bCs/>
        </w:rPr>
        <w:t>Uncertainty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and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sensitivity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analysis</w:t>
      </w:r>
      <w:proofErr w:type="spellEnd"/>
      <w:r w:rsidRPr="00880B34">
        <w:rPr>
          <w:b/>
          <w:bCs/>
        </w:rPr>
        <w:t xml:space="preserve"> (Análise de Incerteza e Sensibilidade)</w:t>
      </w:r>
    </w:p>
    <w:p w14:paraId="6BDEE52E" w14:textId="77777777" w:rsidR="00880B34" w:rsidRPr="00880B34" w:rsidRDefault="00880B34" w:rsidP="00880B34">
      <w:r w:rsidRPr="00880B34">
        <w:t>Realizada para avaliar a robustez do indicador composto frente a escolhas metodológicas, como a exclusão/inclusão de um indicador, regras de imputação, o esquema de normalização e o método de agregação.</w:t>
      </w:r>
    </w:p>
    <w:p w14:paraId="610AFCBC" w14:textId="77777777" w:rsidR="00880B34" w:rsidRPr="00880B34" w:rsidRDefault="00880B34" w:rsidP="00880B34">
      <w:pPr>
        <w:numPr>
          <w:ilvl w:val="0"/>
          <w:numId w:val="7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Aqui entra a integração do pacote com a lógica Gaussiana e Bayesiana do JRC. A função </w:t>
      </w:r>
      <w:proofErr w:type="spellStart"/>
      <w:r w:rsidRPr="00880B34">
        <w:t>get_eff_</w:t>
      </w:r>
      <w:proofErr w:type="gramStart"/>
      <w:r w:rsidRPr="00880B34">
        <w:t>weights</w:t>
      </w:r>
      <w:proofErr w:type="spellEnd"/>
      <w:r w:rsidRPr="00880B34">
        <w:t>(</w:t>
      </w:r>
      <w:proofErr w:type="gramEnd"/>
      <w:r w:rsidRPr="00880B34">
        <w:t xml:space="preserve">) avalia a razão de correlação não-linear para revelar a Importância Efetiva que a variância do dado impôs sobre o resultado final. Simultaneamente, a função </w:t>
      </w:r>
      <w:proofErr w:type="spellStart"/>
      <w:r w:rsidRPr="00880B34">
        <w:t>get_</w:t>
      </w:r>
      <w:proofErr w:type="gramStart"/>
      <w:r w:rsidRPr="00880B34">
        <w:t>sensitivity</w:t>
      </w:r>
      <w:proofErr w:type="spellEnd"/>
      <w:r w:rsidRPr="00880B34">
        <w:t>(</w:t>
      </w:r>
      <w:proofErr w:type="gramEnd"/>
      <w:r w:rsidRPr="00880B34">
        <w:t>) usa simulações de Monte Carlo para provar estatisticamente se as flutuações e ordenamentos das unidades se mantêm firmes ou se alteram com mudanças nas premissas.</w:t>
      </w:r>
    </w:p>
    <w:p w14:paraId="7D8EAF34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8. Back </w:t>
      </w:r>
      <w:proofErr w:type="spellStart"/>
      <w:r w:rsidRPr="00880B34">
        <w:rPr>
          <w:b/>
          <w:bCs/>
        </w:rPr>
        <w:t>to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the</w:t>
      </w:r>
      <w:proofErr w:type="spellEnd"/>
      <w:r w:rsidRPr="00880B34">
        <w:rPr>
          <w:b/>
          <w:bCs/>
        </w:rPr>
        <w:t xml:space="preserve"> data (De Volta aos Dados)</w:t>
      </w:r>
    </w:p>
    <w:p w14:paraId="65E46835" w14:textId="77777777" w:rsidR="00880B34" w:rsidRPr="00880B34" w:rsidRDefault="00880B34" w:rsidP="00880B34">
      <w:r w:rsidRPr="00880B34">
        <w:t>Necessário para o perfil do desempenho por unidade de análise no nível dos indicadores, revelando quais são os principais impulsionadores do resultado. A transparência é primordial para uma boa análise e para a formulação de políticas públicas.</w:t>
      </w:r>
    </w:p>
    <w:p w14:paraId="067E9F16" w14:textId="77777777" w:rsidR="00880B34" w:rsidRPr="00880B34" w:rsidRDefault="00880B34" w:rsidP="00880B34">
      <w:pPr>
        <w:numPr>
          <w:ilvl w:val="0"/>
          <w:numId w:val="8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Realizada com a função de extração </w:t>
      </w:r>
      <w:proofErr w:type="spellStart"/>
      <w:r w:rsidRPr="00880B34">
        <w:t>get_</w:t>
      </w:r>
      <w:proofErr w:type="gramStart"/>
      <w:r w:rsidRPr="00880B34">
        <w:t>data</w:t>
      </w:r>
      <w:proofErr w:type="spellEnd"/>
      <w:r w:rsidRPr="00880B34">
        <w:t>(</w:t>
      </w:r>
      <w:proofErr w:type="gramEnd"/>
      <w:r w:rsidRPr="00880B34">
        <w:t xml:space="preserve">). Ela descompacta o objeto </w:t>
      </w:r>
      <w:proofErr w:type="spellStart"/>
      <w:r w:rsidRPr="00880B34">
        <w:t>coin</w:t>
      </w:r>
      <w:proofErr w:type="spellEnd"/>
      <w:r w:rsidRPr="00880B34">
        <w:t xml:space="preserve"> na sua versão final ("</w:t>
      </w:r>
      <w:proofErr w:type="spellStart"/>
      <w:r w:rsidRPr="00880B34">
        <w:t>Aggregated</w:t>
      </w:r>
      <w:proofErr w:type="spellEnd"/>
      <w:r w:rsidRPr="00880B34">
        <w:t xml:space="preserve">"). As ferramentas como </w:t>
      </w:r>
      <w:proofErr w:type="spellStart"/>
      <w:r w:rsidRPr="00880B34">
        <w:t>plot_</w:t>
      </w:r>
      <w:proofErr w:type="gramStart"/>
      <w:r w:rsidRPr="00880B34">
        <w:t>bar</w:t>
      </w:r>
      <w:proofErr w:type="spellEnd"/>
      <w:r w:rsidRPr="00880B34">
        <w:t>(</w:t>
      </w:r>
      <w:proofErr w:type="gramEnd"/>
      <w:r w:rsidRPr="00880B34">
        <w:t xml:space="preserve">) ou a exportação das tabelas permitem a decomposição visual do índice, identificando exatamente que vetor (como, por exemplo, a taxa </w:t>
      </w:r>
      <w:r w:rsidRPr="00880B34">
        <w:lastRenderedPageBreak/>
        <w:t>populacional de idosos ou a disponibilidade de vagas de atenção básica) empurrou a nota final para baixo.</w:t>
      </w:r>
    </w:p>
    <w:p w14:paraId="42A9BCB3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9. Links </w:t>
      </w:r>
      <w:proofErr w:type="spellStart"/>
      <w:r w:rsidRPr="00880B34">
        <w:rPr>
          <w:b/>
          <w:bCs/>
        </w:rPr>
        <w:t>to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other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indicators</w:t>
      </w:r>
      <w:proofErr w:type="spellEnd"/>
      <w:r w:rsidRPr="00880B34">
        <w:rPr>
          <w:b/>
          <w:bCs/>
        </w:rPr>
        <w:t xml:space="preserve"> (Conexões com Outros Indicadores)</w:t>
      </w:r>
    </w:p>
    <w:p w14:paraId="04B8F13A" w14:textId="77777777" w:rsidR="00880B34" w:rsidRPr="00880B34" w:rsidRDefault="00880B34" w:rsidP="00880B34">
      <w:r w:rsidRPr="00880B34">
        <w:t>Correlações para associar o indicador composto (ou suas dimensões) a outras métricas de desempenho publicadas (simples ou compostas) para identificar causalidade via regressões.</w:t>
      </w:r>
    </w:p>
    <w:p w14:paraId="460AFB83" w14:textId="77777777" w:rsidR="00880B34" w:rsidRPr="00880B34" w:rsidRDefault="00880B34" w:rsidP="00880B34">
      <w:pPr>
        <w:numPr>
          <w:ilvl w:val="0"/>
          <w:numId w:val="9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É a fase da integração sistêmica. Após se extrair o ranking pelo </w:t>
      </w:r>
      <w:proofErr w:type="spellStart"/>
      <w:r w:rsidRPr="00880B34">
        <w:t>get_</w:t>
      </w:r>
      <w:proofErr w:type="gramStart"/>
      <w:r w:rsidRPr="00880B34">
        <w:t>data</w:t>
      </w:r>
      <w:proofErr w:type="spellEnd"/>
      <w:r w:rsidRPr="00880B34">
        <w:t>(</w:t>
      </w:r>
      <w:proofErr w:type="gramEnd"/>
      <w:r w:rsidRPr="00880B34">
        <w:t>), funde-se o resultado final (</w:t>
      </w:r>
      <w:proofErr w:type="spellStart"/>
      <w:r w:rsidRPr="00880B34">
        <w:t>left_join</w:t>
      </w:r>
      <w:proofErr w:type="spellEnd"/>
      <w:r w:rsidRPr="00880B34">
        <w:t>) com bancos paralelos independentes (como bancos de mortalidade ou de qualidade fiscal municipal) e modela-se regressões para testar se a nota do índice prevê e possui significância estatística sobre eventos no mundo real.</w:t>
      </w:r>
    </w:p>
    <w:p w14:paraId="2E5FA855" w14:textId="77777777" w:rsidR="00880B34" w:rsidRPr="00880B34" w:rsidRDefault="00880B34" w:rsidP="00880B34">
      <w:pPr>
        <w:rPr>
          <w:b/>
          <w:bCs/>
        </w:rPr>
      </w:pPr>
      <w:r w:rsidRPr="00880B34">
        <w:rPr>
          <w:b/>
          <w:bCs/>
        </w:rPr>
        <w:t xml:space="preserve">10. </w:t>
      </w:r>
      <w:proofErr w:type="spellStart"/>
      <w:r w:rsidRPr="00880B34">
        <w:rPr>
          <w:b/>
          <w:bCs/>
        </w:rPr>
        <w:t>Visualisation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of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the</w:t>
      </w:r>
      <w:proofErr w:type="spellEnd"/>
      <w:r w:rsidRPr="00880B34">
        <w:rPr>
          <w:b/>
          <w:bCs/>
        </w:rPr>
        <w:t xml:space="preserve"> </w:t>
      </w:r>
      <w:proofErr w:type="spellStart"/>
      <w:r w:rsidRPr="00880B34">
        <w:rPr>
          <w:b/>
          <w:bCs/>
        </w:rPr>
        <w:t>results</w:t>
      </w:r>
      <w:proofErr w:type="spellEnd"/>
      <w:r w:rsidRPr="00880B34">
        <w:rPr>
          <w:b/>
          <w:bCs/>
        </w:rPr>
        <w:t xml:space="preserve"> (Visualização dos Resultados)</w:t>
      </w:r>
    </w:p>
    <w:p w14:paraId="26C99341" w14:textId="77777777" w:rsidR="00880B34" w:rsidRPr="00880B34" w:rsidRDefault="00880B34" w:rsidP="00880B34">
      <w:r w:rsidRPr="00880B34">
        <w:t xml:space="preserve">Deve receber a atenção adequada, pois influencia enormemente a </w:t>
      </w:r>
      <w:proofErr w:type="spellStart"/>
      <w:r w:rsidRPr="00880B34">
        <w:t>interpretabilidade</w:t>
      </w:r>
      <w:proofErr w:type="spellEnd"/>
      <w:r w:rsidRPr="00880B34">
        <w:t xml:space="preserve"> e serve para apresentar o desempenho de maneira clara, precisa e direcionada à audiência pretendida.</w:t>
      </w:r>
    </w:p>
    <w:p w14:paraId="1E22FE4E" w14:textId="77777777" w:rsidR="00880B34" w:rsidRPr="00880B34" w:rsidRDefault="00880B34" w:rsidP="00880B34">
      <w:pPr>
        <w:numPr>
          <w:ilvl w:val="0"/>
          <w:numId w:val="10"/>
        </w:numPr>
      </w:pPr>
      <w:r w:rsidRPr="00880B34">
        <w:rPr>
          <w:b/>
          <w:bCs/>
        </w:rPr>
        <w:t xml:space="preserve">Aplicação no </w:t>
      </w:r>
      <w:proofErr w:type="spellStart"/>
      <w:r w:rsidRPr="00880B34">
        <w:rPr>
          <w:b/>
          <w:bCs/>
        </w:rPr>
        <w:t>COINr</w:t>
      </w:r>
      <w:proofErr w:type="spellEnd"/>
      <w:r w:rsidRPr="00880B34">
        <w:rPr>
          <w:b/>
          <w:bCs/>
        </w:rPr>
        <w:t>:</w:t>
      </w:r>
      <w:r w:rsidRPr="00880B34">
        <w:t xml:space="preserve"> Apesar de dispor de relatórios automatizados, a melhor aplicação da estrutura recai na extração dos escores dos agregados para a construção de gráficos parametrizados em ferramentas como ggplot2 (com tabelas formatadas) e sua unificação com malhas espaciais (objetos </w:t>
      </w:r>
      <w:proofErr w:type="spellStart"/>
      <w:r w:rsidRPr="00880B34">
        <w:t>sf</w:t>
      </w:r>
      <w:proofErr w:type="spellEnd"/>
      <w:r w:rsidRPr="00880B34">
        <w:t xml:space="preserve">), gerando projeções em mapas de calor </w:t>
      </w:r>
      <w:proofErr w:type="spellStart"/>
      <w:r w:rsidRPr="00880B34">
        <w:t>coropléticos</w:t>
      </w:r>
      <w:proofErr w:type="spellEnd"/>
      <w:r w:rsidRPr="00880B34">
        <w:t>, fundamentais para análises de território.</w:t>
      </w:r>
    </w:p>
    <w:p w14:paraId="33F6517D" w14:textId="77777777" w:rsidR="00241F1A" w:rsidRDefault="00241F1A"/>
    <w:sectPr w:rsidR="00241F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E26"/>
    <w:multiLevelType w:val="multilevel"/>
    <w:tmpl w:val="E24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52DF"/>
    <w:multiLevelType w:val="multilevel"/>
    <w:tmpl w:val="DD9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87133"/>
    <w:multiLevelType w:val="multilevel"/>
    <w:tmpl w:val="22F0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21640"/>
    <w:multiLevelType w:val="multilevel"/>
    <w:tmpl w:val="6FD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B66BB"/>
    <w:multiLevelType w:val="multilevel"/>
    <w:tmpl w:val="A40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5175A"/>
    <w:multiLevelType w:val="multilevel"/>
    <w:tmpl w:val="0E2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95953"/>
    <w:multiLevelType w:val="multilevel"/>
    <w:tmpl w:val="208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47AD2"/>
    <w:multiLevelType w:val="multilevel"/>
    <w:tmpl w:val="3E2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97CD3"/>
    <w:multiLevelType w:val="multilevel"/>
    <w:tmpl w:val="D85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333B8"/>
    <w:multiLevelType w:val="multilevel"/>
    <w:tmpl w:val="AB38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94210">
    <w:abstractNumId w:val="4"/>
  </w:num>
  <w:num w:numId="2" w16cid:durableId="1505437595">
    <w:abstractNumId w:val="3"/>
  </w:num>
  <w:num w:numId="3" w16cid:durableId="172652613">
    <w:abstractNumId w:val="2"/>
  </w:num>
  <w:num w:numId="4" w16cid:durableId="819346278">
    <w:abstractNumId w:val="6"/>
  </w:num>
  <w:num w:numId="5" w16cid:durableId="89277002">
    <w:abstractNumId w:val="9"/>
  </w:num>
  <w:num w:numId="6" w16cid:durableId="1637030078">
    <w:abstractNumId w:val="8"/>
  </w:num>
  <w:num w:numId="7" w16cid:durableId="1355110595">
    <w:abstractNumId w:val="7"/>
  </w:num>
  <w:num w:numId="8" w16cid:durableId="428280378">
    <w:abstractNumId w:val="0"/>
  </w:num>
  <w:num w:numId="9" w16cid:durableId="19356599">
    <w:abstractNumId w:val="1"/>
  </w:num>
  <w:num w:numId="10" w16cid:durableId="1229537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9A"/>
    <w:rsid w:val="00083272"/>
    <w:rsid w:val="001F33BD"/>
    <w:rsid w:val="00241F1A"/>
    <w:rsid w:val="00432C06"/>
    <w:rsid w:val="006D50C3"/>
    <w:rsid w:val="007642C0"/>
    <w:rsid w:val="00855502"/>
    <w:rsid w:val="00880B34"/>
    <w:rsid w:val="0099370B"/>
    <w:rsid w:val="00A03B9A"/>
    <w:rsid w:val="00BB3477"/>
    <w:rsid w:val="00DC6FF5"/>
    <w:rsid w:val="00E3665F"/>
    <w:rsid w:val="00E44E7A"/>
    <w:rsid w:val="00F556D6"/>
    <w:rsid w:val="00F9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0E0FE-EF7F-4070-8583-32901F1A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- ABNT"/>
    <w:basedOn w:val="Normal"/>
    <w:next w:val="Normal"/>
    <w:link w:val="Ttulo1Char"/>
    <w:autoRedefine/>
    <w:uiPriority w:val="9"/>
    <w:qFormat/>
    <w:rsid w:val="007642C0"/>
    <w:pPr>
      <w:keepNext/>
      <w:keepLines/>
      <w:suppressAutoHyphens/>
      <w:spacing w:before="360" w:after="80" w:line="360" w:lineRule="auto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F33BD"/>
    <w:pPr>
      <w:keepNext/>
      <w:keepLines/>
      <w:suppressAutoHyphens/>
      <w:spacing w:before="160" w:after="80" w:line="276" w:lineRule="auto"/>
      <w:outlineLvl w:val="1"/>
    </w:pPr>
    <w:rPr>
      <w:rFonts w:ascii="Arial" w:eastAsiaTheme="majorEastAsia" w:hAnsi="Arial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3B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3B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3B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3B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3B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3B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3B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1 - ABNT Char"/>
    <w:basedOn w:val="Fontepargpadro"/>
    <w:link w:val="Ttulo1"/>
    <w:uiPriority w:val="9"/>
    <w:qFormat/>
    <w:rsid w:val="007642C0"/>
    <w:rPr>
      <w:rFonts w:ascii="Times New Roman" w:eastAsiaTheme="majorEastAsia" w:hAnsi="Times New Roman" w:cstheme="majorBidi"/>
      <w:b/>
      <w:sz w:val="24"/>
      <w:szCs w:val="40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33BD"/>
    <w:pPr>
      <w:suppressAutoHyphens/>
      <w:spacing w:line="276" w:lineRule="auto"/>
    </w:pPr>
    <w:rPr>
      <w:rFonts w:ascii="Arial" w:eastAsiaTheme="majorEastAsia" w:hAnsi="Arial" w:cstheme="majorBidi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1F33BD"/>
    <w:rPr>
      <w:rFonts w:ascii="Arial" w:eastAsiaTheme="majorEastAsia" w:hAnsi="Arial" w:cstheme="majorBidi"/>
      <w:spacing w:val="15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1F33BD"/>
    <w:rPr>
      <w:rFonts w:ascii="Arial" w:eastAsiaTheme="majorEastAsia" w:hAnsi="Arial" w:cstheme="majorBidi"/>
      <w:sz w:val="32"/>
      <w:szCs w:val="32"/>
    </w:rPr>
  </w:style>
  <w:style w:type="paragraph" w:customStyle="1" w:styleId="ABNT">
    <w:name w:val="ABNT"/>
    <w:basedOn w:val="Normal"/>
    <w:link w:val="ABNTChar"/>
    <w:qFormat/>
    <w:rsid w:val="007642C0"/>
    <w:pPr>
      <w:spacing w:line="360" w:lineRule="auto"/>
      <w:jc w:val="both"/>
    </w:pPr>
    <w:rPr>
      <w:rFonts w:cs="Times New Roman"/>
      <w:szCs w:val="24"/>
    </w:rPr>
  </w:style>
  <w:style w:type="character" w:customStyle="1" w:styleId="ABNTChar">
    <w:name w:val="ABNT Char"/>
    <w:basedOn w:val="Fontepargpadro"/>
    <w:link w:val="ABNT"/>
    <w:rsid w:val="007642C0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3B9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3B9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3B9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3B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3B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3B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3B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A0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3B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3B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3B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3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3B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3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3</Pages>
  <Words>1021</Words>
  <Characters>5515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Santos</dc:creator>
  <cp:keywords/>
  <dc:description/>
  <cp:lastModifiedBy>Samuel Santos</cp:lastModifiedBy>
  <cp:revision>2</cp:revision>
  <dcterms:created xsi:type="dcterms:W3CDTF">2026-05-25T16:05:00Z</dcterms:created>
  <dcterms:modified xsi:type="dcterms:W3CDTF">2026-05-26T01:34:00Z</dcterms:modified>
</cp:coreProperties>
</file>