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AA1C0" w14:textId="46B6B817" w:rsidR="00241F1A" w:rsidRDefault="007D4D14" w:rsidP="007D4D14">
      <w:pPr>
        <w:spacing w:line="360" w:lineRule="auto"/>
      </w:pPr>
      <w:r>
        <w:t xml:space="preserve">Expandir e escrever de forma acadêmica humanizada ( sem que possa ser identificado por </w:t>
      </w:r>
      <w:proofErr w:type="spellStart"/>
      <w:r>
        <w:t>idenficador</w:t>
      </w:r>
      <w:proofErr w:type="spellEnd"/>
      <w:r>
        <w:t xml:space="preserve"> de IA) usando termos técnicos das literaturas apontadas e no sentido de ciência política matizando a linguagem ( é importante a compreensão que o índice de </w:t>
      </w:r>
      <w:proofErr w:type="spellStart"/>
      <w:r>
        <w:t>gini</w:t>
      </w:r>
      <w:proofErr w:type="spellEnd"/>
      <w:r>
        <w:t xml:space="preserve"> aqui usado é uma proxy e não o efeito (usar </w:t>
      </w:r>
      <w:proofErr w:type="spellStart"/>
      <w:r>
        <w:t>kkv</w:t>
      </w:r>
      <w:proofErr w:type="spellEnd"/>
      <w:r>
        <w:t xml:space="preserve">) da política ou seja ele evidencia o possível interferência). Quantidade de página aproximadamente 8 para essa página, escreva as fórmulas para compor o texto e use as referências apontadas, ao final coloque as </w:t>
      </w:r>
      <w:proofErr w:type="spellStart"/>
      <w:r>
        <w:t>referênciass</w:t>
      </w:r>
      <w:proofErr w:type="spellEnd"/>
      <w:r>
        <w:t xml:space="preserve"> </w:t>
      </w:r>
      <w:proofErr w:type="spellStart"/>
      <w:r>
        <w:t>bibliog´raficas</w:t>
      </w:r>
      <w:proofErr w:type="spellEnd"/>
      <w:r>
        <w:t xml:space="preserve"> estilo </w:t>
      </w:r>
      <w:proofErr w:type="spellStart"/>
      <w:r>
        <w:t>abnt</w:t>
      </w:r>
      <w:proofErr w:type="spellEnd"/>
      <w:r>
        <w:t xml:space="preserve">. Esse é um Trabalho desenvolvido em parceria com os gestores da </w:t>
      </w:r>
      <w:proofErr w:type="spellStart"/>
      <w:r>
        <w:t>Pró-Reitoria</w:t>
      </w:r>
      <w:proofErr w:type="spellEnd"/>
      <w:r>
        <w:t xml:space="preserve"> de Recursos Humanos (PRORH) da UFMG, no âmbito da disciplina Laboratório de Gestão e Políticas Públicas, componente do Programa Imersão no Campo de Públicas, no primeiro semestre de 2026.</w:t>
      </w:r>
      <w:r>
        <w:br/>
      </w:r>
      <w:r>
        <w:br/>
      </w:r>
      <w:r w:rsidR="00536725">
        <w:t xml:space="preserve">1. </w:t>
      </w:r>
      <w:r w:rsidR="0049773E">
        <w:t xml:space="preserve">Análise </w:t>
      </w:r>
      <w:r w:rsidR="00C465A2">
        <w:t xml:space="preserve"> (colocar nome técnico para análise usando </w:t>
      </w:r>
      <w:proofErr w:type="spellStart"/>
      <w:r w:rsidR="00C465A2">
        <w:t>gini</w:t>
      </w:r>
      <w:proofErr w:type="spellEnd"/>
      <w:r w:rsidR="00C465A2">
        <w:t xml:space="preserve"> e razão 20/20 utilizado em métodos quantitativos em ciência política)</w:t>
      </w:r>
      <w:r w:rsidR="0049773E">
        <w:br/>
      </w:r>
      <w:r w:rsidR="00700E9B">
        <w:t>Compreendendo os objetivos da Política de Desenvolvimento dos Servidores Técnico</w:t>
      </w:r>
      <w:r w:rsidR="0049773E">
        <w:t xml:space="preserve"> </w:t>
      </w:r>
      <w:r w:rsidR="00700E9B">
        <w:t xml:space="preserve">Administrativos em Educação da Universidade Federal de Minas Gerais </w:t>
      </w:r>
      <w:r w:rsidR="0049773E">
        <w:t xml:space="preserve">fundamentada na resolução complementar 1/2023 de (colocar a data) </w:t>
      </w:r>
      <w:r w:rsidR="00700E9B">
        <w:t xml:space="preserve">podemos observar no Art. 1º inciso </w:t>
      </w:r>
      <w:r w:rsidR="0049773E" w:rsidRPr="0049773E">
        <w:t>IV</w:t>
      </w:r>
      <w:r w:rsidR="0049773E">
        <w:t xml:space="preserve"> bem como (acrescentar com informações da resolução complementar 1/2023 que corroborem que um dos intuitos da política é a melhor distribuição das ações de capacitação entre as unidades da universidade federal de minas gerais, bem como a preocupação do demandante da pesquisa PRORH da UFMG). </w:t>
      </w:r>
      <w:r w:rsidR="00536725">
        <w:t xml:space="preserve">É orientado nesse sentido que o estudo utiliza dois indicadores que podem auxiliar na avaliação da desconcentração das ações de capacitação ( usar </w:t>
      </w:r>
      <w:proofErr w:type="spellStart"/>
      <w:r w:rsidR="00536725">
        <w:t>amartia</w:t>
      </w:r>
      <w:proofErr w:type="spellEnd"/>
      <w:r w:rsidR="00536725">
        <w:t xml:space="preserve"> sem </w:t>
      </w:r>
      <w:r w:rsidR="00536725" w:rsidRPr="00536725">
        <w:t>Desigualdade Reexaminada Obtenha acesso Seta</w:t>
      </w:r>
      <w:r w:rsidR="00536725">
        <w:t xml:space="preserve">  para aprofundar a discussão </w:t>
      </w:r>
      <w:r w:rsidR="00536725" w:rsidRPr="00536725">
        <w:t>igualdade de acesso a oportunidades de desenvolvimento e capacitação</w:t>
      </w:r>
      <w:r w:rsidR="00536725">
        <w:t xml:space="preserve">) sobre  fomentadas pela supramencionada política: o índice de </w:t>
      </w:r>
      <w:proofErr w:type="spellStart"/>
      <w:r w:rsidR="00536725">
        <w:t>gini</w:t>
      </w:r>
      <w:proofErr w:type="spellEnd"/>
      <w:r w:rsidR="00536725">
        <w:t xml:space="preserve"> e a razão</w:t>
      </w:r>
      <w:r w:rsidR="00C465A2">
        <w:t xml:space="preserve"> (usar nomes técnicos de pesquisa quantitativa)</w:t>
      </w:r>
      <w:r w:rsidR="00536725">
        <w:t>.</w:t>
      </w:r>
    </w:p>
    <w:p w14:paraId="0D8CD40D" w14:textId="1A1B4534" w:rsidR="00536725" w:rsidRDefault="00536725" w:rsidP="0049773E">
      <w:pPr>
        <w:spacing w:line="360" w:lineRule="auto"/>
      </w:pPr>
      <w:r>
        <w:t xml:space="preserve">1.1 </w:t>
      </w:r>
      <w:proofErr w:type="spellStart"/>
      <w:r>
        <w:t>gini</w:t>
      </w:r>
      <w:proofErr w:type="spellEnd"/>
    </w:p>
    <w:p w14:paraId="016286E3" w14:textId="53A39DC8" w:rsidR="00536725" w:rsidRDefault="00536725" w:rsidP="0049773E">
      <w:pPr>
        <w:spacing w:line="360" w:lineRule="auto"/>
      </w:pPr>
      <w:r w:rsidRPr="00536725">
        <w:t xml:space="preserve">O Gini não é exclusividade da economia monetária; ele é um operador de dispersão relativa aplicável a qualquer recurso mensurável. </w:t>
      </w:r>
      <w:r w:rsidR="00C465A2">
        <w:t>No nosso estudo</w:t>
      </w:r>
      <w:r w:rsidRPr="00536725">
        <w:t xml:space="preserve"> a variável não é financeira, mas sim a contagem de alocações (</w:t>
      </w:r>
      <w:r w:rsidR="00C465A2">
        <w:t>ações de capacitação</w:t>
      </w:r>
      <w:r w:rsidRPr="00536725">
        <w:t xml:space="preserve">) distribuídas entre $n$ </w:t>
      </w:r>
      <w:proofErr w:type="spellStart"/>
      <w:r w:rsidRPr="00536725">
        <w:t>unidades.A</w:t>
      </w:r>
      <w:proofErr w:type="spellEnd"/>
      <w:r w:rsidRPr="00536725">
        <w:t xml:space="preserve"> Fórmula Matemática (Diferença Média Relativa):Para dados contínuos e não agrupados (considerando cada unidade da instituição de forma individual), a fórmula que deve constar na </w:t>
      </w:r>
      <w:r w:rsidR="00C465A2">
        <w:t xml:space="preserve">metodologia </w:t>
      </w:r>
      <w:r w:rsidRPr="00536725">
        <w:t>é:$$G = \</w:t>
      </w:r>
      <w:proofErr w:type="spellStart"/>
      <w:r w:rsidRPr="00536725">
        <w:t>frac</w:t>
      </w:r>
      <w:proofErr w:type="spellEnd"/>
      <w:r w:rsidRPr="00536725">
        <w:t xml:space="preserve">{\sum_{i=1}^{n} </w:t>
      </w:r>
      <w:r w:rsidRPr="00536725">
        <w:lastRenderedPageBreak/>
        <w:t>\sum_{j=1}^{n} |</w:t>
      </w:r>
      <w:proofErr w:type="spellStart"/>
      <w:r w:rsidRPr="00536725">
        <w:t>y_i</w:t>
      </w:r>
      <w:proofErr w:type="spellEnd"/>
      <w:r w:rsidRPr="00536725">
        <w:t xml:space="preserve"> - </w:t>
      </w:r>
      <w:proofErr w:type="spellStart"/>
      <w:r w:rsidRPr="00536725">
        <w:t>y_j</w:t>
      </w:r>
      <w:proofErr w:type="spellEnd"/>
      <w:r w:rsidRPr="00536725">
        <w:t>|}{2n^2 \mu}$$Onde:$</w:t>
      </w:r>
      <w:proofErr w:type="spellStart"/>
      <w:r w:rsidRPr="00536725">
        <w:t>y_i</w:t>
      </w:r>
      <w:proofErr w:type="spellEnd"/>
      <w:r w:rsidRPr="00536725">
        <w:t>$ e $</w:t>
      </w:r>
      <w:proofErr w:type="spellStart"/>
      <w:r w:rsidRPr="00536725">
        <w:t>y_j</w:t>
      </w:r>
      <w:proofErr w:type="spellEnd"/>
      <w:r w:rsidRPr="00536725">
        <w:t xml:space="preserve">$ representam o volume de oportunidades de capacitação alocadas nas unidades $i$ e $j$.$n$ é o número total de </w:t>
      </w:r>
      <w:r w:rsidR="00C465A2">
        <w:t xml:space="preserve">servidores das </w:t>
      </w:r>
      <w:r w:rsidRPr="00536725">
        <w:t>unidades analisadas.$\mu$ é a média de oportunidades por unidade institucional.</w:t>
      </w:r>
      <w:r w:rsidR="00C465A2">
        <w:t xml:space="preserve"> </w:t>
      </w:r>
      <w:r w:rsidRPr="00536725">
        <w:t>Neste cenário, se uma única unidade concentrasse 100% das vagas de capacitação, o índice seria $1$. Se todas as unidades recebessem exatamente a mesma proporção de vagas em relação ao seu tamanho, o índice seria $0$.</w:t>
      </w:r>
      <w:r w:rsidR="00C465A2">
        <w:t xml:space="preserve"> (expandir e explicar detalhadamente fonte para utilizar como fundamento acadêmico </w:t>
      </w:r>
      <w:r w:rsidR="00C465A2" w:rsidRPr="00C465A2">
        <w:t xml:space="preserve">Thomas, V., Wang, Y., &amp; Fan, X. (2001). </w:t>
      </w:r>
      <w:proofErr w:type="spellStart"/>
      <w:r w:rsidR="00C465A2" w:rsidRPr="00C465A2">
        <w:t>Measuring</w:t>
      </w:r>
      <w:proofErr w:type="spellEnd"/>
      <w:r w:rsidR="00C465A2" w:rsidRPr="00C465A2">
        <w:t xml:space="preserve"> </w:t>
      </w:r>
      <w:proofErr w:type="spellStart"/>
      <w:r w:rsidR="00C465A2" w:rsidRPr="00C465A2">
        <w:t>Education</w:t>
      </w:r>
      <w:proofErr w:type="spellEnd"/>
      <w:r w:rsidR="00C465A2" w:rsidRPr="00C465A2">
        <w:t xml:space="preserve"> </w:t>
      </w:r>
      <w:proofErr w:type="spellStart"/>
      <w:r w:rsidR="00C465A2" w:rsidRPr="00C465A2">
        <w:t>Inequality</w:t>
      </w:r>
      <w:proofErr w:type="spellEnd"/>
      <w:r w:rsidR="00C465A2" w:rsidRPr="00C465A2">
        <w:t xml:space="preserve">: Gini </w:t>
      </w:r>
      <w:proofErr w:type="spellStart"/>
      <w:r w:rsidR="00C465A2" w:rsidRPr="00C465A2">
        <w:t>Coefficients</w:t>
      </w:r>
      <w:proofErr w:type="spellEnd"/>
      <w:r w:rsidR="00C465A2" w:rsidRPr="00C465A2">
        <w:t xml:space="preserve"> </w:t>
      </w:r>
      <w:proofErr w:type="spellStart"/>
      <w:r w:rsidR="00C465A2" w:rsidRPr="00C465A2">
        <w:t>of</w:t>
      </w:r>
      <w:proofErr w:type="spellEnd"/>
      <w:r w:rsidR="00C465A2" w:rsidRPr="00C465A2">
        <w:t xml:space="preserve"> </w:t>
      </w:r>
      <w:proofErr w:type="spellStart"/>
      <w:r w:rsidR="00C465A2" w:rsidRPr="00C465A2">
        <w:t>Education</w:t>
      </w:r>
      <w:proofErr w:type="spellEnd"/>
      <w:r w:rsidR="00C465A2" w:rsidRPr="00C465A2">
        <w:t>.</w:t>
      </w:r>
      <w:r w:rsidR="00C465A2">
        <w:t>)</w:t>
      </w:r>
    </w:p>
    <w:p w14:paraId="5B4E5811" w14:textId="4F91A854" w:rsidR="00536725" w:rsidRDefault="00536725" w:rsidP="0049773E">
      <w:pPr>
        <w:spacing w:line="360" w:lineRule="auto"/>
      </w:pPr>
      <w:r>
        <w:t xml:space="preserve">1.2 </w:t>
      </w:r>
      <w:r w:rsidRPr="00536725">
        <w:t>: A Razão Interquintílica (S80/S20)</w:t>
      </w:r>
    </w:p>
    <w:p w14:paraId="2DEA69E9" w14:textId="0A90491B" w:rsidR="00536725" w:rsidRDefault="00536725" w:rsidP="0049773E">
      <w:pPr>
        <w:spacing w:line="360" w:lineRule="auto"/>
        <w:rPr>
          <w:lang w:val="en-US"/>
        </w:rPr>
      </w:pPr>
      <w:r w:rsidRPr="00536725">
        <w:t>Em estatística, quando dividimos a amostra em cinco partes iguais (20% cada), chamamos isso de quintis. A métrica que você utilizará é a Razão Interquintílica, frequentemente padronizada na literatura metodológica de políticas públicas como a razão S80/S20 (Income/</w:t>
      </w:r>
      <w:proofErr w:type="spellStart"/>
      <w:r w:rsidRPr="00536725">
        <w:t>Opportunity</w:t>
      </w:r>
      <w:proofErr w:type="spellEnd"/>
      <w:r w:rsidRPr="00536725">
        <w:t xml:space="preserve"> </w:t>
      </w:r>
      <w:proofErr w:type="spellStart"/>
      <w:r w:rsidRPr="00536725">
        <w:t>Quintile</w:t>
      </w:r>
      <w:proofErr w:type="spellEnd"/>
      <w:r w:rsidRPr="00536725">
        <w:t xml:space="preserve"> </w:t>
      </w:r>
      <w:proofErr w:type="spellStart"/>
      <w:r w:rsidRPr="00536725">
        <w:t>Share</w:t>
      </w:r>
      <w:proofErr w:type="spellEnd"/>
      <w:r w:rsidRPr="00536725">
        <w:t xml:space="preserve"> </w:t>
      </w:r>
      <w:proofErr w:type="spellStart"/>
      <w:r w:rsidRPr="00536725">
        <w:t>Ratio</w:t>
      </w:r>
      <w:proofErr w:type="spellEnd"/>
      <w:r w:rsidRPr="00536725">
        <w:t xml:space="preserve">).A Fórmula </w:t>
      </w:r>
      <w:proofErr w:type="spellStart"/>
      <w:r w:rsidRPr="00536725">
        <w:t>Matemática:Se</w:t>
      </w:r>
      <w:proofErr w:type="spellEnd"/>
      <w:r w:rsidRPr="00536725">
        <w:t xml:space="preserve"> ordenarmos as unidades acadêmicas ou administrativas da que recebe menos oportunidades para a que recebe mais, e as dividirmos em 5 grupos:$$RIQ_{S80/S20} = \</w:t>
      </w:r>
      <w:proofErr w:type="spellStart"/>
      <w:r w:rsidRPr="00536725">
        <w:t>frac</w:t>
      </w:r>
      <w:proofErr w:type="spellEnd"/>
      <w:r w:rsidRPr="00536725">
        <w:t xml:space="preserve">{\sum_{i \in Q_5} </w:t>
      </w:r>
      <w:proofErr w:type="spellStart"/>
      <w:r w:rsidRPr="00536725">
        <w:t>y_i</w:t>
      </w:r>
      <w:proofErr w:type="spellEnd"/>
      <w:r w:rsidRPr="00536725">
        <w:t xml:space="preserve">}{\sum_{i \in Q_1} </w:t>
      </w:r>
      <w:proofErr w:type="spellStart"/>
      <w:r w:rsidRPr="00536725">
        <w:t>y_i</w:t>
      </w:r>
      <w:proofErr w:type="spellEnd"/>
      <w:r w:rsidRPr="00536725">
        <w:t xml:space="preserve">}$$Onde:$Q_5$ (Quinto Superior ou Top 20%) representa o estrato das 20% das unidades que mais recebem oportunidades de capacitação.$Q_1$ (Primeiro Quinto ou </w:t>
      </w:r>
      <w:proofErr w:type="spellStart"/>
      <w:r w:rsidRPr="00536725">
        <w:t>Bottom</w:t>
      </w:r>
      <w:proofErr w:type="spellEnd"/>
      <w:r w:rsidRPr="00536725">
        <w:t xml:space="preserve"> 20%) representa o estrato das 20% das unidades mais </w:t>
      </w:r>
      <w:proofErr w:type="spellStart"/>
      <w:r w:rsidRPr="00536725">
        <w:t>desassistidas.Por</w:t>
      </w:r>
      <w:proofErr w:type="spellEnd"/>
      <w:r w:rsidRPr="00536725">
        <w:t xml:space="preserve"> que essa métrica é excelente para o seu </w:t>
      </w:r>
      <w:proofErr w:type="spellStart"/>
      <w:r w:rsidRPr="00536725">
        <w:t>caso?Ao</w:t>
      </w:r>
      <w:proofErr w:type="spellEnd"/>
      <w:r w:rsidRPr="00536725">
        <w:t xml:space="preserve"> contrário do Gini, que é sensível a pequenas mudanças no "meio" da distribuição, a razão $S80/S20$ evidencia diretamente a polarização institucional. Ela mostrará exatamente quantas vezes o grupo de unidades mais privilegiadas da instituição concentra oportunidades em relação ao grupo mais negligenciado, oferecendo um argumento político e gerencial muito mais agudo para a gestão pública.</w:t>
      </w:r>
      <w:r w:rsidR="00C465A2">
        <w:t xml:space="preserve"> (usar o texto do : </w:t>
      </w:r>
      <w:r w:rsidR="00C465A2" w:rsidRPr="00C465A2">
        <w:t xml:space="preserve">Ferreira, F. H. G., &amp; </w:t>
      </w:r>
      <w:proofErr w:type="spellStart"/>
      <w:r w:rsidR="00C465A2" w:rsidRPr="00C465A2">
        <w:t>Gignoux</w:t>
      </w:r>
      <w:proofErr w:type="spellEnd"/>
      <w:r w:rsidR="00C465A2" w:rsidRPr="00C465A2">
        <w:t xml:space="preserve">, J. (2011). </w:t>
      </w:r>
      <w:r w:rsidR="00C465A2" w:rsidRPr="00C465A2">
        <w:rPr>
          <w:lang w:val="en-US"/>
        </w:rPr>
        <w:t>The Measurement of Inequality of Opportunity: Theory and an Application to Latin America.</w:t>
      </w:r>
      <w:r w:rsidR="00C465A2">
        <w:rPr>
          <w:lang w:val="en-US"/>
        </w:rPr>
        <w:t>)</w:t>
      </w:r>
    </w:p>
    <w:p w14:paraId="67C21F2D" w14:textId="6357BD22" w:rsidR="00C465A2" w:rsidRDefault="00C465A2" w:rsidP="00C465A2">
      <w:pPr>
        <w:spacing w:line="360" w:lineRule="auto"/>
      </w:pPr>
      <w:r>
        <w:t xml:space="preserve">1.3 </w:t>
      </w:r>
      <w:r w:rsidRPr="00536725">
        <w:t xml:space="preserve">: </w:t>
      </w:r>
      <w:r>
        <w:t>Unidade de análise</w:t>
      </w:r>
    </w:p>
    <w:p w14:paraId="5D42D3BF" w14:textId="0CEE3BA0" w:rsidR="00C465A2" w:rsidRDefault="00C465A2" w:rsidP="0049773E">
      <w:pPr>
        <w:spacing w:line="360" w:lineRule="auto"/>
      </w:pPr>
      <w:r>
        <w:t xml:space="preserve">A unidade de análise foi as unidades acadêmicas da UFMG para medir a dispersão das ações para capacitação bem como </w:t>
      </w:r>
      <w:r w:rsidR="00C05F9A">
        <w:t>evidenciar</w:t>
      </w:r>
      <w:r>
        <w:t xml:space="preserve"> os possíveis efeitos </w:t>
      </w:r>
      <w:r w:rsidR="00C05F9A">
        <w:t xml:space="preserve">que a política de capacitação dos TAE promoveu na melhor distribuição das oportunidades de ações para capacitação. O estudo analisou através do </w:t>
      </w:r>
      <w:proofErr w:type="spellStart"/>
      <w:r w:rsidR="00C05F9A">
        <w:t>gini</w:t>
      </w:r>
      <w:proofErr w:type="spellEnd"/>
      <w:r w:rsidR="00C05F9A">
        <w:t xml:space="preserve"> três dos 6 tipos de benefícios </w:t>
      </w:r>
      <w:proofErr w:type="spellStart"/>
      <w:r w:rsidR="00C05F9A">
        <w:t>aportunisado</w:t>
      </w:r>
      <w:proofErr w:type="spellEnd"/>
      <w:r w:rsidR="00C05F9A">
        <w:t xml:space="preserve"> pela política: </w:t>
      </w:r>
      <w:r w:rsidR="007D4D14" w:rsidRPr="00C05F9A">
        <w:t>Afastamento,</w:t>
      </w:r>
      <w:r w:rsidR="00C05F9A">
        <w:t xml:space="preserve"> </w:t>
      </w:r>
      <w:r w:rsidR="00C05F9A" w:rsidRPr="00C05F9A">
        <w:t>Afastamento de Curta Duração</w:t>
      </w:r>
      <w:r w:rsidR="00C05F9A">
        <w:t xml:space="preserve"> e </w:t>
      </w:r>
      <w:r w:rsidR="00C05F9A" w:rsidRPr="00C05F9A">
        <w:t xml:space="preserve">Auxílio </w:t>
      </w:r>
      <w:r w:rsidR="00C05F9A" w:rsidRPr="00C05F9A">
        <w:lastRenderedPageBreak/>
        <w:t>Financeiro</w:t>
      </w:r>
      <w:r w:rsidR="00C05F9A">
        <w:t xml:space="preserve"> (conforme atrigo 7 da resolução) pois foram os benefícios que continham a disponibilidade de dados suficientes para supramencionada análise, usando o corte temporal de 2022* até 2025. É sob esse escopo que a pesquisa usou como unidade de dispersão a razão entre o número de TAE usuário do benefício / número total de servidores como o per capita para utilização do </w:t>
      </w:r>
      <w:proofErr w:type="spellStart"/>
      <w:r w:rsidR="00C05F9A">
        <w:t>gini</w:t>
      </w:r>
      <w:proofErr w:type="spellEnd"/>
      <w:r w:rsidR="007D4D14">
        <w:t xml:space="preserve"> bem como a utilização da razão interquintílica. </w:t>
      </w:r>
      <w:proofErr w:type="spellStart"/>
      <w:r w:rsidR="007D4D14">
        <w:t>È</w:t>
      </w:r>
      <w:proofErr w:type="spellEnd"/>
      <w:r w:rsidR="007D4D14">
        <w:t xml:space="preserve"> notório observar que as informações aqui contidas advém de dados disponibilizados pela Diretoria de RH da UFMG.</w:t>
      </w:r>
    </w:p>
    <w:p w14:paraId="3E104354" w14:textId="77777777" w:rsidR="008A7261" w:rsidRDefault="008A7261" w:rsidP="0049773E">
      <w:pPr>
        <w:spacing w:line="360" w:lineRule="auto"/>
      </w:pPr>
    </w:p>
    <w:p w14:paraId="74A0CF4E" w14:textId="754DB3DD" w:rsidR="008A7261" w:rsidRPr="00C465A2" w:rsidRDefault="008A7261" w:rsidP="0049773E">
      <w:pPr>
        <w:spacing w:line="360" w:lineRule="auto"/>
      </w:pPr>
      <w:r w:rsidRPr="008A7261">
        <w:t xml:space="preserve">Levando em conta como estou mobilizando os conceitos e os gráficos anexados, faça os principais resultados e conclusão a partir da análise dos gráficos de </w:t>
      </w:r>
      <w:proofErr w:type="spellStart"/>
      <w:r w:rsidRPr="008A7261">
        <w:t>gini</w:t>
      </w:r>
      <w:proofErr w:type="spellEnd"/>
      <w:r w:rsidRPr="008A7261">
        <w:t xml:space="preserve"> e razão interquintílica, busque o estilo de </w:t>
      </w:r>
      <w:proofErr w:type="spellStart"/>
      <w:r w:rsidRPr="008A7261">
        <w:t>dalson</w:t>
      </w:r>
      <w:proofErr w:type="spellEnd"/>
      <w:r w:rsidRPr="008A7261">
        <w:t xml:space="preserve"> figueiredo (não precisa referenciar ABNT ou citar o autor) para fazer essa análise. Lembre-se e isso é de suma importância: a linguagem deve ser matizada evitando afirmações cabais ou afirmações causais, use: a política parece atuar, tem evidências, pode corroborar para evitar a </w:t>
      </w:r>
      <w:proofErr w:type="spellStart"/>
      <w:r w:rsidRPr="008A7261">
        <w:t>pseudo</w:t>
      </w:r>
      <w:proofErr w:type="spellEnd"/>
      <w:r w:rsidRPr="008A7261">
        <w:t xml:space="preserve"> causalidade advinda da análise dos indicadores que mobilizamos no estudo. A parte de principais resultados deve conter 5 páginas A4 e as conclusões 1 página. A separação da parte dos principais resultados deve seguir a estrutura: </w:t>
      </w:r>
      <w:proofErr w:type="spellStart"/>
      <w:r w:rsidRPr="008A7261">
        <w:t>beneefício</w:t>
      </w:r>
      <w:proofErr w:type="spellEnd"/>
      <w:r w:rsidRPr="008A7261">
        <w:t xml:space="preserve"> compreensão do </w:t>
      </w:r>
      <w:proofErr w:type="spellStart"/>
      <w:r w:rsidRPr="008A7261">
        <w:t>gini</w:t>
      </w:r>
      <w:proofErr w:type="spellEnd"/>
      <w:r w:rsidRPr="008A7261">
        <w:t xml:space="preserve"> desse benefício, compreensão interquartílica e </w:t>
      </w:r>
      <w:proofErr w:type="spellStart"/>
      <w:r w:rsidRPr="008A7261">
        <w:t>compreenssão</w:t>
      </w:r>
      <w:proofErr w:type="spellEnd"/>
      <w:r w:rsidRPr="008A7261">
        <w:t xml:space="preserve"> combinada dos dois indicadores, isso para cada benefício (afastamento, afastamento curta e auxílio).</w:t>
      </w:r>
    </w:p>
    <w:sectPr w:rsidR="008A7261" w:rsidRPr="00C465A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04C"/>
    <w:rsid w:val="00083272"/>
    <w:rsid w:val="001F33BD"/>
    <w:rsid w:val="00241F1A"/>
    <w:rsid w:val="00346BBF"/>
    <w:rsid w:val="00432C06"/>
    <w:rsid w:val="0049773E"/>
    <w:rsid w:val="00536725"/>
    <w:rsid w:val="006D50C3"/>
    <w:rsid w:val="00700E9B"/>
    <w:rsid w:val="007642C0"/>
    <w:rsid w:val="007D4D14"/>
    <w:rsid w:val="008A7261"/>
    <w:rsid w:val="0099370B"/>
    <w:rsid w:val="009B704C"/>
    <w:rsid w:val="00A1276F"/>
    <w:rsid w:val="00BB3477"/>
    <w:rsid w:val="00BE0F2E"/>
    <w:rsid w:val="00C05F9A"/>
    <w:rsid w:val="00C465A2"/>
    <w:rsid w:val="00DC6FF5"/>
    <w:rsid w:val="00E44E7A"/>
    <w:rsid w:val="00F556D6"/>
    <w:rsid w:val="00F9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85ABE"/>
  <w15:chartTrackingRefBased/>
  <w15:docId w15:val="{364DC76C-0EAE-4A24-BEC8-C22AA5DC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Título 1 - ABNT"/>
    <w:basedOn w:val="Normal"/>
    <w:next w:val="Normal"/>
    <w:link w:val="Ttulo1Char"/>
    <w:autoRedefine/>
    <w:uiPriority w:val="9"/>
    <w:qFormat/>
    <w:rsid w:val="007642C0"/>
    <w:pPr>
      <w:keepNext/>
      <w:keepLines/>
      <w:suppressAutoHyphens/>
      <w:spacing w:before="360" w:after="80" w:line="360" w:lineRule="auto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F33BD"/>
    <w:pPr>
      <w:keepNext/>
      <w:keepLines/>
      <w:suppressAutoHyphens/>
      <w:spacing w:before="160" w:after="80" w:line="276" w:lineRule="auto"/>
      <w:outlineLvl w:val="1"/>
    </w:pPr>
    <w:rPr>
      <w:rFonts w:ascii="Arial" w:eastAsiaTheme="majorEastAsia" w:hAnsi="Arial" w:cstheme="majorBidi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70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70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70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70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70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70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70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Título 1 - ABNT Char"/>
    <w:basedOn w:val="Fontepargpadro"/>
    <w:link w:val="Ttulo1"/>
    <w:uiPriority w:val="9"/>
    <w:qFormat/>
    <w:rsid w:val="007642C0"/>
    <w:rPr>
      <w:rFonts w:ascii="Times New Roman" w:eastAsiaTheme="majorEastAsia" w:hAnsi="Times New Roman" w:cstheme="majorBidi"/>
      <w:b/>
      <w:sz w:val="24"/>
      <w:szCs w:val="40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33BD"/>
    <w:pPr>
      <w:suppressAutoHyphens/>
      <w:spacing w:line="276" w:lineRule="auto"/>
    </w:pPr>
    <w:rPr>
      <w:rFonts w:ascii="Arial" w:eastAsiaTheme="majorEastAsia" w:hAnsi="Arial" w:cstheme="majorBidi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1F33BD"/>
    <w:rPr>
      <w:rFonts w:ascii="Arial" w:eastAsiaTheme="majorEastAsia" w:hAnsi="Arial" w:cstheme="majorBidi"/>
      <w:spacing w:val="15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1F33BD"/>
    <w:rPr>
      <w:rFonts w:ascii="Arial" w:eastAsiaTheme="majorEastAsia" w:hAnsi="Arial" w:cstheme="majorBidi"/>
      <w:sz w:val="32"/>
      <w:szCs w:val="32"/>
    </w:rPr>
  </w:style>
  <w:style w:type="paragraph" w:customStyle="1" w:styleId="ABNT">
    <w:name w:val="ABNT"/>
    <w:basedOn w:val="Normal"/>
    <w:link w:val="ABNTChar"/>
    <w:qFormat/>
    <w:rsid w:val="007642C0"/>
    <w:pPr>
      <w:spacing w:line="360" w:lineRule="auto"/>
      <w:jc w:val="both"/>
    </w:pPr>
    <w:rPr>
      <w:rFonts w:cs="Times New Roman"/>
      <w:szCs w:val="24"/>
    </w:rPr>
  </w:style>
  <w:style w:type="character" w:customStyle="1" w:styleId="ABNTChar">
    <w:name w:val="ABNT Char"/>
    <w:basedOn w:val="Fontepargpadro"/>
    <w:link w:val="ABNT"/>
    <w:rsid w:val="007642C0"/>
    <w:rPr>
      <w:rFonts w:ascii="Times New Roman" w:hAnsi="Times New Roman" w:cs="Times New Roman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704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704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704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70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70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70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70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7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7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o">
    <w:name w:val="Quote"/>
    <w:basedOn w:val="Normal"/>
    <w:next w:val="Normal"/>
    <w:link w:val="CitaoChar"/>
    <w:uiPriority w:val="29"/>
    <w:qFormat/>
    <w:rsid w:val="009B7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70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70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704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70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704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70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995</Words>
  <Characters>5378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Samuel Santos</cp:lastModifiedBy>
  <cp:revision>4</cp:revision>
  <dcterms:created xsi:type="dcterms:W3CDTF">2026-06-12T22:25:00Z</dcterms:created>
  <dcterms:modified xsi:type="dcterms:W3CDTF">2026-06-13T14:16:00Z</dcterms:modified>
</cp:coreProperties>
</file>