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E3280" w14:textId="7601EFD2" w:rsidR="00EB00FA" w:rsidRDefault="00000000">
      <w:pPr>
        <w:pBdr>
          <w:top w:val="nil"/>
          <w:left w:val="nil"/>
          <w:bottom w:val="nil"/>
          <w:right w:val="nil"/>
          <w:between w:val="nil"/>
        </w:pBdr>
        <w:spacing w:after="240"/>
        <w:ind w:right="567"/>
        <w:rPr>
          <w:rFonts w:ascii="Century Gothic" w:eastAsia="Century Gothic" w:hAnsi="Century Gothic" w:cs="Century Gothic"/>
          <w:b/>
          <w:bCs/>
          <w:color w:val="000000"/>
          <w:sz w:val="32"/>
          <w:szCs w:val="32"/>
        </w:rPr>
      </w:pPr>
      <w:r>
        <w:rPr>
          <w:rFonts w:ascii="Century Gothic" w:eastAsia="Century Gothic" w:hAnsi="Century Gothic" w:cs="Century Gothic"/>
          <w:b/>
          <w:bCs/>
          <w:color w:val="000000"/>
          <w:sz w:val="32"/>
          <w:szCs w:val="32"/>
        </w:rPr>
        <w:t xml:space="preserve">Desafios da </w:t>
      </w:r>
      <w:r w:rsidR="00252AD9">
        <w:rPr>
          <w:rFonts w:ascii="Century Gothic" w:eastAsia="Century Gothic" w:hAnsi="Century Gothic" w:cs="Century Gothic"/>
          <w:b/>
          <w:bCs/>
          <w:color w:val="000000"/>
          <w:sz w:val="32"/>
          <w:szCs w:val="32"/>
        </w:rPr>
        <w:t>T</w:t>
      </w:r>
      <w:r>
        <w:rPr>
          <w:rFonts w:ascii="Century Gothic" w:eastAsia="Century Gothic" w:hAnsi="Century Gothic" w:cs="Century Gothic"/>
          <w:b/>
          <w:bCs/>
          <w:color w:val="000000"/>
          <w:sz w:val="32"/>
          <w:szCs w:val="32"/>
        </w:rPr>
        <w:t xml:space="preserve">arifa </w:t>
      </w:r>
      <w:r w:rsidR="00252AD9">
        <w:rPr>
          <w:rFonts w:ascii="Century Gothic" w:eastAsia="Century Gothic" w:hAnsi="Century Gothic" w:cs="Century Gothic"/>
          <w:b/>
          <w:bCs/>
          <w:color w:val="000000"/>
          <w:sz w:val="32"/>
          <w:szCs w:val="32"/>
        </w:rPr>
        <w:t>Z</w:t>
      </w:r>
      <w:r>
        <w:rPr>
          <w:rFonts w:ascii="Century Gothic" w:eastAsia="Century Gothic" w:hAnsi="Century Gothic" w:cs="Century Gothic"/>
          <w:b/>
          <w:bCs/>
          <w:color w:val="000000"/>
          <w:sz w:val="32"/>
          <w:szCs w:val="32"/>
        </w:rPr>
        <w:t>ero: Perfil dos Municípios que Adotaram a Gratuidade no Transporte Coletivo Urbano no Brasil</w:t>
      </w:r>
    </w:p>
    <w:p w14:paraId="12A43770" w14:textId="1C98EC9F" w:rsidR="00EB00FA" w:rsidRPr="003A02C0" w:rsidRDefault="00000000">
      <w:pPr>
        <w:keepNext/>
        <w:pBdr>
          <w:top w:val="nil"/>
          <w:left w:val="nil"/>
          <w:bottom w:val="nil"/>
          <w:right w:val="nil"/>
          <w:between w:val="nil"/>
        </w:pBdr>
        <w:spacing w:before="360"/>
        <w:rPr>
          <w:rFonts w:ascii="Century Gothic" w:eastAsia="Century Gothic" w:hAnsi="Century Gothic" w:cs="Century Gothic"/>
          <w:i/>
          <w:iCs/>
          <w:color w:val="000000"/>
          <w:sz w:val="23"/>
          <w:szCs w:val="23"/>
          <w:lang w:val="en-US"/>
        </w:rPr>
      </w:pPr>
      <w:r w:rsidRPr="003A02C0">
        <w:rPr>
          <w:rFonts w:ascii="Century Gothic" w:eastAsia="Century Gothic" w:hAnsi="Century Gothic" w:cs="Century Gothic"/>
          <w:i/>
          <w:iCs/>
          <w:color w:val="000000"/>
          <w:sz w:val="23"/>
          <w:szCs w:val="23"/>
          <w:lang w:val="en-US"/>
        </w:rPr>
        <w:t xml:space="preserve">Challenges of </w:t>
      </w:r>
      <w:r w:rsidR="00252AD9" w:rsidRPr="003A02C0">
        <w:rPr>
          <w:rFonts w:ascii="Century Gothic" w:eastAsia="Century Gothic" w:hAnsi="Century Gothic" w:cs="Century Gothic"/>
          <w:i/>
          <w:iCs/>
          <w:color w:val="000000"/>
          <w:sz w:val="23"/>
          <w:szCs w:val="23"/>
          <w:lang w:val="en-US"/>
        </w:rPr>
        <w:t>Z</w:t>
      </w:r>
      <w:r w:rsidRPr="003A02C0">
        <w:rPr>
          <w:rFonts w:ascii="Century Gothic" w:eastAsia="Century Gothic" w:hAnsi="Century Gothic" w:cs="Century Gothic"/>
          <w:i/>
          <w:iCs/>
          <w:color w:val="000000"/>
          <w:sz w:val="23"/>
          <w:szCs w:val="23"/>
          <w:lang w:val="en-US"/>
        </w:rPr>
        <w:t>ero-fare: Profile of Municipalities that Adopted Free Urban Public Transport in Brazil</w:t>
      </w:r>
    </w:p>
    <w:p w14:paraId="18E84574" w14:textId="389DD09A" w:rsidR="00252AD9" w:rsidRPr="003A02C0" w:rsidRDefault="00252AD9">
      <w:pPr>
        <w:keepNext/>
        <w:pBdr>
          <w:top w:val="nil"/>
          <w:left w:val="nil"/>
          <w:bottom w:val="nil"/>
          <w:right w:val="nil"/>
          <w:between w:val="nil"/>
        </w:pBdr>
        <w:spacing w:before="360"/>
        <w:rPr>
          <w:rFonts w:ascii="Century Gothic" w:eastAsia="Century Gothic" w:hAnsi="Century Gothic" w:cs="Century Gothic"/>
          <w:b/>
          <w:bCs/>
          <w:color w:val="000000"/>
          <w:lang w:val="en-US"/>
        </w:rPr>
      </w:pPr>
    </w:p>
    <w:p w14:paraId="40EF7C7C" w14:textId="77777777" w:rsidR="00EB00FA" w:rsidRDefault="00000000">
      <w:pPr>
        <w:keepNext/>
        <w:pBdr>
          <w:top w:val="nil"/>
          <w:left w:val="nil"/>
          <w:bottom w:val="nil"/>
          <w:right w:val="nil"/>
          <w:between w:val="nil"/>
        </w:pBdr>
        <w:spacing w:before="360"/>
        <w:rPr>
          <w:rFonts w:ascii="Century Gothic" w:eastAsia="Century Gothic" w:hAnsi="Century Gothic" w:cs="Century Gothic"/>
          <w:b/>
          <w:bCs/>
          <w:color w:val="000000"/>
        </w:rPr>
      </w:pPr>
      <w:r>
        <w:rPr>
          <w:rFonts w:ascii="Century Gothic" w:eastAsia="Century Gothic" w:hAnsi="Century Gothic" w:cs="Century Gothic"/>
          <w:b/>
          <w:bCs/>
          <w:color w:val="000000"/>
        </w:rPr>
        <w:t>Resumo</w:t>
      </w:r>
    </w:p>
    <w:p w14:paraId="3E876EBF" w14:textId="77777777" w:rsidR="00EB00FA" w:rsidRDefault="00000000">
      <w:pPr>
        <w:pBdr>
          <w:top w:val="nil"/>
          <w:left w:val="nil"/>
          <w:bottom w:val="nil"/>
          <w:right w:val="nil"/>
          <w:between w:val="nil"/>
        </w:pBdr>
        <w:spacing w:before="113"/>
        <w:ind w:left="907"/>
        <w:jc w:val="both"/>
        <w:rPr>
          <w:rFonts w:ascii="Cambria" w:eastAsia="Cambria" w:hAnsi="Cambria" w:cs="Cambria"/>
          <w:color w:val="000000"/>
          <w:sz w:val="19"/>
          <w:szCs w:val="19"/>
        </w:rPr>
      </w:pPr>
      <w:r>
        <w:rPr>
          <w:rFonts w:ascii="Cambria" w:eastAsia="Cambria" w:hAnsi="Cambria" w:cs="Cambria"/>
          <w:color w:val="000000"/>
          <w:sz w:val="19"/>
          <w:szCs w:val="19"/>
        </w:rPr>
        <w:t xml:space="preserve">O artigo analisa o perfil dos municípios brasileiros que adotaram a política de tarifa zero no transporte coletivo urbano. As mobilizações sociais contribuíram para a constitucionalização do transporte como direito social e sua expansão com gratuidade total, que saltou de 19 municípios em 2013 para 136 municípios em 2025. Apesar do aumento expressivo (615%), a política permanece restrita a 2,4% de 5.570 municípios. A pesquisa combinou análise documental, série temporal interrompida e redução de viés das estimativas de máxima verossimilhança para verificar se características demográficas, socioeconômicas, fiscais e regionais influenciaram a probabilidade de um município adotar a tarifa zero. Os resultados indicam que o tamanho da população e a proporção de pessoas de baixa renda apresentam dois comportamentos distintos em relação à adoção: abaixo de 48.420 habitantes e com até 52,2% de pessoas de baixa renda, a influência na adoção é positiva; acima desses patamares, torna-se negativa. A saúde financeira, PIB </w:t>
      </w:r>
      <w:r>
        <w:rPr>
          <w:rFonts w:ascii="Cambria" w:eastAsia="Cambria" w:hAnsi="Cambria" w:cs="Cambria"/>
          <w:i/>
          <w:iCs/>
          <w:color w:val="000000"/>
          <w:sz w:val="19"/>
          <w:szCs w:val="19"/>
        </w:rPr>
        <w:t>per capita</w:t>
      </w:r>
      <w:r>
        <w:rPr>
          <w:rFonts w:ascii="Cambria" w:eastAsia="Cambria" w:hAnsi="Cambria" w:cs="Cambria"/>
          <w:color w:val="000000"/>
          <w:sz w:val="19"/>
          <w:szCs w:val="19"/>
        </w:rPr>
        <w:t xml:space="preserve"> mais elevado e localização na região Sudeste aumentaram a probabilidade de adoção, sem efeitos significativos observados para demais macrorregiões. Conclui-se que a expansão da política de tarifa zero enfrenta desafios para sua universalização como direito social quando se consideram os diferentes perfis dos municípios brasileiros.</w:t>
      </w:r>
    </w:p>
    <w:p w14:paraId="6CB07D16" w14:textId="23DBB032" w:rsidR="00EB00FA" w:rsidRDefault="00000000">
      <w:pPr>
        <w:pBdr>
          <w:top w:val="nil"/>
          <w:left w:val="nil"/>
          <w:bottom w:val="nil"/>
          <w:right w:val="nil"/>
          <w:between w:val="nil"/>
        </w:pBdr>
        <w:spacing w:before="113"/>
        <w:ind w:left="907"/>
        <w:rPr>
          <w:rFonts w:ascii="Cambria" w:eastAsia="Cambria" w:hAnsi="Cambria" w:cs="Cambria"/>
          <w:color w:val="000000"/>
          <w:sz w:val="19"/>
          <w:szCs w:val="19"/>
        </w:rPr>
      </w:pPr>
      <w:r>
        <w:rPr>
          <w:rFonts w:ascii="Cambria" w:eastAsia="Cambria" w:hAnsi="Cambria" w:cs="Cambria"/>
          <w:b/>
          <w:bCs/>
          <w:color w:val="000000"/>
          <w:sz w:val="19"/>
          <w:szCs w:val="19"/>
        </w:rPr>
        <w:t>Palavras-chave:</w:t>
      </w:r>
      <w:r>
        <w:rPr>
          <w:rFonts w:ascii="Cambria" w:eastAsia="Cambria" w:hAnsi="Cambria" w:cs="Cambria"/>
          <w:color w:val="000000"/>
          <w:sz w:val="19"/>
          <w:szCs w:val="19"/>
        </w:rPr>
        <w:t xml:space="preserve"> Transporte coletivo urbano, Direitos sociais, </w:t>
      </w:r>
      <w:r w:rsidR="004B1A08">
        <w:rPr>
          <w:rFonts w:ascii="Cambria" w:eastAsia="Cambria" w:hAnsi="Cambria" w:cs="Cambria"/>
          <w:color w:val="000000"/>
          <w:sz w:val="19"/>
          <w:szCs w:val="19"/>
        </w:rPr>
        <w:t>Tarifa zero</w:t>
      </w:r>
      <w:r w:rsidR="003A02C0">
        <w:rPr>
          <w:rFonts w:ascii="Cambria" w:eastAsia="Cambria" w:hAnsi="Cambria" w:cs="Cambria"/>
          <w:color w:val="000000"/>
          <w:sz w:val="19"/>
          <w:szCs w:val="19"/>
        </w:rPr>
        <w:t>,</w:t>
      </w:r>
      <w:r w:rsidR="004B1A08">
        <w:rPr>
          <w:rFonts w:ascii="Cambria" w:eastAsia="Cambria" w:hAnsi="Cambria" w:cs="Cambria"/>
          <w:color w:val="000000"/>
          <w:sz w:val="19"/>
          <w:szCs w:val="19"/>
        </w:rPr>
        <w:t xml:space="preserve"> </w:t>
      </w:r>
      <w:r>
        <w:rPr>
          <w:rFonts w:ascii="Cambria" w:eastAsia="Cambria" w:hAnsi="Cambria" w:cs="Cambria"/>
          <w:color w:val="000000"/>
          <w:sz w:val="19"/>
          <w:szCs w:val="19"/>
        </w:rPr>
        <w:t>Municípios, Brasil.</w:t>
      </w:r>
    </w:p>
    <w:p w14:paraId="49BB9DD1" w14:textId="77777777" w:rsidR="00EB00FA" w:rsidRPr="003A02C0" w:rsidRDefault="00000000">
      <w:pPr>
        <w:keepNext/>
        <w:pBdr>
          <w:top w:val="nil"/>
          <w:left w:val="nil"/>
          <w:bottom w:val="nil"/>
          <w:right w:val="nil"/>
          <w:between w:val="nil"/>
        </w:pBdr>
        <w:spacing w:before="360"/>
        <w:rPr>
          <w:rFonts w:ascii="Century Gothic" w:eastAsia="Century Gothic" w:hAnsi="Century Gothic" w:cs="Century Gothic"/>
          <w:b/>
          <w:bCs/>
          <w:i/>
          <w:iCs/>
          <w:color w:val="000000"/>
          <w:lang w:val="en-US"/>
        </w:rPr>
      </w:pPr>
      <w:r w:rsidRPr="003A02C0">
        <w:rPr>
          <w:rFonts w:ascii="Century Gothic" w:eastAsia="Century Gothic" w:hAnsi="Century Gothic" w:cs="Century Gothic"/>
          <w:b/>
          <w:bCs/>
          <w:i/>
          <w:iCs/>
          <w:color w:val="000000"/>
          <w:lang w:val="en-US"/>
        </w:rPr>
        <w:t>Abstract</w:t>
      </w:r>
    </w:p>
    <w:p w14:paraId="3DA23943" w14:textId="77777777" w:rsidR="00EB00FA" w:rsidRPr="003A02C0" w:rsidRDefault="00000000">
      <w:pPr>
        <w:pBdr>
          <w:top w:val="nil"/>
          <w:left w:val="nil"/>
          <w:bottom w:val="nil"/>
          <w:right w:val="nil"/>
          <w:between w:val="nil"/>
        </w:pBdr>
        <w:tabs>
          <w:tab w:val="left" w:pos="5321"/>
        </w:tabs>
        <w:spacing w:before="113"/>
        <w:ind w:left="907"/>
        <w:jc w:val="both"/>
        <w:rPr>
          <w:rFonts w:ascii="Cambria" w:eastAsia="Cambria" w:hAnsi="Cambria" w:cs="Cambria"/>
          <w:i/>
          <w:iCs/>
          <w:color w:val="000000"/>
          <w:sz w:val="19"/>
          <w:szCs w:val="19"/>
          <w:lang w:val="en-US"/>
        </w:rPr>
      </w:pPr>
      <w:r w:rsidRPr="003A02C0">
        <w:rPr>
          <w:rFonts w:ascii="Cambria" w:eastAsia="Cambria" w:hAnsi="Cambria" w:cs="Cambria"/>
          <w:i/>
          <w:iCs/>
          <w:color w:val="000000"/>
          <w:sz w:val="19"/>
          <w:szCs w:val="19"/>
          <w:lang w:val="en-US"/>
        </w:rPr>
        <w:t>The article analyzes the profile of Brazilian municipalities that have adopted the zero-fare policy in urban public transportation. Social mobilizations contributed to the constitutionalization of transportation as a social right and its expansion with completely free transit, which jumped from 19 municipalities in 2013 to 136 municipalities in 2025. Despite the significant increase (615%), the policy remains restricted to 2.4% of 5,570 municipalities. The research combined document analysis, interrupted time series, and bias reduction of maximum likelihood estimates to verify whether demographic, socioeconomic, fiscal, and regional characteristics influenced the probability of a municipality adopting the zero-fare policy. The results indicate that population size and the proportion of low-income individuals present two distinct behaviors regarding adoption: below 48,420 inhabitants and with up to 52.2% of low-income individuals, the influence on adoption is positive; above these thresholds, it becomes negative. Financial health, a higher per capita GDP, and location in the Southeast region increased the probability of adoption, with no significant effects observed for other macro-regions. The study concludes that the expansion of the zero-fare policy faces challenges for its universalization as a social right when considering the different profiles of Brazilian municipalities.</w:t>
      </w:r>
    </w:p>
    <w:p w14:paraId="137B8D1E" w14:textId="368BB5EA" w:rsidR="00EB00FA" w:rsidRPr="003A02C0" w:rsidRDefault="00000000">
      <w:pPr>
        <w:pBdr>
          <w:top w:val="nil"/>
          <w:left w:val="nil"/>
          <w:bottom w:val="nil"/>
          <w:right w:val="nil"/>
          <w:between w:val="nil"/>
        </w:pBdr>
        <w:tabs>
          <w:tab w:val="left" w:pos="5321"/>
        </w:tabs>
        <w:spacing w:before="113"/>
        <w:ind w:left="907"/>
        <w:rPr>
          <w:rFonts w:ascii="Cambria" w:eastAsia="Cambria" w:hAnsi="Cambria" w:cs="Cambria"/>
          <w:i/>
          <w:iCs/>
          <w:color w:val="000000"/>
          <w:sz w:val="19"/>
          <w:szCs w:val="19"/>
          <w:lang w:val="en-US"/>
        </w:rPr>
        <w:sectPr w:rsidR="00EB00FA" w:rsidRPr="003A02C0">
          <w:footerReference w:type="default" r:id="rId9"/>
          <w:pgSz w:w="11906" w:h="16838"/>
          <w:pgMar w:top="1134" w:right="1701" w:bottom="1134" w:left="1701" w:header="709" w:footer="709" w:gutter="0"/>
          <w:pgNumType w:start="1"/>
          <w:cols w:space="720"/>
        </w:sectPr>
      </w:pPr>
      <w:r w:rsidRPr="003A02C0">
        <w:rPr>
          <w:rFonts w:ascii="Cambria" w:eastAsia="Cambria" w:hAnsi="Cambria" w:cs="Cambria"/>
          <w:b/>
          <w:bCs/>
          <w:i/>
          <w:iCs/>
          <w:color w:val="000000"/>
          <w:sz w:val="19"/>
          <w:szCs w:val="19"/>
          <w:lang w:val="en-US"/>
        </w:rPr>
        <w:t>Keywords</w:t>
      </w:r>
      <w:r w:rsidR="003A02C0">
        <w:rPr>
          <w:rFonts w:ascii="Cambria" w:eastAsia="Cambria" w:hAnsi="Cambria" w:cs="Cambria"/>
          <w:b/>
          <w:bCs/>
          <w:i/>
          <w:iCs/>
          <w:color w:val="000000"/>
          <w:sz w:val="19"/>
          <w:szCs w:val="19"/>
          <w:lang w:val="en-US"/>
        </w:rPr>
        <w:t xml:space="preserve">: </w:t>
      </w:r>
      <w:r w:rsidRPr="003A02C0">
        <w:rPr>
          <w:rFonts w:ascii="Cambria" w:eastAsia="Cambria" w:hAnsi="Cambria" w:cs="Cambria"/>
          <w:i/>
          <w:iCs/>
          <w:color w:val="000000"/>
          <w:sz w:val="19"/>
          <w:szCs w:val="19"/>
          <w:lang w:val="en-US"/>
        </w:rPr>
        <w:t>Urban public transport</w:t>
      </w:r>
      <w:r w:rsidR="003A02C0">
        <w:rPr>
          <w:rFonts w:ascii="Cambria" w:eastAsia="Cambria" w:hAnsi="Cambria" w:cs="Cambria"/>
          <w:i/>
          <w:iCs/>
          <w:color w:val="000000"/>
          <w:sz w:val="19"/>
          <w:szCs w:val="19"/>
          <w:lang w:val="en-US"/>
        </w:rPr>
        <w:t>,</w:t>
      </w:r>
      <w:r w:rsidRPr="003A02C0">
        <w:rPr>
          <w:rFonts w:ascii="Cambria" w:eastAsia="Cambria" w:hAnsi="Cambria" w:cs="Cambria"/>
          <w:i/>
          <w:iCs/>
          <w:color w:val="000000"/>
          <w:sz w:val="19"/>
          <w:szCs w:val="19"/>
          <w:lang w:val="en-US"/>
        </w:rPr>
        <w:t xml:space="preserve"> Social rights</w:t>
      </w:r>
      <w:r w:rsidR="003A02C0">
        <w:rPr>
          <w:rFonts w:ascii="Cambria" w:eastAsia="Cambria" w:hAnsi="Cambria" w:cs="Cambria"/>
          <w:i/>
          <w:iCs/>
          <w:color w:val="000000"/>
          <w:sz w:val="19"/>
          <w:szCs w:val="19"/>
          <w:lang w:val="en-US"/>
        </w:rPr>
        <w:t>,</w:t>
      </w:r>
      <w:r w:rsidRPr="003A02C0">
        <w:rPr>
          <w:rFonts w:ascii="Cambria" w:eastAsia="Cambria" w:hAnsi="Cambria" w:cs="Cambria"/>
          <w:i/>
          <w:iCs/>
          <w:color w:val="000000"/>
          <w:sz w:val="19"/>
          <w:szCs w:val="19"/>
          <w:lang w:val="en-US"/>
        </w:rPr>
        <w:t xml:space="preserve"> </w:t>
      </w:r>
      <w:r w:rsidR="004B1A08" w:rsidRPr="003A02C0">
        <w:rPr>
          <w:rFonts w:ascii="Cambria" w:eastAsia="Cambria" w:hAnsi="Cambria" w:cs="Cambria"/>
          <w:i/>
          <w:iCs/>
          <w:color w:val="000000"/>
          <w:sz w:val="19"/>
          <w:szCs w:val="19"/>
          <w:lang w:val="en-US"/>
        </w:rPr>
        <w:t>Zero-fare</w:t>
      </w:r>
      <w:r w:rsidR="003A02C0">
        <w:rPr>
          <w:rFonts w:ascii="Cambria" w:eastAsia="Cambria" w:hAnsi="Cambria" w:cs="Cambria"/>
          <w:i/>
          <w:iCs/>
          <w:color w:val="000000"/>
          <w:sz w:val="19"/>
          <w:szCs w:val="19"/>
          <w:lang w:val="en-US"/>
        </w:rPr>
        <w:t>,</w:t>
      </w:r>
      <w:r w:rsidR="004B1A08" w:rsidRPr="003A02C0">
        <w:rPr>
          <w:rFonts w:ascii="Cambria" w:eastAsia="Cambria" w:hAnsi="Cambria" w:cs="Cambria"/>
          <w:i/>
          <w:iCs/>
          <w:color w:val="000000"/>
          <w:sz w:val="19"/>
          <w:szCs w:val="19"/>
          <w:lang w:val="en-US"/>
        </w:rPr>
        <w:t xml:space="preserve"> </w:t>
      </w:r>
      <w:r w:rsidRPr="003A02C0">
        <w:rPr>
          <w:rFonts w:ascii="Cambria" w:eastAsia="Cambria" w:hAnsi="Cambria" w:cs="Cambria"/>
          <w:i/>
          <w:iCs/>
          <w:color w:val="000000"/>
          <w:sz w:val="19"/>
          <w:szCs w:val="19"/>
          <w:lang w:val="en-US"/>
        </w:rPr>
        <w:t>Municipalities</w:t>
      </w:r>
      <w:r w:rsidR="003A02C0">
        <w:rPr>
          <w:rFonts w:ascii="Cambria" w:eastAsia="Cambria" w:hAnsi="Cambria" w:cs="Cambria"/>
          <w:i/>
          <w:iCs/>
          <w:color w:val="000000"/>
          <w:sz w:val="19"/>
          <w:szCs w:val="19"/>
          <w:lang w:val="en-US"/>
        </w:rPr>
        <w:t>,</w:t>
      </w:r>
      <w:r w:rsidRPr="003A02C0">
        <w:rPr>
          <w:rFonts w:ascii="Cambria" w:eastAsia="Cambria" w:hAnsi="Cambria" w:cs="Cambria"/>
          <w:i/>
          <w:iCs/>
          <w:color w:val="000000"/>
          <w:sz w:val="19"/>
          <w:szCs w:val="19"/>
          <w:lang w:val="en-US"/>
        </w:rPr>
        <w:t xml:space="preserve"> Brazil.</w:t>
      </w:r>
    </w:p>
    <w:p w14:paraId="05E18035" w14:textId="77777777" w:rsidR="00EB00FA" w:rsidRDefault="00000000">
      <w:pPr>
        <w:keepNext/>
        <w:keepLines/>
        <w:pBdr>
          <w:top w:val="nil"/>
          <w:left w:val="nil"/>
          <w:bottom w:val="nil"/>
          <w:right w:val="nil"/>
          <w:between w:val="nil"/>
        </w:pBdr>
        <w:spacing w:before="510" w:after="283" w:line="288" w:lineRule="auto"/>
        <w:rPr>
          <w:rFonts w:ascii="Century Gothic" w:eastAsia="Century Gothic" w:hAnsi="Century Gothic" w:cs="Century Gothic"/>
          <w:b/>
          <w:bCs/>
          <w:color w:val="000000"/>
          <w:sz w:val="22"/>
          <w:szCs w:val="22"/>
        </w:rPr>
      </w:pPr>
      <w:r>
        <w:rPr>
          <w:rFonts w:ascii="Century Gothic" w:eastAsia="Century Gothic" w:hAnsi="Century Gothic" w:cs="Century Gothic"/>
          <w:b/>
          <w:bCs/>
          <w:color w:val="000000"/>
          <w:sz w:val="22"/>
          <w:szCs w:val="22"/>
        </w:rPr>
        <w:lastRenderedPageBreak/>
        <w:t>Introdução</w:t>
      </w:r>
    </w:p>
    <w:p w14:paraId="37002F98" w14:textId="4384B059" w:rsidR="00EB00FA" w:rsidRDefault="00000000">
      <w:pPr>
        <w:keepNext/>
        <w:keepLines/>
        <w:pBdr>
          <w:top w:val="nil"/>
          <w:left w:val="nil"/>
          <w:bottom w:val="nil"/>
          <w:right w:val="nil"/>
          <w:between w:val="nil"/>
        </w:pBdr>
        <w:spacing w:line="288" w:lineRule="auto"/>
        <w:ind w:firstLine="708"/>
        <w:jc w:val="both"/>
        <w:rPr>
          <w:rFonts w:ascii="Cambria" w:eastAsia="Cambria" w:hAnsi="Cambria" w:cs="Cambria"/>
          <w:color w:val="000000"/>
          <w:sz w:val="21"/>
          <w:szCs w:val="21"/>
        </w:rPr>
      </w:pPr>
      <w:r>
        <w:rPr>
          <w:rFonts w:ascii="Cambria" w:eastAsia="Cambria" w:hAnsi="Cambria" w:cs="Cambria"/>
          <w:color w:val="000000"/>
          <w:sz w:val="21"/>
          <w:szCs w:val="21"/>
        </w:rPr>
        <w:t xml:space="preserve">O Brasil vivenciou em 2013 as “Jornadas de Junho”, manifestações que reconfiguraram o debate sobre a mobilidade urbana. A contestação inicial contra o aumento de vinte centavos na tarifa em São Paulo avançou e ganhou alcance nacional ao defender o transporte como direito social à cidade, negando sua condição de serviço financiado pela lógica de mercado. Como resposta, o governo </w:t>
      </w:r>
      <w:r w:rsidR="008A4012">
        <w:rPr>
          <w:rFonts w:ascii="Cambria" w:eastAsia="Cambria" w:hAnsi="Cambria" w:cs="Cambria"/>
          <w:color w:val="000000"/>
          <w:sz w:val="21"/>
          <w:szCs w:val="21"/>
        </w:rPr>
        <w:t>federal</w:t>
      </w:r>
      <w:r>
        <w:rPr>
          <w:rFonts w:ascii="Cambria" w:eastAsia="Cambria" w:hAnsi="Cambria" w:cs="Cambria"/>
          <w:color w:val="000000"/>
          <w:sz w:val="21"/>
          <w:szCs w:val="21"/>
        </w:rPr>
        <w:t xml:space="preserve"> promulgou a Emenda Constitucional nº 90 de 2015 (EC 90/2015), que incluiu o transporte no rol dos direitos sociais. A mudança não trouxe avanços na coordenação nacional e, sob a competência municipal, a interpretação e implementação desse direito t</w:t>
      </w:r>
      <w:r>
        <w:rPr>
          <w:rFonts w:ascii="Cambria" w:eastAsia="Cambria" w:hAnsi="Cambria" w:cs="Cambria"/>
          <w:sz w:val="21"/>
          <w:szCs w:val="21"/>
        </w:rPr>
        <w:t>ê</w:t>
      </w:r>
      <w:r>
        <w:rPr>
          <w:rFonts w:ascii="Cambria" w:eastAsia="Cambria" w:hAnsi="Cambria" w:cs="Cambria"/>
          <w:color w:val="000000"/>
          <w:sz w:val="21"/>
          <w:szCs w:val="21"/>
        </w:rPr>
        <w:t xml:space="preserve">m sido </w:t>
      </w:r>
      <w:r>
        <w:rPr>
          <w:rFonts w:ascii="Cambria" w:eastAsia="Cambria" w:hAnsi="Cambria" w:cs="Cambria"/>
          <w:sz w:val="21"/>
          <w:szCs w:val="21"/>
        </w:rPr>
        <w:t>diversas</w:t>
      </w:r>
      <w:r>
        <w:rPr>
          <w:rFonts w:ascii="Cambria" w:eastAsia="Cambria" w:hAnsi="Cambria" w:cs="Cambria"/>
          <w:color w:val="000000"/>
          <w:sz w:val="21"/>
          <w:szCs w:val="21"/>
        </w:rPr>
        <w:t xml:space="preserve"> ao longo do território nacional. </w:t>
      </w:r>
    </w:p>
    <w:p w14:paraId="1D2EB8DB" w14:textId="6DF15972" w:rsidR="00EB00FA" w:rsidRDefault="008A4012" w:rsidP="008A4012">
      <w:pPr>
        <w:keepNext/>
        <w:keepLines/>
        <w:pBdr>
          <w:top w:val="nil"/>
          <w:left w:val="nil"/>
          <w:bottom w:val="nil"/>
          <w:right w:val="nil"/>
          <w:between w:val="nil"/>
        </w:pBdr>
        <w:spacing w:line="288" w:lineRule="auto"/>
        <w:ind w:firstLine="708"/>
        <w:jc w:val="both"/>
        <w:rPr>
          <w:rFonts w:ascii="Cambria" w:eastAsia="Cambria" w:hAnsi="Cambria" w:cs="Cambria"/>
          <w:color w:val="000000"/>
          <w:sz w:val="21"/>
          <w:szCs w:val="21"/>
        </w:rPr>
      </w:pPr>
      <w:r>
        <w:rPr>
          <w:rFonts w:ascii="Cambria" w:eastAsia="Cambria" w:hAnsi="Cambria" w:cs="Cambria"/>
          <w:color w:val="000000"/>
          <w:sz w:val="21"/>
          <w:szCs w:val="21"/>
        </w:rPr>
        <w:t>Acadêmicos e movimentos sociais defendem que a melhor forma de efetivar o direito à cidade é a abolição das tarifas aos usuários de transporte coletivo urbano (tarifa zero). A tarifa é um tributo regressivo que penaliza os mais pobres (Mota, 2023) e que ignora externalidades positivas, como a preservação ambiental (Keblowski, 2020). A movimentação social e política impulsionou a adoção da tarifa zero, que passou de 19 municípios em 2013 para 136 municípios em junho de 2025. Apesar desse crescimento expressivo (615%), a política ainda é minoritária, alcançando 2,4% dos 5.570 municípios brasileiros. O desafio principal para garantir esse novo direito é o seu financiamento em bases não tarifárias.</w:t>
      </w:r>
    </w:p>
    <w:p w14:paraId="24766CD9" w14:textId="116A3371" w:rsidR="00EB00FA" w:rsidRDefault="00E14144">
      <w:pPr>
        <w:keepNext/>
        <w:keepLines/>
        <w:pBdr>
          <w:top w:val="nil"/>
          <w:left w:val="nil"/>
          <w:bottom w:val="nil"/>
          <w:right w:val="nil"/>
          <w:between w:val="nil"/>
        </w:pBdr>
        <w:spacing w:line="288" w:lineRule="auto"/>
        <w:ind w:firstLine="708"/>
        <w:jc w:val="both"/>
        <w:rPr>
          <w:rFonts w:ascii="Cambria" w:eastAsia="Cambria" w:hAnsi="Cambria" w:cs="Cambria"/>
          <w:color w:val="000000"/>
          <w:sz w:val="21"/>
          <w:szCs w:val="21"/>
        </w:rPr>
      </w:pPr>
      <w:r>
        <w:rPr>
          <w:rFonts w:ascii="Cambria" w:eastAsia="Cambria" w:hAnsi="Cambria" w:cs="Cambria"/>
          <w:color w:val="000000"/>
          <w:sz w:val="21"/>
          <w:szCs w:val="21"/>
        </w:rPr>
        <w:t>Os municípios se tornaram, na nova ordem constitucional, os principais provedores de bem-estar social, com sobrecarga de demandas e recursos escassos (Souza, 2020), o que dificulta a adoção da tarifa zero. Diferente da saúde e da educação, o transporte não possui coordenação nacional e um sistema de cofinanciamento capaz de garantir recursos e equilibrar os desequilíbrios fiscais entre os entes locais. Com isso, a decisão e os custos de abolir as tarifas ficam no âmbito de cada município e tendem a ser influenciad</w:t>
      </w:r>
      <w:r>
        <w:rPr>
          <w:rFonts w:ascii="Cambria" w:eastAsia="Cambria" w:hAnsi="Cambria" w:cs="Cambria"/>
          <w:sz w:val="21"/>
          <w:szCs w:val="21"/>
        </w:rPr>
        <w:t>o</w:t>
      </w:r>
      <w:r>
        <w:rPr>
          <w:rFonts w:ascii="Cambria" w:eastAsia="Cambria" w:hAnsi="Cambria" w:cs="Cambria"/>
          <w:color w:val="000000"/>
          <w:sz w:val="21"/>
          <w:szCs w:val="21"/>
        </w:rPr>
        <w:t>s pela demanda e pela</w:t>
      </w:r>
      <w:r w:rsidR="009E5461">
        <w:rPr>
          <w:rFonts w:ascii="Cambria" w:eastAsia="Cambria" w:hAnsi="Cambria" w:cs="Cambria"/>
          <w:color w:val="000000"/>
          <w:sz w:val="21"/>
          <w:szCs w:val="21"/>
        </w:rPr>
        <w:t xml:space="preserve"> </w:t>
      </w:r>
      <w:r>
        <w:rPr>
          <w:rFonts w:ascii="Cambria" w:eastAsia="Cambria" w:hAnsi="Cambria" w:cs="Cambria"/>
          <w:color w:val="000000"/>
          <w:sz w:val="21"/>
          <w:szCs w:val="21"/>
        </w:rPr>
        <w:t>situação fiscal de cada um (C</w:t>
      </w:r>
      <w:r w:rsidR="00BB187C">
        <w:rPr>
          <w:rFonts w:ascii="Cambria" w:eastAsia="Cambria" w:hAnsi="Cambria" w:cs="Cambria"/>
          <w:color w:val="000000"/>
          <w:sz w:val="21"/>
          <w:szCs w:val="21"/>
        </w:rPr>
        <w:t>onfederação Nacional de Municípios - C</w:t>
      </w:r>
      <w:r>
        <w:rPr>
          <w:rFonts w:ascii="Cambria" w:eastAsia="Cambria" w:hAnsi="Cambria" w:cs="Cambria"/>
          <w:color w:val="000000"/>
          <w:sz w:val="21"/>
          <w:szCs w:val="21"/>
        </w:rPr>
        <w:t>NM, 2024).</w:t>
      </w:r>
    </w:p>
    <w:p w14:paraId="6E3A78A7" w14:textId="7F31E703" w:rsidR="00EB00FA" w:rsidRDefault="00E14144">
      <w:pPr>
        <w:keepNext/>
        <w:keepLines/>
        <w:pBdr>
          <w:top w:val="nil"/>
          <w:left w:val="nil"/>
          <w:bottom w:val="nil"/>
          <w:right w:val="nil"/>
          <w:between w:val="nil"/>
        </w:pBdr>
        <w:spacing w:line="288" w:lineRule="auto"/>
        <w:ind w:firstLine="708"/>
        <w:jc w:val="both"/>
        <w:rPr>
          <w:rFonts w:ascii="Cambria" w:eastAsia="Cambria" w:hAnsi="Cambria" w:cs="Cambria"/>
          <w:color w:val="000000"/>
          <w:sz w:val="21"/>
          <w:szCs w:val="21"/>
        </w:rPr>
      </w:pPr>
      <w:r>
        <w:rPr>
          <w:rFonts w:ascii="Cambria" w:eastAsia="Cambria" w:hAnsi="Cambria" w:cs="Cambria"/>
          <w:color w:val="000000"/>
          <w:sz w:val="21"/>
          <w:szCs w:val="21"/>
        </w:rPr>
        <w:t>O</w:t>
      </w:r>
      <w:r w:rsidR="009E5461">
        <w:rPr>
          <w:rFonts w:ascii="Cambria" w:eastAsia="Cambria" w:hAnsi="Cambria" w:cs="Cambria"/>
          <w:color w:val="000000"/>
          <w:sz w:val="21"/>
          <w:szCs w:val="21"/>
        </w:rPr>
        <w:t xml:space="preserve"> </w:t>
      </w:r>
      <w:r>
        <w:rPr>
          <w:rFonts w:ascii="Cambria" w:eastAsia="Cambria" w:hAnsi="Cambria" w:cs="Cambria"/>
          <w:color w:val="000000"/>
          <w:sz w:val="21"/>
          <w:szCs w:val="21"/>
        </w:rPr>
        <w:t>objetivo do artigo é analisar os fatores que impulsionam ou restringem a adoção da política de tarifa zero nos municípios brasileiros. Metodologicamente, trata-se de um estudo quantitativo positivista empírico descritivo que utiliza regressão segmentada (série temporal interrompida) e regressão logística penalizada de Firth (</w:t>
      </w:r>
      <w:r w:rsidR="009E5461" w:rsidRPr="009E5461">
        <w:rPr>
          <w:rFonts w:ascii="Cambria" w:eastAsia="Cambria" w:hAnsi="Cambria" w:cs="Cambria"/>
          <w:color w:val="000000"/>
          <w:sz w:val="21"/>
          <w:szCs w:val="21"/>
        </w:rPr>
        <w:t>redução de viés das estimativas de máxima verossimilhança</w:t>
      </w:r>
      <w:r>
        <w:rPr>
          <w:rFonts w:ascii="Cambria" w:eastAsia="Cambria" w:hAnsi="Cambria" w:cs="Cambria"/>
          <w:color w:val="000000"/>
          <w:sz w:val="21"/>
          <w:szCs w:val="21"/>
        </w:rPr>
        <w:t xml:space="preserve">). A adoção da política foi testada contra cinco variáveis: porte populacional, população de baixa renda, PIB </w:t>
      </w:r>
      <w:r>
        <w:rPr>
          <w:rFonts w:ascii="Cambria" w:eastAsia="Cambria" w:hAnsi="Cambria" w:cs="Cambria"/>
          <w:i/>
          <w:iCs/>
          <w:color w:val="000000"/>
          <w:sz w:val="21"/>
          <w:szCs w:val="21"/>
        </w:rPr>
        <w:t>per capita</w:t>
      </w:r>
      <w:r>
        <w:rPr>
          <w:rFonts w:ascii="Cambria" w:eastAsia="Cambria" w:hAnsi="Cambria" w:cs="Cambria"/>
          <w:color w:val="000000"/>
          <w:sz w:val="21"/>
          <w:szCs w:val="21"/>
        </w:rPr>
        <w:t>, saúde fiscal e regionalização.</w:t>
      </w:r>
    </w:p>
    <w:p w14:paraId="543384DF" w14:textId="2671C301" w:rsidR="00EB00FA" w:rsidRDefault="00000000">
      <w:pPr>
        <w:keepNext/>
        <w:keepLines/>
        <w:pBdr>
          <w:top w:val="nil"/>
          <w:left w:val="nil"/>
          <w:bottom w:val="nil"/>
          <w:right w:val="nil"/>
          <w:between w:val="nil"/>
        </w:pBdr>
        <w:spacing w:line="288" w:lineRule="auto"/>
        <w:ind w:firstLine="708"/>
        <w:jc w:val="both"/>
        <w:rPr>
          <w:rFonts w:ascii="Cambria" w:eastAsia="Cambria" w:hAnsi="Cambria" w:cs="Cambria"/>
          <w:color w:val="000000"/>
          <w:sz w:val="21"/>
          <w:szCs w:val="21"/>
        </w:rPr>
      </w:pPr>
      <w:r>
        <w:rPr>
          <w:rFonts w:ascii="Cambria" w:eastAsia="Cambria" w:hAnsi="Cambria" w:cs="Cambria"/>
          <w:color w:val="000000"/>
          <w:sz w:val="21"/>
          <w:szCs w:val="21"/>
        </w:rPr>
        <w:t>Os resultados revelam uma relação não linear: a probabilidade de adoção é maior em municípios com até 48.420 habitantes e com até 52,2% da população em baixa renda (</w:t>
      </w:r>
      <w:proofErr w:type="spellStart"/>
      <w:r>
        <w:rPr>
          <w:rFonts w:ascii="Cambria" w:eastAsia="Cambria" w:hAnsi="Cambria" w:cs="Cambria"/>
          <w:color w:val="000000"/>
          <w:sz w:val="21"/>
          <w:szCs w:val="21"/>
        </w:rPr>
        <w:t>CadÚnico</w:t>
      </w:r>
      <w:proofErr w:type="spellEnd"/>
      <w:r>
        <w:rPr>
          <w:rFonts w:ascii="Cambria" w:eastAsia="Cambria" w:hAnsi="Cambria" w:cs="Cambria"/>
          <w:color w:val="000000"/>
          <w:sz w:val="21"/>
          <w:szCs w:val="21"/>
        </w:rPr>
        <w:t xml:space="preserve">); acima desses limiares, o efeito é negativo. Paralelamente, maiores PIBs </w:t>
      </w:r>
      <w:r>
        <w:rPr>
          <w:rFonts w:ascii="Cambria" w:eastAsia="Cambria" w:hAnsi="Cambria" w:cs="Cambria"/>
          <w:i/>
          <w:iCs/>
          <w:color w:val="000000"/>
          <w:sz w:val="21"/>
          <w:szCs w:val="21"/>
        </w:rPr>
        <w:t>per capita</w:t>
      </w:r>
      <w:r>
        <w:rPr>
          <w:rFonts w:ascii="Cambria" w:eastAsia="Cambria" w:hAnsi="Cambria" w:cs="Cambria"/>
          <w:color w:val="000000"/>
          <w:sz w:val="21"/>
          <w:szCs w:val="21"/>
        </w:rPr>
        <w:t xml:space="preserve">, boa saúde fiscal e localização na região Sudeste favorecem a adoção. O artigo estrutura-se em introdução, evolução do direito e da política (seção 1), revisão da literatura sobre constrangimentos e estímulos </w:t>
      </w:r>
      <w:r w:rsidR="00F056D8">
        <w:rPr>
          <w:rFonts w:ascii="Cambria" w:eastAsia="Cambria" w:hAnsi="Cambria" w:cs="Cambria"/>
          <w:color w:val="000000"/>
          <w:sz w:val="21"/>
          <w:szCs w:val="21"/>
        </w:rPr>
        <w:t xml:space="preserve">à adoção da política </w:t>
      </w:r>
      <w:r>
        <w:rPr>
          <w:rFonts w:ascii="Cambria" w:eastAsia="Cambria" w:hAnsi="Cambria" w:cs="Cambria"/>
          <w:color w:val="000000"/>
          <w:sz w:val="21"/>
          <w:szCs w:val="21"/>
        </w:rPr>
        <w:t>(seção 2), percurso teórico-metodológico com discussão dos resultados (seção 3) e conclusões.</w:t>
      </w:r>
    </w:p>
    <w:p w14:paraId="577D2F8F" w14:textId="77777777" w:rsidR="00EB00FA" w:rsidRDefault="00000000">
      <w:pPr>
        <w:keepNext/>
        <w:keepLines/>
        <w:pBdr>
          <w:top w:val="nil"/>
          <w:left w:val="nil"/>
          <w:bottom w:val="nil"/>
          <w:right w:val="nil"/>
          <w:between w:val="nil"/>
        </w:pBdr>
        <w:spacing w:before="510" w:after="283" w:line="288" w:lineRule="auto"/>
        <w:jc w:val="both"/>
        <w:rPr>
          <w:rFonts w:ascii="Cambria" w:eastAsia="Cambria" w:hAnsi="Cambria" w:cs="Cambria"/>
          <w:color w:val="000000"/>
          <w:sz w:val="21"/>
          <w:szCs w:val="21"/>
        </w:rPr>
      </w:pPr>
      <w:r>
        <w:rPr>
          <w:rFonts w:ascii="Century Gothic" w:eastAsia="Century Gothic" w:hAnsi="Century Gothic" w:cs="Century Gothic"/>
          <w:b/>
          <w:bCs/>
          <w:color w:val="000000"/>
          <w:sz w:val="22"/>
          <w:szCs w:val="22"/>
        </w:rPr>
        <w:t>1. O transporte coletivo urbano como direito social e a adoção da tarifa zero</w:t>
      </w:r>
    </w:p>
    <w:p w14:paraId="789664E7" w14:textId="77777777" w:rsidR="00EB00FA" w:rsidRDefault="00000000">
      <w:pPr>
        <w:keepNext/>
        <w:keepLines/>
        <w:pBdr>
          <w:top w:val="nil"/>
          <w:left w:val="nil"/>
          <w:bottom w:val="nil"/>
          <w:right w:val="nil"/>
          <w:between w:val="nil"/>
        </w:pBdr>
        <w:spacing w:line="288" w:lineRule="auto"/>
        <w:jc w:val="both"/>
        <w:rPr>
          <w:rFonts w:ascii="Century Gothic" w:eastAsia="Century Gothic" w:hAnsi="Century Gothic" w:cs="Century Gothic"/>
          <w:b/>
          <w:bCs/>
          <w:color w:val="000000"/>
          <w:sz w:val="22"/>
          <w:szCs w:val="22"/>
        </w:rPr>
      </w:pPr>
      <w:r>
        <w:rPr>
          <w:rFonts w:ascii="Century Gothic" w:eastAsia="Century Gothic" w:hAnsi="Century Gothic" w:cs="Century Gothic"/>
          <w:b/>
          <w:bCs/>
          <w:color w:val="000000"/>
          <w:sz w:val="22"/>
          <w:szCs w:val="22"/>
        </w:rPr>
        <w:t>1.1 O transporte como direito social e a competência municipal</w:t>
      </w:r>
    </w:p>
    <w:p w14:paraId="3CA9D799" w14:textId="77777777" w:rsidR="00EB00FA" w:rsidRDefault="00EB00FA">
      <w:pPr>
        <w:keepNext/>
        <w:keepLines/>
        <w:pBdr>
          <w:top w:val="nil"/>
          <w:left w:val="nil"/>
          <w:bottom w:val="nil"/>
          <w:right w:val="nil"/>
          <w:between w:val="nil"/>
        </w:pBdr>
        <w:spacing w:line="288" w:lineRule="auto"/>
        <w:jc w:val="both"/>
        <w:rPr>
          <w:rFonts w:ascii="Century Gothic" w:eastAsia="Century Gothic" w:hAnsi="Century Gothic" w:cs="Century Gothic"/>
          <w:b/>
          <w:bCs/>
          <w:color w:val="000000"/>
          <w:sz w:val="22"/>
          <w:szCs w:val="22"/>
        </w:rPr>
      </w:pPr>
    </w:p>
    <w:p w14:paraId="5AC0CECA" w14:textId="000E69E9" w:rsidR="00EB00FA" w:rsidRDefault="00000000">
      <w:pPr>
        <w:keepNext/>
        <w:keepLines/>
        <w:pBdr>
          <w:top w:val="nil"/>
          <w:left w:val="nil"/>
          <w:bottom w:val="nil"/>
          <w:right w:val="nil"/>
          <w:between w:val="nil"/>
        </w:pBdr>
        <w:spacing w:line="288" w:lineRule="auto"/>
        <w:ind w:firstLine="708"/>
        <w:jc w:val="both"/>
        <w:rPr>
          <w:rFonts w:ascii="Century Gothic" w:eastAsia="Century Gothic" w:hAnsi="Century Gothic" w:cs="Century Gothic"/>
          <w:b/>
          <w:bCs/>
          <w:color w:val="000000"/>
          <w:sz w:val="22"/>
          <w:szCs w:val="22"/>
        </w:rPr>
      </w:pPr>
      <w:r>
        <w:rPr>
          <w:rFonts w:ascii="Cambria" w:eastAsia="Cambria" w:hAnsi="Cambria" w:cs="Cambria"/>
          <w:color w:val="000000"/>
          <w:sz w:val="21"/>
          <w:szCs w:val="21"/>
        </w:rPr>
        <w:lastRenderedPageBreak/>
        <w:t>O transporte coletivo urbano é o meio pelo qual grande parte da população exerce a prerrogativa à mobilidade e acessa outros direitos sociais, como saúde, educação, trabalho e lazer (Rodrigues &amp; Carvalho, 2025). A defesa do transporte como direito social ganhou destaque a partir das manifestações de 2013, conhecidas como “Jornadas de Junho”, que foram inicialmente impulsionadas pelo aumento de 20 centavos na tarifa do transporte em São Paulo. O lema "Não é só pelos 20 centavos!" sintetizou uma mudança discursiva, na qual a tarifa passou a ser denunciada como uma barreira ao exercício pleno da cidadania e</w:t>
      </w:r>
      <w:r w:rsidR="00660949">
        <w:rPr>
          <w:rFonts w:ascii="Cambria" w:eastAsia="Cambria" w:hAnsi="Cambria" w:cs="Cambria"/>
          <w:color w:val="000000"/>
          <w:sz w:val="21"/>
          <w:szCs w:val="21"/>
        </w:rPr>
        <w:t xml:space="preserve"> do</w:t>
      </w:r>
      <w:r>
        <w:rPr>
          <w:rFonts w:ascii="Cambria" w:eastAsia="Cambria" w:hAnsi="Cambria" w:cs="Cambria"/>
          <w:color w:val="000000"/>
          <w:sz w:val="21"/>
          <w:szCs w:val="21"/>
        </w:rPr>
        <w:t xml:space="preserve"> direito à cidade (Mota, 2023; Domingues et al., 2025).</w:t>
      </w:r>
    </w:p>
    <w:p w14:paraId="31C9FCCA" w14:textId="5A83A1E6" w:rsidR="00EB00FA" w:rsidRDefault="00000000">
      <w:pPr>
        <w:keepNext/>
        <w:keepLines/>
        <w:pBdr>
          <w:top w:val="nil"/>
          <w:left w:val="nil"/>
          <w:bottom w:val="nil"/>
          <w:right w:val="nil"/>
          <w:between w:val="nil"/>
        </w:pBdr>
        <w:spacing w:line="288" w:lineRule="auto"/>
        <w:ind w:firstLine="708"/>
        <w:jc w:val="both"/>
        <w:rPr>
          <w:rFonts w:ascii="Cambria" w:eastAsia="Cambria" w:hAnsi="Cambria" w:cs="Cambria"/>
          <w:color w:val="000000"/>
          <w:sz w:val="21"/>
          <w:szCs w:val="21"/>
        </w:rPr>
      </w:pPr>
      <w:r>
        <w:rPr>
          <w:rFonts w:ascii="Cambria" w:eastAsia="Cambria" w:hAnsi="Cambria" w:cs="Cambria"/>
          <w:color w:val="000000"/>
          <w:sz w:val="21"/>
          <w:szCs w:val="21"/>
        </w:rPr>
        <w:t xml:space="preserve">A principal resposta do governo </w:t>
      </w:r>
      <w:r w:rsidR="00660949">
        <w:rPr>
          <w:rFonts w:ascii="Cambria" w:eastAsia="Cambria" w:hAnsi="Cambria" w:cs="Cambria"/>
          <w:color w:val="000000"/>
          <w:sz w:val="21"/>
          <w:szCs w:val="21"/>
        </w:rPr>
        <w:t xml:space="preserve">federal </w:t>
      </w:r>
      <w:r>
        <w:rPr>
          <w:rFonts w:ascii="Cambria" w:eastAsia="Cambria" w:hAnsi="Cambria" w:cs="Cambria"/>
          <w:color w:val="000000"/>
          <w:sz w:val="21"/>
          <w:szCs w:val="21"/>
        </w:rPr>
        <w:t>ao problema foi a aprovação da EC 90/2015, que alterou o artigo 6º da Constituição Federal de 1988 (CF/88) para incorporar o transporte no rol dos direitos sociais. Essa alteração pode ser entendida como o reconhecimento do transporte como um serviço público essencial à população para o exercício pleno da cidadania e para a promoção da justiça social. Conforme Marshall (2002), a condição de cidadão não se restringe à garantia dos direitos civis e políticos, requer a incorporação dos direitos sociais por meio de acesso a políticas públicas capazes de promover um status de igualdade de todos os membros de um Estado, o que caracteriza a cidadania. Arretche (2012) enfatiza a importância de reduzir as desigualdades por meio da garantia dos direitos sociais, algo que envolve a oferta pelo Estado de bens essenciais que permitam a todos os cidadãos níveis de segurança e um padrão mínimo de bem-estar social. A definição e extensão dos direitos sociais é uma construção histórica que varia ao longo do tempo e entre governos</w:t>
      </w:r>
      <w:r w:rsidR="00660949">
        <w:rPr>
          <w:rFonts w:ascii="Cambria" w:eastAsia="Cambria" w:hAnsi="Cambria" w:cs="Cambria"/>
          <w:color w:val="000000"/>
          <w:sz w:val="21"/>
          <w:szCs w:val="21"/>
        </w:rPr>
        <w:t>,</w:t>
      </w:r>
      <w:r>
        <w:rPr>
          <w:rFonts w:ascii="Cambria" w:eastAsia="Cambria" w:hAnsi="Cambria" w:cs="Cambria"/>
          <w:color w:val="000000"/>
          <w:sz w:val="21"/>
          <w:szCs w:val="21"/>
        </w:rPr>
        <w:t xml:space="preserve"> sendo objeto de disputas e conflitos sociais. </w:t>
      </w:r>
    </w:p>
    <w:p w14:paraId="2CF3B052" w14:textId="41933A7A" w:rsidR="00EB00FA" w:rsidRDefault="00000000">
      <w:pPr>
        <w:keepNext/>
        <w:keepLines/>
        <w:pBdr>
          <w:top w:val="nil"/>
          <w:left w:val="nil"/>
          <w:bottom w:val="nil"/>
          <w:right w:val="nil"/>
          <w:between w:val="nil"/>
        </w:pBdr>
        <w:spacing w:line="288" w:lineRule="auto"/>
        <w:ind w:firstLine="708"/>
        <w:jc w:val="both"/>
        <w:rPr>
          <w:rFonts w:ascii="Cambria" w:eastAsia="Cambria" w:hAnsi="Cambria" w:cs="Cambria"/>
          <w:color w:val="000000"/>
          <w:sz w:val="21"/>
          <w:szCs w:val="21"/>
        </w:rPr>
      </w:pPr>
      <w:r>
        <w:rPr>
          <w:rFonts w:ascii="Cambria" w:eastAsia="Cambria" w:hAnsi="Cambria" w:cs="Cambria"/>
          <w:color w:val="000000"/>
          <w:sz w:val="21"/>
          <w:szCs w:val="21"/>
        </w:rPr>
        <w:t>A literatura tem caracterizado o transporte como um direito social à cidade, o que significa a desmercadorização do espaço urbano (</w:t>
      </w:r>
      <w:proofErr w:type="spellStart"/>
      <w:r>
        <w:rPr>
          <w:rFonts w:ascii="Cambria" w:eastAsia="Cambria" w:hAnsi="Cambria" w:cs="Cambria"/>
          <w:color w:val="000000"/>
          <w:sz w:val="21"/>
          <w:szCs w:val="21"/>
        </w:rPr>
        <w:t>Esping</w:t>
      </w:r>
      <w:proofErr w:type="spellEnd"/>
      <w:r>
        <w:rPr>
          <w:rFonts w:ascii="Cambria" w:eastAsia="Cambria" w:hAnsi="Cambria" w:cs="Cambria"/>
          <w:color w:val="000000"/>
          <w:sz w:val="21"/>
          <w:szCs w:val="21"/>
        </w:rPr>
        <w:t>-Andersen, 1991). Os habitantes têm o direito de participar ativamente da construção e transformação da cidade, o que se opõe a uma lógica mercantil que enfatiza o valor de troca e intensifica a exclusão ao priorizar o capital e a especulação, negando aos que não podem pagar pelo serviço o acesso à cidade (Lefebvre, 2008; Harvey, 2014). Nessa perspectiva, o transporte deixa de ser defendido como um serviço ofertado a partir do pagamento pelos usuários de tarifas públicas e passa a ser reivindicado como um meio que permite a participação dos cidadãos na vida urbana</w:t>
      </w:r>
      <w:r w:rsidR="00935041">
        <w:rPr>
          <w:rFonts w:ascii="Cambria" w:eastAsia="Cambria" w:hAnsi="Cambria" w:cs="Cambria"/>
          <w:color w:val="000000"/>
          <w:sz w:val="21"/>
          <w:szCs w:val="21"/>
        </w:rPr>
        <w:t xml:space="preserve"> </w:t>
      </w:r>
      <w:r w:rsidR="00B84BAF">
        <w:rPr>
          <w:rFonts w:ascii="Cambria" w:eastAsia="Cambria" w:hAnsi="Cambria" w:cs="Cambria"/>
          <w:color w:val="000000"/>
          <w:sz w:val="21"/>
          <w:szCs w:val="21"/>
        </w:rPr>
        <w:t>e que</w:t>
      </w:r>
      <w:r>
        <w:rPr>
          <w:rFonts w:ascii="Cambria" w:eastAsia="Cambria" w:hAnsi="Cambria" w:cs="Cambria"/>
          <w:color w:val="000000"/>
          <w:sz w:val="21"/>
          <w:szCs w:val="21"/>
        </w:rPr>
        <w:t xml:space="preserve"> </w:t>
      </w:r>
      <w:r w:rsidR="00B84BAF">
        <w:rPr>
          <w:rFonts w:ascii="Cambria" w:eastAsia="Cambria" w:hAnsi="Cambria" w:cs="Cambria"/>
          <w:color w:val="000000"/>
          <w:sz w:val="21"/>
          <w:szCs w:val="21"/>
        </w:rPr>
        <w:t>possibilita o</w:t>
      </w:r>
      <w:r>
        <w:rPr>
          <w:rFonts w:ascii="Cambria" w:eastAsia="Cambria" w:hAnsi="Cambria" w:cs="Cambria"/>
          <w:color w:val="000000"/>
          <w:sz w:val="21"/>
          <w:szCs w:val="21"/>
        </w:rPr>
        <w:t xml:space="preserve"> acesso aos </w:t>
      </w:r>
      <w:r w:rsidR="00935041">
        <w:rPr>
          <w:rFonts w:ascii="Cambria" w:eastAsia="Cambria" w:hAnsi="Cambria" w:cs="Cambria"/>
          <w:color w:val="000000"/>
          <w:sz w:val="21"/>
          <w:szCs w:val="21"/>
        </w:rPr>
        <w:t xml:space="preserve">outros </w:t>
      </w:r>
      <w:r>
        <w:rPr>
          <w:rFonts w:ascii="Cambria" w:eastAsia="Cambria" w:hAnsi="Cambria" w:cs="Cambria"/>
          <w:color w:val="000000"/>
          <w:sz w:val="21"/>
          <w:szCs w:val="21"/>
        </w:rPr>
        <w:t>direitos sociais (Domingues et al., 2025).</w:t>
      </w:r>
    </w:p>
    <w:p w14:paraId="1BBFF296" w14:textId="5BB59B07" w:rsidR="00EB00FA" w:rsidRDefault="00935041">
      <w:pPr>
        <w:keepNext/>
        <w:keepLines/>
        <w:pBdr>
          <w:top w:val="nil"/>
          <w:left w:val="nil"/>
          <w:bottom w:val="nil"/>
          <w:right w:val="nil"/>
          <w:between w:val="nil"/>
        </w:pBdr>
        <w:spacing w:line="288" w:lineRule="auto"/>
        <w:ind w:firstLine="708"/>
        <w:jc w:val="both"/>
        <w:rPr>
          <w:rFonts w:ascii="Cambria" w:eastAsia="Cambria" w:hAnsi="Cambria" w:cs="Cambria"/>
          <w:color w:val="000000"/>
          <w:sz w:val="21"/>
          <w:szCs w:val="21"/>
        </w:rPr>
      </w:pPr>
      <w:r>
        <w:rPr>
          <w:rFonts w:ascii="Cambria" w:eastAsia="Cambria" w:hAnsi="Cambria" w:cs="Cambria"/>
          <w:color w:val="000000"/>
          <w:sz w:val="21"/>
          <w:szCs w:val="21"/>
        </w:rPr>
        <w:t>A efetivação do transporte como direito social significa implementar políticas que permitam o acesso universal e igualitário a esse serviço. A tarifa zero é um meio para efetivar esse direito ao remover a barreira econômica ao deslocamento, promovendo a apropriação democrática do espaço público e garantindo que o exercício da cidadania não seja limitado pela capacidade de pagamento. A perspectiva de gratuidade para o transporte coletivo como direito social requer uma lógica de custeio público e solidário, ao invés de individual e excludente. Contudo, efetivar o transporte como direito social por meio da tarifa zero traz para o primeiro plano o debate sobre a viabilidade de implementar essa política nos municípios brasileiros. A CF/88 estabeleceu os municípios como parte indissolúvel e autônoma da República Federativa do Brasil (</w:t>
      </w:r>
      <w:proofErr w:type="spellStart"/>
      <w:r>
        <w:rPr>
          <w:rFonts w:ascii="Cambria" w:eastAsia="Cambria" w:hAnsi="Cambria" w:cs="Cambria"/>
          <w:color w:val="000000"/>
          <w:sz w:val="21"/>
          <w:szCs w:val="21"/>
        </w:rPr>
        <w:t>arts</w:t>
      </w:r>
      <w:proofErr w:type="spellEnd"/>
      <w:r>
        <w:rPr>
          <w:rFonts w:ascii="Cambria" w:eastAsia="Cambria" w:hAnsi="Cambria" w:cs="Cambria"/>
          <w:color w:val="000000"/>
          <w:sz w:val="21"/>
          <w:szCs w:val="21"/>
        </w:rPr>
        <w:t xml:space="preserve">. 1º e 18º), sendo de sua competência exclusiva organizar e prestar, diretamente ou sob regime de concessão ou permissão, os serviços públicos de interesse local, incluído o de transporte coletivo, que tem caráter essencial (art. 30, inciso V). Cabe à União instituir diretrizes para o desenvolvimento urbano, inclusive habitação, saneamento básico e transportes urbanos (CF/88, Art. 21, inciso XX). </w:t>
      </w:r>
    </w:p>
    <w:p w14:paraId="2DCA3232" w14:textId="748A3E11" w:rsidR="00EB00FA" w:rsidRDefault="00000000">
      <w:pPr>
        <w:keepNext/>
        <w:keepLines/>
        <w:pBdr>
          <w:top w:val="nil"/>
          <w:left w:val="nil"/>
          <w:bottom w:val="nil"/>
          <w:right w:val="nil"/>
          <w:between w:val="nil"/>
        </w:pBdr>
        <w:spacing w:line="288" w:lineRule="auto"/>
        <w:ind w:firstLine="708"/>
        <w:jc w:val="both"/>
        <w:rPr>
          <w:rFonts w:ascii="Cambria" w:eastAsia="Cambria" w:hAnsi="Cambria" w:cs="Cambria"/>
          <w:color w:val="000000"/>
          <w:sz w:val="21"/>
          <w:szCs w:val="21"/>
        </w:rPr>
      </w:pPr>
      <w:r>
        <w:rPr>
          <w:rFonts w:ascii="Cambria" w:eastAsia="Cambria" w:hAnsi="Cambria" w:cs="Cambria"/>
          <w:color w:val="000000"/>
          <w:sz w:val="21"/>
          <w:szCs w:val="21"/>
        </w:rPr>
        <w:t>A descentralização de políticas públicas rumo aos municípios, destacadamente das políticas de bem-estar social, ampliou as responsabilidades locais sem garantir as condições para sua oferta universal e igualitária, em um contexto de ampla heterogeneidade dos entes locais (Souza, 2020). Com a EC 90/2015, a competência dos municípios em prover o transporte coletivo como direito social ganha contornos desafiadores. Por um lado, as características demográficas, socioeconômicas, fiscais e regionais conformam diferentes necessidades de mobilidade. Por outro lado, os governos locais apresentam diferentes capacidades administrativas e fiscais para atender a essas necessidades.</w:t>
      </w:r>
    </w:p>
    <w:p w14:paraId="40F46980" w14:textId="17432570" w:rsidR="00EB00FA" w:rsidRDefault="00000000">
      <w:pPr>
        <w:keepNext/>
        <w:keepLines/>
        <w:pBdr>
          <w:top w:val="nil"/>
          <w:left w:val="nil"/>
          <w:bottom w:val="nil"/>
          <w:right w:val="nil"/>
          <w:between w:val="nil"/>
        </w:pBdr>
        <w:spacing w:line="288" w:lineRule="auto"/>
        <w:ind w:firstLine="708"/>
        <w:jc w:val="both"/>
        <w:rPr>
          <w:rFonts w:ascii="Cambria" w:eastAsia="Cambria" w:hAnsi="Cambria" w:cs="Cambria"/>
          <w:color w:val="000000"/>
          <w:sz w:val="21"/>
          <w:szCs w:val="21"/>
        </w:rPr>
      </w:pPr>
      <w:r>
        <w:rPr>
          <w:rFonts w:ascii="Cambria" w:eastAsia="Cambria" w:hAnsi="Cambria" w:cs="Cambria"/>
          <w:color w:val="000000"/>
          <w:sz w:val="21"/>
          <w:szCs w:val="21"/>
        </w:rPr>
        <w:lastRenderedPageBreak/>
        <w:t>A superação desses desafios requer coordenação do governo nacional, como mostram o avanço nas políticas sociais como saúde, educação básica e assistência social (Arretche, 2012). A coordenação é fundamental para estabelecer padrões similares de oferta de serviços em todo o território nacional, a partir de regulamentações e transferências intergovernamentais de recursos financeiros (Anônimo, 2018). Sem isso, as políticas tendem a reproduzir as desigualdades socioeconômicas territoriais e o alcance dos direitos sociais dependerá de contextos, escolhas políticas e capacidades governamentais. É o que tem ocorrido com a política da tarifa zero, conforme veremos adiante.</w:t>
      </w:r>
    </w:p>
    <w:p w14:paraId="7B803C52"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01971A6B" w14:textId="77777777" w:rsidR="00EB00FA" w:rsidRDefault="00000000">
      <w:pPr>
        <w:keepNext/>
        <w:keepLines/>
        <w:pBdr>
          <w:top w:val="nil"/>
          <w:left w:val="nil"/>
          <w:bottom w:val="nil"/>
          <w:right w:val="nil"/>
          <w:between w:val="nil"/>
        </w:pBdr>
        <w:spacing w:line="288" w:lineRule="auto"/>
        <w:jc w:val="both"/>
        <w:rPr>
          <w:rFonts w:ascii="Century Gothic" w:eastAsia="Century Gothic" w:hAnsi="Century Gothic" w:cs="Century Gothic"/>
          <w:b/>
          <w:bCs/>
          <w:color w:val="000000"/>
          <w:sz w:val="22"/>
          <w:szCs w:val="22"/>
        </w:rPr>
      </w:pPr>
      <w:r>
        <w:rPr>
          <w:rFonts w:ascii="Century Gothic" w:eastAsia="Century Gothic" w:hAnsi="Century Gothic" w:cs="Century Gothic"/>
          <w:b/>
          <w:bCs/>
          <w:color w:val="000000"/>
          <w:sz w:val="22"/>
          <w:szCs w:val="22"/>
        </w:rPr>
        <w:t>1.2 Evolução e distribuição territorial da política de tarifa zero nos municípios</w:t>
      </w:r>
    </w:p>
    <w:p w14:paraId="1CDD1B78" w14:textId="77777777" w:rsidR="00EB00FA" w:rsidRDefault="00EB00FA">
      <w:pPr>
        <w:keepNext/>
        <w:keepLines/>
        <w:pBdr>
          <w:top w:val="nil"/>
          <w:left w:val="nil"/>
          <w:bottom w:val="nil"/>
          <w:right w:val="nil"/>
          <w:between w:val="nil"/>
        </w:pBdr>
        <w:spacing w:line="288" w:lineRule="auto"/>
        <w:jc w:val="both"/>
        <w:rPr>
          <w:rFonts w:ascii="Century Gothic" w:eastAsia="Century Gothic" w:hAnsi="Century Gothic" w:cs="Century Gothic"/>
          <w:b/>
          <w:bCs/>
          <w:color w:val="000000"/>
          <w:sz w:val="22"/>
          <w:szCs w:val="22"/>
        </w:rPr>
      </w:pPr>
    </w:p>
    <w:p w14:paraId="69737E98" w14:textId="2942CD43" w:rsidR="00EB00FA" w:rsidRDefault="00000000">
      <w:pPr>
        <w:keepNext/>
        <w:keepLines/>
        <w:pBdr>
          <w:top w:val="nil"/>
          <w:left w:val="nil"/>
          <w:bottom w:val="nil"/>
          <w:right w:val="nil"/>
          <w:between w:val="nil"/>
        </w:pBdr>
        <w:spacing w:line="288" w:lineRule="auto"/>
        <w:ind w:firstLine="709"/>
        <w:jc w:val="both"/>
        <w:rPr>
          <w:rFonts w:ascii="Cambria" w:eastAsia="Cambria" w:hAnsi="Cambria" w:cs="Cambria"/>
          <w:color w:val="000000"/>
          <w:sz w:val="21"/>
          <w:szCs w:val="21"/>
        </w:rPr>
      </w:pPr>
      <w:r>
        <w:rPr>
          <w:rFonts w:ascii="Cambria" w:eastAsia="Cambria" w:hAnsi="Cambria" w:cs="Cambria"/>
          <w:color w:val="000000"/>
          <w:sz w:val="21"/>
          <w:szCs w:val="21"/>
        </w:rPr>
        <w:t xml:space="preserve">A </w:t>
      </w:r>
      <w:r w:rsidR="00935041">
        <w:rPr>
          <w:rFonts w:ascii="Cambria" w:eastAsia="Cambria" w:hAnsi="Cambria" w:cs="Cambria"/>
          <w:color w:val="000000"/>
          <w:sz w:val="21"/>
          <w:szCs w:val="21"/>
        </w:rPr>
        <w:t>F</w:t>
      </w:r>
      <w:r>
        <w:rPr>
          <w:rFonts w:ascii="Cambria" w:eastAsia="Cambria" w:hAnsi="Cambria" w:cs="Cambria"/>
          <w:color w:val="000000"/>
          <w:sz w:val="21"/>
          <w:szCs w:val="21"/>
        </w:rPr>
        <w:t xml:space="preserve">igura 1 apresenta a trajetória da adoção da tarifa zero de 1992 a junho de 2025, com barras que apontam quantos municípios adotaram a política por ano e uma linha que mostra o número acumulado da tarifa zero nos entes locais. Podemos dividir o período em três momentos. O primeiro tem início com a experiência pioneira do município de Conchas (SP) e segue com iniciativas isoladas até 2013. O segundo momento vai de 2013 a 2020, período em que começam os desdobramentos das manifestações sociais e da constitucionalização do transporte como direito social. O terceiro momento abrange o período pós-2021, fase em que as demandas pela tarifa zero adquirem maior organicidade e adensamento. Nesse estágio, a pauta consolida-se de maneira transversal, articulando as práxis dos movimentos sociais, o debate na comunidade acadêmica e a atuação nas instâncias de representação político-eleitoral. A crise sanitária da pandemia de Covid-19 em 2020 é outro fator apontado como estímulo </w:t>
      </w:r>
      <w:r>
        <w:rPr>
          <w:rFonts w:ascii="Cambria" w:eastAsia="Cambria" w:hAnsi="Cambria" w:cs="Cambria"/>
          <w:sz w:val="21"/>
          <w:szCs w:val="21"/>
        </w:rPr>
        <w:t>à adoção</w:t>
      </w:r>
      <w:r>
        <w:rPr>
          <w:rFonts w:ascii="Cambria" w:eastAsia="Cambria" w:hAnsi="Cambria" w:cs="Cambria"/>
          <w:color w:val="000000"/>
          <w:sz w:val="21"/>
          <w:szCs w:val="21"/>
        </w:rPr>
        <w:t xml:space="preserve"> da tarifa zero. Isso porque houve uma crise do modelo tarifário, com queda abrupta na demanda de passageiros e maior aporte de recursos do tesouro municipal para garantir contratos de concessão com empresas privadas e manutenção do sistema público de transporte. De acordo com a Associação Nacional das Empresas de Transportes Urbanos (NTU, 2024) o número de viagens diárias de passageiros no Brasil caiu de 40,4 milhões em 2019 para 19,8 milhões em 2020.</w:t>
      </w:r>
    </w:p>
    <w:p w14:paraId="0ECC74CF" w14:textId="77777777" w:rsidR="00EB00FA" w:rsidRDefault="00000000">
      <w:pPr>
        <w:keepNext/>
        <w:keepLines/>
        <w:pBdr>
          <w:top w:val="nil"/>
          <w:left w:val="nil"/>
          <w:bottom w:val="nil"/>
          <w:right w:val="nil"/>
          <w:between w:val="nil"/>
        </w:pBdr>
        <w:spacing w:line="288" w:lineRule="auto"/>
        <w:ind w:firstLine="709"/>
        <w:jc w:val="both"/>
        <w:rPr>
          <w:rFonts w:ascii="Cambria" w:eastAsia="Cambria" w:hAnsi="Cambria" w:cs="Cambria"/>
          <w:color w:val="000000"/>
          <w:sz w:val="21"/>
          <w:szCs w:val="21"/>
        </w:rPr>
      </w:pPr>
      <w:r>
        <w:rPr>
          <w:rFonts w:ascii="Cambria" w:eastAsia="Cambria" w:hAnsi="Cambria" w:cs="Cambria"/>
          <w:color w:val="000000"/>
          <w:sz w:val="21"/>
          <w:szCs w:val="21"/>
        </w:rPr>
        <w:t xml:space="preserve">Outro aspecto da trajetória da política de tarifa zero que vale destacar são os sete casos de municípios que descontinuaram a política de gratuidade universal: Palmas (TO), Paulínia (SP), Jaboticabal (SP), Ubiratã (PR), Porto Real (RJ), Pirapora do Bom Jesus (SP) e Tijucas do Sul (PR) (Santini, 2024). Episódios de descontinuidade ressaltam a questão da sustentabilidade da política, configurando-se como agenda importante para análises futuras que investiguem os fatores que afetam a manutenção da tarifa zero </w:t>
      </w:r>
      <w:r>
        <w:rPr>
          <w:rFonts w:ascii="Cambria" w:eastAsia="Cambria" w:hAnsi="Cambria" w:cs="Cambria"/>
          <w:sz w:val="21"/>
          <w:szCs w:val="21"/>
        </w:rPr>
        <w:t>ao longo</w:t>
      </w:r>
      <w:r>
        <w:rPr>
          <w:rFonts w:ascii="Cambria" w:eastAsia="Cambria" w:hAnsi="Cambria" w:cs="Cambria"/>
          <w:color w:val="000000"/>
          <w:sz w:val="21"/>
          <w:szCs w:val="21"/>
        </w:rPr>
        <w:t xml:space="preserve"> do tempo.</w:t>
      </w:r>
    </w:p>
    <w:p w14:paraId="54A9F46D" w14:textId="77777777" w:rsidR="00EB00FA" w:rsidRDefault="00EB00FA">
      <w:pPr>
        <w:keepNext/>
        <w:keepLines/>
        <w:pBdr>
          <w:top w:val="nil"/>
          <w:left w:val="nil"/>
          <w:bottom w:val="nil"/>
          <w:right w:val="nil"/>
          <w:between w:val="nil"/>
        </w:pBdr>
        <w:spacing w:line="288" w:lineRule="auto"/>
        <w:ind w:firstLine="709"/>
        <w:jc w:val="both"/>
        <w:rPr>
          <w:rFonts w:ascii="Cambria" w:eastAsia="Cambria" w:hAnsi="Cambria" w:cs="Cambria"/>
          <w:color w:val="000000"/>
          <w:sz w:val="21"/>
          <w:szCs w:val="21"/>
        </w:rPr>
      </w:pPr>
    </w:p>
    <w:p w14:paraId="77328CAC" w14:textId="77777777" w:rsidR="00594529" w:rsidRDefault="00000000" w:rsidP="00594529">
      <w:pPr>
        <w:keepNext/>
        <w:keepLines/>
        <w:pBdr>
          <w:top w:val="nil"/>
          <w:left w:val="nil"/>
          <w:bottom w:val="nil"/>
          <w:right w:val="nil"/>
          <w:between w:val="nil"/>
        </w:pBdr>
        <w:spacing w:line="288" w:lineRule="auto"/>
        <w:jc w:val="center"/>
        <w:rPr>
          <w:rFonts w:ascii="Century Gothic" w:eastAsia="Century Gothic" w:hAnsi="Century Gothic" w:cs="Century Gothic"/>
          <w:b/>
          <w:bCs/>
          <w:color w:val="000000"/>
          <w:sz w:val="18"/>
          <w:szCs w:val="18"/>
        </w:rPr>
      </w:pPr>
      <w:r>
        <w:rPr>
          <w:rFonts w:ascii="Cambria" w:eastAsia="Cambria" w:hAnsi="Cambria" w:cs="Cambria"/>
          <w:noProof/>
          <w:color w:val="000000"/>
          <w:sz w:val="21"/>
          <w:szCs w:val="21"/>
        </w:rPr>
        <w:lastRenderedPageBreak/>
        <w:drawing>
          <wp:inline distT="0" distB="0" distL="0" distR="0" wp14:anchorId="1FCE6FD2" wp14:editId="4DA47B8B">
            <wp:extent cx="5760085" cy="3455670"/>
            <wp:effectExtent l="0" t="0" r="0" b="0"/>
            <wp:docPr id="155578729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60085" cy="3455670"/>
                    </a:xfrm>
                    <a:prstGeom prst="rect">
                      <a:avLst/>
                    </a:prstGeom>
                    <a:ln/>
                  </pic:spPr>
                </pic:pic>
              </a:graphicData>
            </a:graphic>
          </wp:inline>
        </w:drawing>
      </w:r>
    </w:p>
    <w:p w14:paraId="4A62A90C" w14:textId="68D587E9" w:rsidR="00EB00FA" w:rsidRDefault="00594529" w:rsidP="00435EA2">
      <w:pPr>
        <w:keepNext/>
        <w:keepLines/>
        <w:pBdr>
          <w:top w:val="nil"/>
          <w:left w:val="nil"/>
          <w:bottom w:val="nil"/>
          <w:right w:val="nil"/>
          <w:between w:val="nil"/>
        </w:pBdr>
        <w:spacing w:line="288" w:lineRule="auto"/>
        <w:jc w:val="center"/>
        <w:rPr>
          <w:rFonts w:ascii="Cambria" w:eastAsia="Cambria" w:hAnsi="Cambria" w:cs="Cambria"/>
          <w:color w:val="000000"/>
          <w:sz w:val="21"/>
          <w:szCs w:val="21"/>
        </w:rPr>
      </w:pPr>
      <w:r w:rsidRPr="00435EA2">
        <w:rPr>
          <w:rFonts w:ascii="Century Gothic" w:eastAsia="Century Gothic" w:hAnsi="Century Gothic" w:cs="Century Gothic"/>
          <w:b/>
          <w:bCs/>
          <w:color w:val="000000"/>
          <w:sz w:val="16"/>
          <w:szCs w:val="16"/>
        </w:rPr>
        <w:t>Figura 1</w:t>
      </w:r>
      <w:r w:rsidRPr="00435EA2">
        <w:rPr>
          <w:rFonts w:ascii="Century Gothic" w:eastAsia="Century Gothic" w:hAnsi="Century Gothic" w:cs="Century Gothic"/>
          <w:color w:val="000000"/>
          <w:sz w:val="16"/>
          <w:szCs w:val="16"/>
        </w:rPr>
        <w:t xml:space="preserve"> - Histograma da adoção da política de transporte coletivo urbano gratuito</w:t>
      </w:r>
      <w:r w:rsidRPr="00594529">
        <w:rPr>
          <w:rFonts w:ascii="Century Gothic" w:eastAsia="Century Gothic" w:hAnsi="Century Gothic" w:cs="Century Gothic"/>
          <w:color w:val="000000"/>
          <w:sz w:val="16"/>
          <w:szCs w:val="16"/>
        </w:rPr>
        <w:t>. Fon</w:t>
      </w:r>
      <w:r>
        <w:rPr>
          <w:rFonts w:ascii="Century Gothic" w:eastAsia="Century Gothic" w:hAnsi="Century Gothic" w:cs="Century Gothic"/>
          <w:color w:val="000000"/>
          <w:sz w:val="16"/>
          <w:szCs w:val="16"/>
        </w:rPr>
        <w:t>te: elaboração própria com base em dados de Santini (2024).</w:t>
      </w:r>
    </w:p>
    <w:p w14:paraId="45FC0342" w14:textId="77777777" w:rsidR="00EB00FA" w:rsidRDefault="00000000">
      <w:pPr>
        <w:keepNext/>
        <w:keepLines/>
        <w:pBdr>
          <w:top w:val="nil"/>
          <w:left w:val="nil"/>
          <w:bottom w:val="nil"/>
          <w:right w:val="nil"/>
          <w:between w:val="nil"/>
        </w:pBdr>
        <w:spacing w:before="510" w:after="283" w:line="288" w:lineRule="auto"/>
        <w:ind w:firstLine="708"/>
        <w:jc w:val="both"/>
        <w:rPr>
          <w:rFonts w:ascii="Century Gothic" w:eastAsia="Century Gothic" w:hAnsi="Century Gothic" w:cs="Century Gothic"/>
          <w:b/>
          <w:bCs/>
          <w:color w:val="000000"/>
          <w:sz w:val="22"/>
          <w:szCs w:val="22"/>
        </w:rPr>
      </w:pPr>
      <w:r>
        <w:rPr>
          <w:rFonts w:ascii="Cambria" w:eastAsia="Cambria" w:hAnsi="Cambria" w:cs="Cambria"/>
          <w:color w:val="000000"/>
          <w:sz w:val="21"/>
          <w:szCs w:val="21"/>
        </w:rPr>
        <w:t>A Figura 2 apresenta a distribuição territorial e o porte dos municípios que adotaram a tarifa zero até junho de 2025. Há uma concentração expressiva no Sudeste (n=85), seguida pela região Sul (n=37), Centro-Oeste (n=7), Nordeste (n=6), e Norte (n=1). São Paulo e Minas Gerais são os estados do Sudeste que responderam pela maioria dos casos, apresentando 42 e 33 municípios, respectivamente, o que representa 55,2% do total (75 de 136 casos). Com respeito ao porte populacional dos municípios, observamos a prevalência de municípios de pequeno porte.</w:t>
      </w:r>
    </w:p>
    <w:p w14:paraId="0DE32683" w14:textId="342DC402" w:rsidR="00EB00FA" w:rsidRPr="00435EA2" w:rsidRDefault="00000000" w:rsidP="00F01E9A">
      <w:pPr>
        <w:keepNext/>
        <w:keepLines/>
        <w:pBdr>
          <w:top w:val="nil"/>
          <w:left w:val="nil"/>
          <w:bottom w:val="nil"/>
          <w:right w:val="nil"/>
          <w:between w:val="nil"/>
        </w:pBdr>
        <w:spacing w:line="288" w:lineRule="auto"/>
        <w:jc w:val="center"/>
        <w:rPr>
          <w:rFonts w:ascii="Century Gothic" w:eastAsia="Century Gothic" w:hAnsi="Century Gothic" w:cs="Century Gothic"/>
          <w:b/>
          <w:bCs/>
          <w:color w:val="000000"/>
          <w:sz w:val="18"/>
          <w:szCs w:val="18"/>
        </w:rPr>
      </w:pPr>
      <w:r>
        <w:rPr>
          <w:noProof/>
          <w:sz w:val="18"/>
          <w:szCs w:val="18"/>
        </w:rPr>
        <w:lastRenderedPageBreak/>
        <w:drawing>
          <wp:inline distT="0" distB="0" distL="0" distR="0" wp14:anchorId="3A245C70" wp14:editId="506221AD">
            <wp:extent cx="5760085" cy="3651250"/>
            <wp:effectExtent l="0" t="0" r="0" b="6350"/>
            <wp:docPr id="1555787300" name="image2.png"/>
            <wp:cNvGraphicFramePr/>
            <a:graphic xmlns:a="http://schemas.openxmlformats.org/drawingml/2006/main">
              <a:graphicData uri="http://schemas.openxmlformats.org/drawingml/2006/picture">
                <pic:pic xmlns:pic="http://schemas.openxmlformats.org/drawingml/2006/picture">
                  <pic:nvPicPr>
                    <pic:cNvPr id="1555787300" name="image2.png"/>
                    <pic:cNvPicPr preferRelativeResize="0"/>
                  </pic:nvPicPr>
                  <pic:blipFill>
                    <a:blip r:embed="rId11" cstate="print">
                      <a:extLst>
                        <a:ext uri="{28A0092B-C50C-407E-A947-70E740481C1C}">
                          <a14:useLocalDpi xmlns:a14="http://schemas.microsoft.com/office/drawing/2010/main" val="0"/>
                        </a:ext>
                      </a:extLst>
                    </a:blip>
                    <a:srcRect t="18282" b="18282"/>
                    <a:stretch>
                      <a:fillRect/>
                    </a:stretch>
                  </pic:blipFill>
                  <pic:spPr>
                    <a:xfrm>
                      <a:off x="0" y="0"/>
                      <a:ext cx="5760085" cy="3651250"/>
                    </a:xfrm>
                    <a:prstGeom prst="rect">
                      <a:avLst/>
                    </a:prstGeom>
                    <a:ln/>
                  </pic:spPr>
                </pic:pic>
              </a:graphicData>
            </a:graphic>
          </wp:inline>
        </w:drawing>
      </w:r>
      <w:r>
        <w:rPr>
          <w:rFonts w:ascii="Century Gothic" w:eastAsia="Century Gothic" w:hAnsi="Century Gothic" w:cs="Century Gothic"/>
          <w:sz w:val="16"/>
          <w:szCs w:val="16"/>
        </w:rPr>
        <w:t xml:space="preserve"> </w:t>
      </w:r>
      <w:r w:rsidR="00CC0D0D" w:rsidRPr="00435EA2">
        <w:rPr>
          <w:rFonts w:ascii="Century Gothic" w:eastAsia="Century Gothic" w:hAnsi="Century Gothic" w:cs="Century Gothic"/>
          <w:b/>
          <w:bCs/>
          <w:color w:val="000000"/>
          <w:sz w:val="16"/>
          <w:szCs w:val="16"/>
        </w:rPr>
        <w:t>Figura 2</w:t>
      </w:r>
      <w:r w:rsidR="00CC0D0D" w:rsidRPr="00435EA2">
        <w:rPr>
          <w:rFonts w:ascii="Century Gothic" w:eastAsia="Century Gothic" w:hAnsi="Century Gothic" w:cs="Century Gothic"/>
          <w:color w:val="000000"/>
          <w:sz w:val="16"/>
          <w:szCs w:val="16"/>
        </w:rPr>
        <w:t xml:space="preserve"> - Localização e porte populacional dos municípios com tarifa zero (junho de 2025)</w:t>
      </w:r>
      <w:r w:rsidR="009A7CE0">
        <w:rPr>
          <w:rFonts w:ascii="Century Gothic" w:eastAsia="Century Gothic" w:hAnsi="Century Gothic" w:cs="Century Gothic"/>
          <w:color w:val="000000"/>
          <w:sz w:val="16"/>
          <w:szCs w:val="16"/>
        </w:rPr>
        <w:t xml:space="preserve">. </w:t>
      </w:r>
      <w:r w:rsidR="00CC0D0D" w:rsidRPr="00CC0D0D">
        <w:rPr>
          <w:rFonts w:ascii="Century Gothic" w:eastAsia="Century Gothic" w:hAnsi="Century Gothic" w:cs="Century Gothic"/>
          <w:sz w:val="16"/>
          <w:szCs w:val="16"/>
        </w:rPr>
        <w:t>Fonte: elaboração própria com base em dados de Santini (2024) e IBGE (2025).</w:t>
      </w:r>
    </w:p>
    <w:p w14:paraId="5E49162D"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34E4AB18" w14:textId="77777777" w:rsidR="00EB00FA" w:rsidRDefault="00000000">
      <w:pPr>
        <w:keepNext/>
        <w:keepLines/>
        <w:pBdr>
          <w:top w:val="nil"/>
          <w:left w:val="nil"/>
          <w:bottom w:val="nil"/>
          <w:right w:val="nil"/>
          <w:between w:val="nil"/>
        </w:pBdr>
        <w:spacing w:line="288" w:lineRule="auto"/>
        <w:jc w:val="both"/>
        <w:rPr>
          <w:rFonts w:ascii="Century Gothic" w:eastAsia="Century Gothic" w:hAnsi="Century Gothic" w:cs="Century Gothic"/>
          <w:b/>
          <w:bCs/>
          <w:color w:val="000000"/>
          <w:sz w:val="22"/>
          <w:szCs w:val="22"/>
        </w:rPr>
      </w:pPr>
      <w:r>
        <w:rPr>
          <w:rFonts w:ascii="Century Gothic" w:eastAsia="Century Gothic" w:hAnsi="Century Gothic" w:cs="Century Gothic"/>
          <w:b/>
          <w:bCs/>
          <w:color w:val="000000"/>
          <w:sz w:val="22"/>
          <w:szCs w:val="22"/>
        </w:rPr>
        <w:t>2. Revisão teórica: oportunidades e desafios na adoção da política de tarifa zero</w:t>
      </w:r>
    </w:p>
    <w:p w14:paraId="43847D07" w14:textId="77777777" w:rsidR="00EB00FA" w:rsidRDefault="00EB00FA">
      <w:pPr>
        <w:keepNext/>
        <w:keepLines/>
        <w:pBdr>
          <w:top w:val="nil"/>
          <w:left w:val="nil"/>
          <w:bottom w:val="nil"/>
          <w:right w:val="nil"/>
          <w:between w:val="nil"/>
        </w:pBdr>
        <w:spacing w:line="288" w:lineRule="auto"/>
        <w:jc w:val="both"/>
        <w:rPr>
          <w:rFonts w:ascii="Century Gothic" w:eastAsia="Century Gothic" w:hAnsi="Century Gothic" w:cs="Century Gothic"/>
          <w:b/>
          <w:bCs/>
          <w:color w:val="000000"/>
          <w:sz w:val="22"/>
          <w:szCs w:val="22"/>
        </w:rPr>
      </w:pPr>
    </w:p>
    <w:p w14:paraId="4CBD500E" w14:textId="524F125F" w:rsidR="00EB00FA" w:rsidRDefault="00000000">
      <w:pPr>
        <w:pBdr>
          <w:top w:val="nil"/>
          <w:left w:val="nil"/>
          <w:bottom w:val="nil"/>
          <w:right w:val="nil"/>
          <w:between w:val="nil"/>
        </w:pBdr>
        <w:ind w:firstLine="708"/>
        <w:jc w:val="both"/>
      </w:pPr>
      <w:r>
        <w:rPr>
          <w:rFonts w:ascii="Cambria" w:eastAsia="Cambria" w:hAnsi="Cambria" w:cs="Cambria"/>
          <w:color w:val="000000"/>
          <w:sz w:val="21"/>
          <w:szCs w:val="21"/>
        </w:rPr>
        <w:t xml:space="preserve">Os desafios para implementar a tarifa zero estão associados à descentralização da política de transporte aos entes locais sem uma coordenação nacional capaz de garantir padrões universais e igualitários na oferta desse serviço em todo o território nacional. Com isso, a adoção é afetada por características singulares das municipalidades que definem benefícios, custos e viabilidade para adoção da política. As subseções a seguir apresentam algumas variáveis apontadas pela literatura como facilitadoras ou restritivas à adoção da tarifa zero, servindo de base analítica para as hipóteses e análises quantitativas </w:t>
      </w:r>
      <w:r w:rsidR="00F278F4">
        <w:rPr>
          <w:rFonts w:ascii="Cambria" w:eastAsia="Cambria" w:hAnsi="Cambria" w:cs="Cambria"/>
          <w:color w:val="000000"/>
          <w:sz w:val="21"/>
          <w:szCs w:val="21"/>
        </w:rPr>
        <w:t>do artigo</w:t>
      </w:r>
      <w:r>
        <w:rPr>
          <w:rFonts w:ascii="Cambria" w:eastAsia="Cambria" w:hAnsi="Cambria" w:cs="Cambria"/>
          <w:color w:val="000000"/>
          <w:sz w:val="21"/>
          <w:szCs w:val="21"/>
        </w:rPr>
        <w:t>. São contemplados os seguintes aspectos: tamanho da população, taxa de pessoas em situação de baixa renda, riqueza econômica, saúde fiscal e localização geográfica.</w:t>
      </w:r>
      <w:r>
        <w:t xml:space="preserve"> </w:t>
      </w:r>
    </w:p>
    <w:p w14:paraId="15B5131D" w14:textId="77777777" w:rsidR="00EB00FA" w:rsidRDefault="00EB00FA">
      <w:pPr>
        <w:pBdr>
          <w:top w:val="nil"/>
          <w:left w:val="nil"/>
          <w:bottom w:val="nil"/>
          <w:right w:val="nil"/>
          <w:between w:val="nil"/>
        </w:pBdr>
        <w:jc w:val="both"/>
      </w:pPr>
    </w:p>
    <w:p w14:paraId="5EAAF3D5" w14:textId="77777777" w:rsidR="00EB00FA" w:rsidRDefault="00000000">
      <w:pPr>
        <w:keepNext/>
        <w:keepLines/>
        <w:pBdr>
          <w:top w:val="nil"/>
          <w:left w:val="nil"/>
          <w:bottom w:val="nil"/>
          <w:right w:val="nil"/>
          <w:between w:val="nil"/>
        </w:pBdr>
        <w:spacing w:line="288" w:lineRule="auto"/>
        <w:jc w:val="both"/>
        <w:rPr>
          <w:rFonts w:ascii="Century Gothic" w:eastAsia="Century Gothic" w:hAnsi="Century Gothic" w:cs="Century Gothic"/>
          <w:b/>
          <w:bCs/>
          <w:color w:val="000000"/>
          <w:sz w:val="22"/>
          <w:szCs w:val="22"/>
        </w:rPr>
      </w:pPr>
      <w:r>
        <w:rPr>
          <w:rFonts w:ascii="Century Gothic" w:eastAsia="Century Gothic" w:hAnsi="Century Gothic" w:cs="Century Gothic"/>
          <w:b/>
          <w:bCs/>
          <w:color w:val="000000"/>
          <w:sz w:val="22"/>
          <w:szCs w:val="22"/>
        </w:rPr>
        <w:t>2.1 Fator demográfico</w:t>
      </w:r>
    </w:p>
    <w:p w14:paraId="5F592A56" w14:textId="77777777" w:rsidR="00EB00FA" w:rsidRDefault="00EB00FA">
      <w:pPr>
        <w:pBdr>
          <w:top w:val="nil"/>
          <w:left w:val="nil"/>
          <w:bottom w:val="nil"/>
          <w:right w:val="nil"/>
          <w:between w:val="nil"/>
        </w:pBdr>
        <w:jc w:val="both"/>
      </w:pPr>
    </w:p>
    <w:p w14:paraId="7ABA1E06" w14:textId="7895EB52" w:rsidR="00EB00FA" w:rsidRDefault="00000000">
      <w:pPr>
        <w:pBdr>
          <w:top w:val="nil"/>
          <w:left w:val="nil"/>
          <w:bottom w:val="nil"/>
          <w:right w:val="nil"/>
          <w:between w:val="nil"/>
        </w:pBdr>
        <w:ind w:firstLine="708"/>
        <w:jc w:val="both"/>
        <w:rPr>
          <w:rFonts w:ascii="Cambria" w:eastAsia="Cambria" w:hAnsi="Cambria" w:cs="Cambria"/>
          <w:color w:val="000000"/>
          <w:sz w:val="21"/>
          <w:szCs w:val="21"/>
        </w:rPr>
      </w:pPr>
      <w:r>
        <w:rPr>
          <w:rFonts w:ascii="Cambria" w:eastAsia="Cambria" w:hAnsi="Cambria" w:cs="Cambria"/>
          <w:color w:val="000000"/>
          <w:sz w:val="21"/>
          <w:szCs w:val="21"/>
        </w:rPr>
        <w:t>O tamanho da população é um importante aspecto a ser considerado na adoção da gratuidade do transporte público, visto que afeta a complexidade e o custo da rede de transporte. Costa e Sampaio (2024), ao analisarem 22 municípios com mais de 500 mil habitantes, demonstraram que a implementação da gratuidade integral acarretaria, em média, um acréscimo de 12% nos gastos municipais, podendo chegar a 20% do orçamento total com uma projeção de aumento da demanda em 50%. O aumento da demanda deve ser considerado na adoção da gratuidade integral do transporte público urbano, cuja estimativa de custos e viabilidade financeira não podem ser analisados somente a partir da demanda em curso com o sistema tarifário. Esse é um aspecto apontado por estudos de caso: no município de Maricá (RJ), os embarques diários migraram de 50 mil em fevereiro de 2021 para 122 mil em setembro de 2023, um aumento de 144% no período. Em Ibirité (MG), de porte médio, a procura pelo transporte aumentou 106% em apenas três meses após a adoção em 2023 (FIEMG, 2025). Santini (2019) sinaliza que em pequenas cidades (com menos de 25 mil habitantes) o aumento absoluto no número de passageiros tende a ser mais bem tolerado pelas finanças locais, dado que os sistemas operacionais são menores e mais simples. A conclusão é que o tamanho da população pode afetar, em maior ou menor grau, a adoção da política.</w:t>
      </w:r>
    </w:p>
    <w:p w14:paraId="511EC4E3" w14:textId="77777777" w:rsidR="00EB00FA" w:rsidRDefault="00EB00FA">
      <w:pPr>
        <w:pBdr>
          <w:top w:val="nil"/>
          <w:left w:val="nil"/>
          <w:bottom w:val="nil"/>
          <w:right w:val="nil"/>
          <w:between w:val="nil"/>
        </w:pBdr>
        <w:ind w:firstLine="708"/>
        <w:jc w:val="both"/>
        <w:rPr>
          <w:rFonts w:ascii="Cambria" w:eastAsia="Cambria" w:hAnsi="Cambria" w:cs="Cambria"/>
          <w:color w:val="000000"/>
          <w:sz w:val="21"/>
          <w:szCs w:val="21"/>
        </w:rPr>
      </w:pPr>
    </w:p>
    <w:p w14:paraId="24742A48" w14:textId="77777777" w:rsidR="00EB00FA" w:rsidRDefault="00000000">
      <w:pPr>
        <w:keepNext/>
        <w:keepLines/>
        <w:pBdr>
          <w:top w:val="nil"/>
          <w:left w:val="nil"/>
          <w:bottom w:val="nil"/>
          <w:right w:val="nil"/>
          <w:between w:val="nil"/>
        </w:pBdr>
        <w:spacing w:line="288" w:lineRule="auto"/>
        <w:jc w:val="both"/>
        <w:rPr>
          <w:rFonts w:ascii="Century Gothic" w:eastAsia="Century Gothic" w:hAnsi="Century Gothic" w:cs="Century Gothic"/>
          <w:b/>
          <w:bCs/>
          <w:color w:val="000000"/>
          <w:sz w:val="22"/>
          <w:szCs w:val="22"/>
        </w:rPr>
      </w:pPr>
      <w:r>
        <w:rPr>
          <w:rFonts w:ascii="Century Gothic" w:eastAsia="Century Gothic" w:hAnsi="Century Gothic" w:cs="Century Gothic"/>
          <w:b/>
          <w:bCs/>
          <w:color w:val="000000"/>
          <w:sz w:val="22"/>
          <w:szCs w:val="22"/>
        </w:rPr>
        <w:t>2.2 Fator socioeconômico</w:t>
      </w:r>
    </w:p>
    <w:p w14:paraId="1786E2A0" w14:textId="77777777" w:rsidR="00EB00FA" w:rsidRDefault="00EB00FA">
      <w:pPr>
        <w:pBdr>
          <w:top w:val="nil"/>
          <w:left w:val="nil"/>
          <w:bottom w:val="nil"/>
          <w:right w:val="nil"/>
          <w:between w:val="nil"/>
        </w:pBdr>
        <w:ind w:firstLine="708"/>
        <w:jc w:val="both"/>
        <w:rPr>
          <w:rFonts w:ascii="Cambria" w:eastAsia="Cambria" w:hAnsi="Cambria" w:cs="Cambria"/>
          <w:color w:val="000000"/>
          <w:sz w:val="21"/>
          <w:szCs w:val="21"/>
        </w:rPr>
      </w:pPr>
    </w:p>
    <w:p w14:paraId="2CB0DF21" w14:textId="77777777" w:rsidR="00EB00FA" w:rsidRDefault="00000000">
      <w:pPr>
        <w:pBdr>
          <w:top w:val="nil"/>
          <w:left w:val="nil"/>
          <w:bottom w:val="nil"/>
          <w:right w:val="nil"/>
          <w:between w:val="nil"/>
        </w:pBdr>
        <w:ind w:firstLine="708"/>
        <w:jc w:val="both"/>
        <w:rPr>
          <w:rFonts w:ascii="Cambria" w:eastAsia="Cambria" w:hAnsi="Cambria" w:cs="Cambria"/>
          <w:color w:val="000000"/>
          <w:sz w:val="21"/>
          <w:szCs w:val="21"/>
        </w:rPr>
      </w:pPr>
      <w:r>
        <w:rPr>
          <w:rFonts w:ascii="Cambria" w:eastAsia="Cambria" w:hAnsi="Cambria" w:cs="Cambria"/>
          <w:color w:val="000000"/>
          <w:sz w:val="21"/>
          <w:szCs w:val="21"/>
        </w:rPr>
        <w:lastRenderedPageBreak/>
        <w:t>O número de pessoas de baixa renda em um município traz para o debate dois aspectos: o da justiça social e o da viabilidade financeira da política. Por um lado, as pessoas pobres são mais afetadas pela tarifação do transporte, que representa uma barreira ao exercício do direito à cidade, conforme discutido na primeira seção</w:t>
      </w:r>
      <w:r>
        <w:t xml:space="preserve"> </w:t>
      </w:r>
      <w:r>
        <w:rPr>
          <w:rFonts w:ascii="Cambria" w:eastAsia="Cambria" w:hAnsi="Cambria" w:cs="Cambria"/>
          <w:color w:val="000000"/>
          <w:sz w:val="21"/>
          <w:szCs w:val="21"/>
        </w:rPr>
        <w:t>(Mota, 2023; Domingues et al., 2025). A eliminação dessa barreira promove justiça social e pode gerar capital político para os governantes. Entretanto, ter mais pessoas em situação de baixa renda tende a significar maior demanda por serviços de transporte público e, portanto, maiores custos para o tesouro municipal, o que pode afetar negativamente a adoção da política</w:t>
      </w:r>
      <w:r>
        <w:t xml:space="preserve"> </w:t>
      </w:r>
      <w:r>
        <w:rPr>
          <w:rFonts w:ascii="Cambria" w:eastAsia="Cambria" w:hAnsi="Cambria" w:cs="Cambria"/>
          <w:color w:val="000000"/>
          <w:sz w:val="21"/>
          <w:szCs w:val="21"/>
        </w:rPr>
        <w:t>(Costa &amp; Sampaio, 2024). No federalismo fiscal brasileiro, que apresenta baixo poder de redistribuição das principais transferências intergovernamentais, as políticas sociais necessitam de um sistema integrado de financiamento para garantir maior equidade em suas ofertas, como é o caso da saúde, educação e assistência social (Anônimo, 2018). Na ausência de um sistema de financiamento que considere demandas e capacidades de gastos, localidades com maiores demandas terão maiores dificuldades para sustentar políticas distributivas de alto custo.</w:t>
      </w:r>
    </w:p>
    <w:p w14:paraId="186CC803" w14:textId="005D78ED" w:rsidR="00EB00FA" w:rsidRDefault="00000000">
      <w:pPr>
        <w:pBdr>
          <w:top w:val="nil"/>
          <w:left w:val="nil"/>
          <w:bottom w:val="nil"/>
          <w:right w:val="nil"/>
          <w:between w:val="nil"/>
        </w:pBdr>
        <w:ind w:firstLine="708"/>
        <w:jc w:val="both"/>
        <w:rPr>
          <w:rFonts w:ascii="Cambria" w:eastAsia="Cambria" w:hAnsi="Cambria" w:cs="Cambria"/>
          <w:color w:val="000000"/>
          <w:sz w:val="21"/>
          <w:szCs w:val="21"/>
        </w:rPr>
      </w:pPr>
      <w:r>
        <w:rPr>
          <w:rFonts w:ascii="Cambria" w:eastAsia="Cambria" w:hAnsi="Cambria" w:cs="Cambria"/>
          <w:color w:val="000000"/>
          <w:sz w:val="21"/>
          <w:szCs w:val="21"/>
        </w:rPr>
        <w:t>Diferente das características sociais que definem a demanda, o tamanho da riqueza do município</w:t>
      </w:r>
      <w:r w:rsidR="00110B4F">
        <w:rPr>
          <w:rFonts w:ascii="Cambria" w:eastAsia="Cambria" w:hAnsi="Cambria" w:cs="Cambria"/>
          <w:color w:val="000000"/>
          <w:sz w:val="21"/>
          <w:szCs w:val="21"/>
        </w:rPr>
        <w:t>,</w:t>
      </w:r>
      <w:r>
        <w:rPr>
          <w:rFonts w:ascii="Cambria" w:eastAsia="Cambria" w:hAnsi="Cambria" w:cs="Cambria"/>
          <w:color w:val="000000"/>
          <w:sz w:val="21"/>
          <w:szCs w:val="21"/>
        </w:rPr>
        <w:t xml:space="preserve"> medido pelo Produto Interno Bruto (PIB) </w:t>
      </w:r>
      <w:r>
        <w:rPr>
          <w:rFonts w:ascii="Cambria" w:eastAsia="Cambria" w:hAnsi="Cambria" w:cs="Cambria"/>
          <w:i/>
          <w:iCs/>
          <w:color w:val="000000"/>
          <w:sz w:val="21"/>
          <w:szCs w:val="21"/>
        </w:rPr>
        <w:t>per capita</w:t>
      </w:r>
      <w:r w:rsidR="00110B4F">
        <w:rPr>
          <w:rFonts w:ascii="Cambria" w:eastAsia="Cambria" w:hAnsi="Cambria" w:cs="Cambria"/>
          <w:i/>
          <w:iCs/>
          <w:color w:val="000000"/>
          <w:sz w:val="21"/>
          <w:szCs w:val="21"/>
        </w:rPr>
        <w:t>,</w:t>
      </w:r>
      <w:r>
        <w:rPr>
          <w:rFonts w:ascii="Cambria" w:eastAsia="Cambria" w:hAnsi="Cambria" w:cs="Cambria"/>
          <w:color w:val="000000"/>
          <w:sz w:val="21"/>
          <w:szCs w:val="21"/>
        </w:rPr>
        <w:t xml:space="preserve"> é um</w:t>
      </w:r>
      <w:r w:rsidR="00110B4F">
        <w:rPr>
          <w:rFonts w:ascii="Cambria" w:eastAsia="Cambria" w:hAnsi="Cambria" w:cs="Cambria"/>
          <w:color w:val="000000"/>
          <w:sz w:val="21"/>
          <w:szCs w:val="21"/>
        </w:rPr>
        <w:t>a</w:t>
      </w:r>
      <w:r>
        <w:rPr>
          <w:rFonts w:ascii="Cambria" w:eastAsia="Cambria" w:hAnsi="Cambria" w:cs="Cambria"/>
          <w:color w:val="000000"/>
          <w:sz w:val="21"/>
          <w:szCs w:val="21"/>
        </w:rPr>
        <w:t xml:space="preserve"> </w:t>
      </w:r>
      <w:r w:rsidR="00435EA2">
        <w:rPr>
          <w:rFonts w:ascii="Cambria" w:eastAsia="Cambria" w:hAnsi="Cambria" w:cs="Cambria"/>
          <w:color w:val="000000"/>
          <w:sz w:val="21"/>
          <w:szCs w:val="21"/>
        </w:rPr>
        <w:t>variável de</w:t>
      </w:r>
      <w:r>
        <w:rPr>
          <w:rFonts w:ascii="Cambria" w:eastAsia="Cambria" w:hAnsi="Cambria" w:cs="Cambria"/>
          <w:color w:val="000000"/>
          <w:sz w:val="21"/>
          <w:szCs w:val="21"/>
        </w:rPr>
        <w:t xml:space="preserve"> base material que pode gerar capacidade fiscal. Pereira (2024) e Costa e Sampaio (2024) indicam que a viabilidade da tarifa zero depende de bases orçamentárias sólidas, evidenciando que municípios que adotaram a política possuíam um PIB </w:t>
      </w:r>
      <w:r>
        <w:rPr>
          <w:rFonts w:ascii="Cambria" w:eastAsia="Cambria" w:hAnsi="Cambria" w:cs="Cambria"/>
          <w:i/>
          <w:iCs/>
          <w:color w:val="000000"/>
          <w:sz w:val="21"/>
          <w:szCs w:val="21"/>
        </w:rPr>
        <w:t>per capita</w:t>
      </w:r>
      <w:r>
        <w:rPr>
          <w:rFonts w:ascii="Cambria" w:eastAsia="Cambria" w:hAnsi="Cambria" w:cs="Cambria"/>
          <w:color w:val="000000"/>
          <w:sz w:val="21"/>
          <w:szCs w:val="21"/>
        </w:rPr>
        <w:t xml:space="preserve"> médio significativamente superior aos não adotantes. Pereira (2024) também aponta que economias baseadas em atividades econômicas geradoras de receitas extraordinárias, como o agronegócio de alta performance (Sorriso/MT) ou os royalties de petróleo (Maricá/RJ), apresentam probabilidade de adoção da tarifa zero descolada de seu porte populacional. O caso fluminense é paradigmático, pois a sustentabilidade fiscal da tarifa zero repousa majoritariamente nos expressivos repasses financeiros recebidos em decorrência da exploração de petróleo offshore (Menezes, 2025). Dessa forma, o dinamismo econômico municipal pode prover receitas próprias capazes de viabilizar a </w:t>
      </w:r>
      <w:r w:rsidR="00110B4F">
        <w:rPr>
          <w:rFonts w:ascii="Cambria" w:eastAsia="Cambria" w:hAnsi="Cambria" w:cs="Cambria"/>
          <w:color w:val="000000"/>
          <w:sz w:val="21"/>
          <w:szCs w:val="21"/>
        </w:rPr>
        <w:t>expansão de</w:t>
      </w:r>
      <w:r>
        <w:rPr>
          <w:rFonts w:ascii="Cambria" w:eastAsia="Cambria" w:hAnsi="Cambria" w:cs="Cambria"/>
          <w:color w:val="000000"/>
          <w:sz w:val="21"/>
          <w:szCs w:val="21"/>
        </w:rPr>
        <w:t xml:space="preserve"> políticas sociais.</w:t>
      </w:r>
    </w:p>
    <w:p w14:paraId="2041D875" w14:textId="77777777" w:rsidR="00EB00FA" w:rsidRDefault="00EB00FA">
      <w:pPr>
        <w:pBdr>
          <w:top w:val="nil"/>
          <w:left w:val="nil"/>
          <w:bottom w:val="nil"/>
          <w:right w:val="nil"/>
          <w:between w:val="nil"/>
        </w:pBdr>
        <w:jc w:val="both"/>
        <w:rPr>
          <w:rFonts w:ascii="Cambria" w:eastAsia="Cambria" w:hAnsi="Cambria" w:cs="Cambria"/>
          <w:color w:val="000000"/>
          <w:sz w:val="21"/>
          <w:szCs w:val="21"/>
        </w:rPr>
      </w:pPr>
    </w:p>
    <w:p w14:paraId="1919D148" w14:textId="77777777" w:rsidR="00EB00FA" w:rsidRDefault="00000000">
      <w:pPr>
        <w:keepNext/>
        <w:keepLines/>
        <w:pBdr>
          <w:top w:val="nil"/>
          <w:left w:val="nil"/>
          <w:bottom w:val="nil"/>
          <w:right w:val="nil"/>
          <w:between w:val="nil"/>
        </w:pBdr>
        <w:spacing w:line="288" w:lineRule="auto"/>
        <w:jc w:val="both"/>
        <w:rPr>
          <w:rFonts w:ascii="Century Gothic" w:eastAsia="Century Gothic" w:hAnsi="Century Gothic" w:cs="Century Gothic"/>
          <w:b/>
          <w:bCs/>
          <w:color w:val="000000"/>
          <w:sz w:val="22"/>
          <w:szCs w:val="22"/>
        </w:rPr>
      </w:pPr>
      <w:r>
        <w:rPr>
          <w:rFonts w:ascii="Century Gothic" w:eastAsia="Century Gothic" w:hAnsi="Century Gothic" w:cs="Century Gothic"/>
          <w:b/>
          <w:bCs/>
          <w:color w:val="000000"/>
          <w:sz w:val="22"/>
          <w:szCs w:val="22"/>
        </w:rPr>
        <w:t>2.3 Fator Fiscal</w:t>
      </w:r>
    </w:p>
    <w:p w14:paraId="0E7E634B" w14:textId="77777777" w:rsidR="00EB00FA" w:rsidRDefault="00EB00FA">
      <w:pPr>
        <w:pBdr>
          <w:top w:val="nil"/>
          <w:left w:val="nil"/>
          <w:bottom w:val="nil"/>
          <w:right w:val="nil"/>
          <w:between w:val="nil"/>
        </w:pBdr>
        <w:jc w:val="both"/>
        <w:rPr>
          <w:rFonts w:ascii="Cambria" w:eastAsia="Cambria" w:hAnsi="Cambria" w:cs="Cambria"/>
          <w:color w:val="000000"/>
          <w:sz w:val="21"/>
          <w:szCs w:val="21"/>
        </w:rPr>
      </w:pPr>
    </w:p>
    <w:p w14:paraId="21B3E733" w14:textId="118F26AA" w:rsidR="00EB00FA" w:rsidRDefault="00000000">
      <w:pPr>
        <w:pBdr>
          <w:top w:val="nil"/>
          <w:left w:val="nil"/>
          <w:bottom w:val="nil"/>
          <w:right w:val="nil"/>
          <w:between w:val="nil"/>
        </w:pBdr>
        <w:ind w:firstLine="708"/>
        <w:jc w:val="both"/>
        <w:rPr>
          <w:rFonts w:ascii="Cambria" w:eastAsia="Cambria" w:hAnsi="Cambria" w:cs="Cambria"/>
          <w:color w:val="000000"/>
          <w:sz w:val="21"/>
          <w:szCs w:val="21"/>
        </w:rPr>
      </w:pPr>
      <w:r>
        <w:rPr>
          <w:rFonts w:ascii="Cambria" w:eastAsia="Cambria" w:hAnsi="Cambria" w:cs="Cambria"/>
          <w:color w:val="000000"/>
          <w:sz w:val="21"/>
          <w:szCs w:val="21"/>
        </w:rPr>
        <w:t xml:space="preserve">Além da demanda pela política e da capacidade econômica de gerar recursos para o seu financiamento, deve-se considerar a dependência do transporte público em relação à receita tarifária, bem como a saúde fiscal dos entes locais para arcar com o aumento dos gastos. A </w:t>
      </w:r>
      <w:r w:rsidR="00110B4F">
        <w:rPr>
          <w:rFonts w:ascii="Cambria" w:eastAsia="Cambria" w:hAnsi="Cambria" w:cs="Cambria"/>
          <w:color w:val="000000"/>
          <w:sz w:val="21"/>
          <w:szCs w:val="21"/>
        </w:rPr>
        <w:t>T</w:t>
      </w:r>
      <w:r>
        <w:rPr>
          <w:rFonts w:ascii="Cambria" w:eastAsia="Cambria" w:hAnsi="Cambria" w:cs="Cambria"/>
          <w:color w:val="000000"/>
          <w:sz w:val="21"/>
          <w:szCs w:val="21"/>
        </w:rPr>
        <w:t>abela 1 apresenta os modelos de financiamento do transporte público nos municípios brasileiros. O modelo tarifário puro</w:t>
      </w:r>
      <w:r w:rsidR="00F16EF0">
        <w:rPr>
          <w:rFonts w:ascii="Cambria" w:eastAsia="Cambria" w:hAnsi="Cambria" w:cs="Cambria"/>
          <w:color w:val="000000"/>
          <w:sz w:val="21"/>
          <w:szCs w:val="21"/>
        </w:rPr>
        <w:t xml:space="preserve"> </w:t>
      </w:r>
      <w:r>
        <w:rPr>
          <w:rFonts w:ascii="Cambria" w:eastAsia="Cambria" w:hAnsi="Cambria" w:cs="Cambria"/>
          <w:color w:val="000000"/>
          <w:sz w:val="21"/>
          <w:szCs w:val="21"/>
        </w:rPr>
        <w:t>financia-se pela cobrança de passagens</w:t>
      </w:r>
      <w:r w:rsidR="00F16EF0">
        <w:rPr>
          <w:rFonts w:ascii="Cambria" w:eastAsia="Cambria" w:hAnsi="Cambria" w:cs="Cambria"/>
          <w:color w:val="000000"/>
          <w:sz w:val="21"/>
          <w:szCs w:val="21"/>
        </w:rPr>
        <w:t>,</w:t>
      </w:r>
      <w:r>
        <w:rPr>
          <w:rFonts w:ascii="Cambria" w:eastAsia="Cambria" w:hAnsi="Cambria" w:cs="Cambria"/>
          <w:color w:val="000000"/>
          <w:sz w:val="21"/>
          <w:szCs w:val="21"/>
        </w:rPr>
        <w:t xml:space="preserve"> </w:t>
      </w:r>
      <w:r w:rsidR="00F16EF0">
        <w:rPr>
          <w:rFonts w:ascii="Cambria" w:eastAsia="Cambria" w:hAnsi="Cambria" w:cs="Cambria"/>
          <w:color w:val="000000"/>
          <w:sz w:val="21"/>
          <w:szCs w:val="21"/>
        </w:rPr>
        <w:t>j</w:t>
      </w:r>
      <w:r>
        <w:rPr>
          <w:rFonts w:ascii="Cambria" w:eastAsia="Cambria" w:hAnsi="Cambria" w:cs="Cambria"/>
          <w:color w:val="000000"/>
          <w:sz w:val="21"/>
          <w:szCs w:val="21"/>
        </w:rPr>
        <w:t xml:space="preserve">á o modelo extra tarifário de subsídio parcial, previsto na Política Nacional de Mobilidade Urbana (Lei nº 12.587/2012), diferencia tarifa de remuneração (custo real) e tarifa pública (valor ao usuário), permitindo subsídio governamental (Guimarães, 2019). Essa dissociação rompe com </w:t>
      </w:r>
      <w:r w:rsidR="00694739">
        <w:rPr>
          <w:rFonts w:ascii="Cambria" w:eastAsia="Cambria" w:hAnsi="Cambria" w:cs="Cambria"/>
          <w:color w:val="000000"/>
          <w:sz w:val="21"/>
          <w:szCs w:val="21"/>
        </w:rPr>
        <w:t>o</w:t>
      </w:r>
      <w:r>
        <w:rPr>
          <w:rFonts w:ascii="Cambria" w:eastAsia="Cambria" w:hAnsi="Cambria" w:cs="Cambria"/>
          <w:color w:val="000000"/>
          <w:sz w:val="21"/>
          <w:szCs w:val="21"/>
        </w:rPr>
        <w:t xml:space="preserve"> custeio integral pelo usuário e </w:t>
      </w:r>
      <w:r w:rsidR="00694739">
        <w:rPr>
          <w:rFonts w:ascii="Cambria" w:eastAsia="Cambria" w:hAnsi="Cambria" w:cs="Cambria"/>
          <w:color w:val="000000"/>
          <w:sz w:val="21"/>
          <w:szCs w:val="21"/>
        </w:rPr>
        <w:t>defende o princípio d</w:t>
      </w:r>
      <w:r>
        <w:rPr>
          <w:rFonts w:ascii="Cambria" w:eastAsia="Cambria" w:hAnsi="Cambria" w:cs="Cambria"/>
          <w:color w:val="000000"/>
          <w:sz w:val="21"/>
          <w:szCs w:val="21"/>
        </w:rPr>
        <w:t xml:space="preserve">a modicidade tarifária. </w:t>
      </w:r>
      <w:r w:rsidR="00694739">
        <w:rPr>
          <w:rFonts w:ascii="Cambria" w:eastAsia="Cambria" w:hAnsi="Cambria" w:cs="Cambria"/>
          <w:color w:val="000000"/>
          <w:sz w:val="21"/>
          <w:szCs w:val="21"/>
        </w:rPr>
        <w:t>Sobre a prestação dos serviços, d</w:t>
      </w:r>
      <w:r>
        <w:rPr>
          <w:rFonts w:ascii="Cambria" w:eastAsia="Cambria" w:hAnsi="Cambria" w:cs="Cambria"/>
          <w:color w:val="000000"/>
          <w:sz w:val="21"/>
          <w:szCs w:val="21"/>
        </w:rPr>
        <w:t xml:space="preserve">ados indicam que cerca de 40% dos municípios operam sob gestão direta, sobretudo os de pequeno porte, enquanto concessões privadas predominam nos médios e grandes centros (CNM, 2024; NTU, 2024). </w:t>
      </w:r>
    </w:p>
    <w:p w14:paraId="0DB956CA" w14:textId="2F618909" w:rsidR="00EB00FA" w:rsidRDefault="00000000">
      <w:pPr>
        <w:pBdr>
          <w:top w:val="nil"/>
          <w:left w:val="nil"/>
          <w:bottom w:val="nil"/>
          <w:right w:val="nil"/>
          <w:between w:val="nil"/>
        </w:pBdr>
        <w:ind w:firstLine="708"/>
        <w:jc w:val="both"/>
        <w:rPr>
          <w:rFonts w:ascii="Cambria" w:eastAsia="Cambria" w:hAnsi="Cambria" w:cs="Cambria"/>
          <w:color w:val="000000"/>
          <w:sz w:val="21"/>
          <w:szCs w:val="21"/>
        </w:rPr>
      </w:pPr>
      <w:r>
        <w:rPr>
          <w:rFonts w:ascii="Cambria" w:eastAsia="Cambria" w:hAnsi="Cambria" w:cs="Cambria"/>
          <w:color w:val="000000"/>
          <w:sz w:val="21"/>
          <w:szCs w:val="21"/>
        </w:rPr>
        <w:t xml:space="preserve">Conforme IBGE (2025) e NTU (2024), do total de 2.529 municípios que possuem sistemas organizados de transporte por ônibus, 85,6% apresentam o modelo tarifário puro. O modelo extra tarifário está presente em 365 municípios (14,4%), sendo que 229 municípios (62,7%) apresentam o subsídio parcial e 136 municípios (37,3%) adotaram o subsídio total. O modelo tarifário puro enfrenta um ciclo vicioso que compromete sua sustentabilidade: os custos operacionais crescem continuamente, exigindo reajustes para manter </w:t>
      </w:r>
      <w:r w:rsidR="00694739">
        <w:rPr>
          <w:rFonts w:ascii="Cambria" w:eastAsia="Cambria" w:hAnsi="Cambria" w:cs="Cambria"/>
          <w:color w:val="000000"/>
          <w:sz w:val="21"/>
          <w:szCs w:val="21"/>
        </w:rPr>
        <w:t xml:space="preserve">o </w:t>
      </w:r>
      <w:r>
        <w:rPr>
          <w:rFonts w:ascii="Cambria" w:eastAsia="Cambria" w:hAnsi="Cambria" w:cs="Cambria"/>
          <w:color w:val="000000"/>
          <w:sz w:val="21"/>
          <w:szCs w:val="21"/>
        </w:rPr>
        <w:t xml:space="preserve">equilíbrio financeiro, mas o aumento da tarifa exclui usuários de menor renda e incentiva </w:t>
      </w:r>
      <w:r w:rsidR="00694739">
        <w:rPr>
          <w:rFonts w:ascii="Cambria" w:eastAsia="Cambria" w:hAnsi="Cambria" w:cs="Cambria"/>
          <w:color w:val="000000"/>
          <w:sz w:val="21"/>
          <w:szCs w:val="21"/>
        </w:rPr>
        <w:t xml:space="preserve">a </w:t>
      </w:r>
      <w:r>
        <w:rPr>
          <w:rFonts w:ascii="Cambria" w:eastAsia="Cambria" w:hAnsi="Cambria" w:cs="Cambria"/>
          <w:color w:val="000000"/>
          <w:sz w:val="21"/>
          <w:szCs w:val="21"/>
        </w:rPr>
        <w:t xml:space="preserve">migração para </w:t>
      </w:r>
      <w:r w:rsidR="00694739">
        <w:rPr>
          <w:rFonts w:ascii="Cambria" w:eastAsia="Cambria" w:hAnsi="Cambria" w:cs="Cambria"/>
          <w:color w:val="000000"/>
          <w:sz w:val="21"/>
          <w:szCs w:val="21"/>
        </w:rPr>
        <w:t xml:space="preserve">o </w:t>
      </w:r>
      <w:r>
        <w:rPr>
          <w:rFonts w:ascii="Cambria" w:eastAsia="Cambria" w:hAnsi="Cambria" w:cs="Cambria"/>
          <w:color w:val="000000"/>
          <w:sz w:val="21"/>
          <w:szCs w:val="21"/>
        </w:rPr>
        <w:t>transporte individual</w:t>
      </w:r>
      <w:r w:rsidR="00694739">
        <w:rPr>
          <w:rFonts w:ascii="Cambria" w:eastAsia="Cambria" w:hAnsi="Cambria" w:cs="Cambria"/>
          <w:color w:val="000000"/>
          <w:sz w:val="21"/>
          <w:szCs w:val="21"/>
        </w:rPr>
        <w:t xml:space="preserve"> ou informal</w:t>
      </w:r>
      <w:r>
        <w:rPr>
          <w:rFonts w:ascii="Cambria" w:eastAsia="Cambria" w:hAnsi="Cambria" w:cs="Cambria"/>
          <w:color w:val="000000"/>
          <w:sz w:val="21"/>
          <w:szCs w:val="21"/>
        </w:rPr>
        <w:t xml:space="preserve">, reduzindo a receita do sistema. Essa perda gera déficits que pressionam por novos aumentos ou cortes na oferta, degradando a qualidade e acelerando a evasão de passageiros (Domingues et al., 2025). </w:t>
      </w:r>
    </w:p>
    <w:p w14:paraId="1A432CE5" w14:textId="7AF24D0A" w:rsidR="00EB00FA" w:rsidRDefault="00000000">
      <w:pPr>
        <w:pBdr>
          <w:top w:val="nil"/>
          <w:left w:val="nil"/>
          <w:bottom w:val="nil"/>
          <w:right w:val="nil"/>
          <w:between w:val="nil"/>
        </w:pBdr>
        <w:ind w:firstLine="708"/>
        <w:jc w:val="both"/>
        <w:rPr>
          <w:rFonts w:ascii="Cambria" w:eastAsia="Cambria" w:hAnsi="Cambria" w:cs="Cambria"/>
          <w:color w:val="000000"/>
          <w:sz w:val="21"/>
          <w:szCs w:val="21"/>
        </w:rPr>
      </w:pPr>
      <w:r>
        <w:rPr>
          <w:rFonts w:ascii="Cambria" w:eastAsia="Cambria" w:hAnsi="Cambria" w:cs="Cambria"/>
          <w:color w:val="000000"/>
          <w:sz w:val="21"/>
          <w:szCs w:val="21"/>
        </w:rPr>
        <w:t xml:space="preserve">Os modelos extra tarifários surgem como resposta ao dilema do modelo puro, socializando custos por fontes além da passagem. No subsídio parcial, o poder público cobre parte dos custos operacionais para manter tarifas </w:t>
      </w:r>
      <w:r w:rsidR="00694739">
        <w:rPr>
          <w:rFonts w:ascii="Cambria" w:eastAsia="Cambria" w:hAnsi="Cambria" w:cs="Cambria"/>
          <w:color w:val="000000"/>
          <w:sz w:val="21"/>
          <w:szCs w:val="21"/>
        </w:rPr>
        <w:t xml:space="preserve">menores </w:t>
      </w:r>
      <w:r>
        <w:rPr>
          <w:rFonts w:ascii="Cambria" w:eastAsia="Cambria" w:hAnsi="Cambria" w:cs="Cambria"/>
          <w:color w:val="000000"/>
          <w:sz w:val="21"/>
          <w:szCs w:val="21"/>
        </w:rPr>
        <w:t xml:space="preserve">ou financiar gratuidades a grupos específicos (Mota, 2023). Apesar de representar avanço, mantém a lógica tarifária como principal receita e o estigma de serviço restrito. Belo Horizonte exemplifica a transição </w:t>
      </w:r>
      <w:r w:rsidR="00694739">
        <w:rPr>
          <w:rFonts w:ascii="Cambria" w:eastAsia="Cambria" w:hAnsi="Cambria" w:cs="Cambria"/>
          <w:color w:val="000000"/>
          <w:sz w:val="21"/>
          <w:szCs w:val="21"/>
        </w:rPr>
        <w:t xml:space="preserve">de modelos </w:t>
      </w:r>
      <w:r>
        <w:rPr>
          <w:rFonts w:ascii="Cambria" w:eastAsia="Cambria" w:hAnsi="Cambria" w:cs="Cambria"/>
          <w:color w:val="000000"/>
          <w:sz w:val="21"/>
          <w:szCs w:val="21"/>
        </w:rPr>
        <w:t xml:space="preserve">em 2022, quando o orçamento municipal passou a financiar 33% do custo total </w:t>
      </w:r>
      <w:r w:rsidR="00694739">
        <w:rPr>
          <w:rFonts w:ascii="Cambria" w:eastAsia="Cambria" w:hAnsi="Cambria" w:cs="Cambria"/>
          <w:color w:val="000000"/>
          <w:sz w:val="21"/>
          <w:szCs w:val="21"/>
        </w:rPr>
        <w:t xml:space="preserve">do transporte coletivo </w:t>
      </w:r>
      <w:r>
        <w:rPr>
          <w:rFonts w:ascii="Cambria" w:eastAsia="Cambria" w:hAnsi="Cambria" w:cs="Cambria"/>
          <w:color w:val="000000"/>
          <w:sz w:val="21"/>
          <w:szCs w:val="21"/>
        </w:rPr>
        <w:t>para evitar aumentos na tarifa pública (Domingues et al., 2025).</w:t>
      </w:r>
    </w:p>
    <w:p w14:paraId="1E1E18CC" w14:textId="343E0FBB" w:rsidR="00EB00FA" w:rsidRDefault="00000000">
      <w:pPr>
        <w:pBdr>
          <w:top w:val="nil"/>
          <w:left w:val="nil"/>
          <w:bottom w:val="nil"/>
          <w:right w:val="nil"/>
          <w:between w:val="nil"/>
        </w:pBdr>
        <w:ind w:firstLine="708"/>
        <w:jc w:val="both"/>
        <w:rPr>
          <w:rFonts w:ascii="Cambria" w:eastAsia="Cambria" w:hAnsi="Cambria" w:cs="Cambria"/>
          <w:color w:val="000000"/>
          <w:sz w:val="21"/>
          <w:szCs w:val="21"/>
        </w:rPr>
      </w:pPr>
      <w:r>
        <w:rPr>
          <w:rFonts w:ascii="Cambria" w:eastAsia="Cambria" w:hAnsi="Cambria" w:cs="Cambria"/>
          <w:color w:val="000000"/>
          <w:sz w:val="21"/>
          <w:szCs w:val="21"/>
        </w:rPr>
        <w:t xml:space="preserve">A tarifa zero rompe com a lógica tradicional ao financiar integralmente o transporte coletivo urbano com recursos públicos como impostos e taxas (Costa &amp; Sampaio, 2024). Diferente do subsídio parcial, o Estado custeia diretamente o sistema, garantindo benefícios à coletividade independentemente do </w:t>
      </w:r>
      <w:r w:rsidR="00694739">
        <w:rPr>
          <w:rFonts w:ascii="Cambria" w:eastAsia="Cambria" w:hAnsi="Cambria" w:cs="Cambria"/>
          <w:color w:val="000000"/>
          <w:sz w:val="21"/>
          <w:szCs w:val="21"/>
        </w:rPr>
        <w:t xml:space="preserve">pagamento </w:t>
      </w:r>
      <w:r>
        <w:rPr>
          <w:rFonts w:ascii="Cambria" w:eastAsia="Cambria" w:hAnsi="Cambria" w:cs="Cambria"/>
          <w:color w:val="000000"/>
          <w:sz w:val="21"/>
          <w:szCs w:val="21"/>
        </w:rPr>
        <w:t xml:space="preserve">individual. Essa abordagem reduz barreiras financeiras e fortalece </w:t>
      </w:r>
      <w:r>
        <w:rPr>
          <w:rFonts w:ascii="Cambria" w:eastAsia="Cambria" w:hAnsi="Cambria" w:cs="Cambria"/>
          <w:color w:val="000000"/>
          <w:sz w:val="21"/>
          <w:szCs w:val="21"/>
        </w:rPr>
        <w:lastRenderedPageBreak/>
        <w:t xml:space="preserve">o transporte como infraestrutura essencial ao funcionamento da cidade e ao bem-estar dos cidadãos (Domingues et al., 2025). </w:t>
      </w:r>
    </w:p>
    <w:p w14:paraId="03AA0827" w14:textId="32462D57" w:rsidR="00EB00FA" w:rsidRDefault="00000000">
      <w:pPr>
        <w:pBdr>
          <w:top w:val="nil"/>
          <w:left w:val="nil"/>
          <w:bottom w:val="nil"/>
          <w:right w:val="nil"/>
          <w:between w:val="nil"/>
        </w:pBdr>
        <w:ind w:firstLine="708"/>
        <w:jc w:val="both"/>
        <w:rPr>
          <w:rFonts w:ascii="Cambria" w:eastAsia="Cambria" w:hAnsi="Cambria" w:cs="Cambria"/>
          <w:color w:val="000000"/>
          <w:sz w:val="21"/>
          <w:szCs w:val="21"/>
        </w:rPr>
      </w:pPr>
      <w:r>
        <w:rPr>
          <w:rFonts w:ascii="Cambria" w:eastAsia="Cambria" w:hAnsi="Cambria" w:cs="Cambria"/>
          <w:color w:val="000000"/>
          <w:sz w:val="21"/>
          <w:szCs w:val="21"/>
        </w:rPr>
        <w:t>Contudo, a decisão de migrar para o custeio público integral exige disponibilidade orçamentária</w:t>
      </w:r>
      <w:r w:rsidR="00694739">
        <w:rPr>
          <w:rFonts w:ascii="Cambria" w:eastAsia="Cambria" w:hAnsi="Cambria" w:cs="Cambria"/>
          <w:color w:val="000000"/>
          <w:sz w:val="21"/>
          <w:szCs w:val="21"/>
        </w:rPr>
        <w:t xml:space="preserve"> e financeira</w:t>
      </w:r>
      <w:r>
        <w:rPr>
          <w:rFonts w:ascii="Cambria" w:eastAsia="Cambria" w:hAnsi="Cambria" w:cs="Cambria"/>
          <w:color w:val="000000"/>
          <w:sz w:val="21"/>
          <w:szCs w:val="21"/>
        </w:rPr>
        <w:t>. A ausência de um planejamento financeiro de longo prazo para lidar com os custos fixos e os choques de demanda pode levar ao colapso do serviço. Municípios como Agudos (SP) e Luziânia (GO), por exemplo, enfrentaram a interrupção da política de gratuidade justamente pela incapacidade fiscal de sustentar o modelo extra tarifário ao longo do tempo (Brito, 2025). A capacidade fiscal de assumir novos gastos está diretamente associada à situação fiscal do município e pode ser um aspecto considerado pelos municípios na decisão de adotar ou não a política.</w:t>
      </w:r>
    </w:p>
    <w:p w14:paraId="2D0782EE" w14:textId="77777777" w:rsidR="00EB00FA" w:rsidRDefault="00000000">
      <w:pPr>
        <w:keepNext/>
        <w:pBdr>
          <w:top w:val="nil"/>
          <w:left w:val="nil"/>
          <w:bottom w:val="nil"/>
          <w:right w:val="nil"/>
          <w:between w:val="nil"/>
        </w:pBdr>
        <w:spacing w:before="240" w:after="60" w:line="288" w:lineRule="auto"/>
        <w:jc w:val="center"/>
        <w:rPr>
          <w:rFonts w:ascii="Century Gothic" w:eastAsia="Century Gothic" w:hAnsi="Century Gothic" w:cs="Century Gothic"/>
          <w:color w:val="000000"/>
          <w:sz w:val="18"/>
          <w:szCs w:val="18"/>
        </w:rPr>
      </w:pPr>
      <w:r>
        <w:rPr>
          <w:rFonts w:ascii="Century Gothic" w:eastAsia="Century Gothic" w:hAnsi="Century Gothic" w:cs="Century Gothic"/>
          <w:b/>
          <w:bCs/>
          <w:color w:val="000000"/>
          <w:sz w:val="18"/>
          <w:szCs w:val="18"/>
        </w:rPr>
        <w:t>Tabela 1</w:t>
      </w:r>
      <w:r>
        <w:rPr>
          <w:rFonts w:ascii="Century Gothic" w:eastAsia="Century Gothic" w:hAnsi="Century Gothic" w:cs="Century Gothic"/>
          <w:color w:val="000000"/>
          <w:sz w:val="18"/>
          <w:szCs w:val="18"/>
        </w:rPr>
        <w:t xml:space="preserve"> </w:t>
      </w:r>
      <w:r>
        <w:rPr>
          <w:rFonts w:ascii="Century Gothic" w:eastAsia="Century Gothic" w:hAnsi="Century Gothic" w:cs="Century Gothic"/>
          <w:b/>
          <w:bCs/>
          <w:color w:val="000000"/>
          <w:sz w:val="18"/>
          <w:szCs w:val="18"/>
        </w:rPr>
        <w:t>-</w:t>
      </w:r>
      <w:r>
        <w:rPr>
          <w:rFonts w:ascii="Century Gothic" w:eastAsia="Century Gothic" w:hAnsi="Century Gothic" w:cs="Century Gothic"/>
          <w:color w:val="000000"/>
          <w:sz w:val="18"/>
          <w:szCs w:val="18"/>
        </w:rPr>
        <w:t xml:space="preserve"> Modelos de custeio do transporte coletivo urbano nos municípios</w:t>
      </w:r>
    </w:p>
    <w:tbl>
      <w:tblPr>
        <w:tblStyle w:val="a"/>
        <w:tblW w:w="9071" w:type="dxa"/>
        <w:tblInd w:w="0" w:type="dxa"/>
        <w:tblLayout w:type="fixed"/>
        <w:tblLook w:val="0000" w:firstRow="0" w:lastRow="0" w:firstColumn="0" w:lastColumn="0" w:noHBand="0" w:noVBand="0"/>
      </w:tblPr>
      <w:tblGrid>
        <w:gridCol w:w="1560"/>
        <w:gridCol w:w="2976"/>
        <w:gridCol w:w="1941"/>
        <w:gridCol w:w="2594"/>
      </w:tblGrid>
      <w:tr w:rsidR="00EB00FA" w14:paraId="6A3CBAAD" w14:textId="77777777">
        <w:tc>
          <w:tcPr>
            <w:tcW w:w="1560" w:type="dxa"/>
            <w:tcBorders>
              <w:top w:val="single" w:sz="4" w:space="0" w:color="000000"/>
              <w:bottom w:val="single" w:sz="4" w:space="0" w:color="000000"/>
            </w:tcBorders>
            <w:tcMar>
              <w:top w:w="0" w:type="dxa"/>
              <w:left w:w="108" w:type="dxa"/>
              <w:bottom w:w="0" w:type="dxa"/>
              <w:right w:w="108" w:type="dxa"/>
            </w:tcMar>
            <w:vAlign w:val="center"/>
          </w:tcPr>
          <w:p w14:paraId="1436B83C" w14:textId="77777777" w:rsidR="00EB00FA" w:rsidRDefault="00EB00FA">
            <w:pPr>
              <w:pBdr>
                <w:top w:val="nil"/>
                <w:left w:val="nil"/>
                <w:bottom w:val="nil"/>
                <w:right w:val="nil"/>
                <w:between w:val="nil"/>
              </w:pBdr>
              <w:tabs>
                <w:tab w:val="left" w:pos="706"/>
              </w:tabs>
              <w:spacing w:after="40"/>
              <w:jc w:val="center"/>
              <w:rPr>
                <w:rFonts w:ascii="Century Gothic" w:eastAsia="Century Gothic" w:hAnsi="Century Gothic" w:cs="Century Gothic"/>
                <w:b/>
                <w:bCs/>
                <w:color w:val="000000"/>
                <w:sz w:val="17"/>
                <w:szCs w:val="17"/>
              </w:rPr>
            </w:pPr>
          </w:p>
        </w:tc>
        <w:tc>
          <w:tcPr>
            <w:tcW w:w="2976" w:type="dxa"/>
            <w:tcBorders>
              <w:top w:val="single" w:sz="4" w:space="0" w:color="000000"/>
              <w:bottom w:val="single" w:sz="4" w:space="0" w:color="000000"/>
            </w:tcBorders>
            <w:tcMar>
              <w:top w:w="0" w:type="dxa"/>
              <w:left w:w="108" w:type="dxa"/>
              <w:bottom w:w="0" w:type="dxa"/>
              <w:right w:w="108" w:type="dxa"/>
            </w:tcMar>
            <w:vAlign w:val="center"/>
          </w:tcPr>
          <w:p w14:paraId="12468C1F" w14:textId="77777777" w:rsidR="00EB00FA" w:rsidRDefault="00000000">
            <w:pPr>
              <w:pBdr>
                <w:top w:val="nil"/>
                <w:left w:val="nil"/>
                <w:bottom w:val="nil"/>
                <w:right w:val="nil"/>
                <w:between w:val="nil"/>
              </w:pBdr>
              <w:tabs>
                <w:tab w:val="left" w:pos="706"/>
              </w:tabs>
              <w:spacing w:after="40"/>
              <w:jc w:val="center"/>
              <w:rPr>
                <w:rFonts w:ascii="Century Gothic" w:eastAsia="Century Gothic" w:hAnsi="Century Gothic" w:cs="Century Gothic"/>
                <w:b/>
                <w:bCs/>
                <w:color w:val="000000"/>
                <w:sz w:val="17"/>
                <w:szCs w:val="17"/>
              </w:rPr>
            </w:pPr>
            <w:r>
              <w:rPr>
                <w:rFonts w:ascii="Century Gothic" w:eastAsia="Century Gothic" w:hAnsi="Century Gothic" w:cs="Century Gothic"/>
                <w:b/>
                <w:bCs/>
                <w:color w:val="000000"/>
                <w:sz w:val="17"/>
                <w:szCs w:val="17"/>
              </w:rPr>
              <w:t>TARIFÁRIO</w:t>
            </w:r>
          </w:p>
        </w:tc>
        <w:tc>
          <w:tcPr>
            <w:tcW w:w="4535" w:type="dxa"/>
            <w:gridSpan w:val="2"/>
            <w:tcBorders>
              <w:top w:val="single" w:sz="4" w:space="0" w:color="000000"/>
              <w:bottom w:val="single" w:sz="4" w:space="0" w:color="000000"/>
            </w:tcBorders>
            <w:tcMar>
              <w:top w:w="0" w:type="dxa"/>
              <w:left w:w="108" w:type="dxa"/>
              <w:bottom w:w="0" w:type="dxa"/>
              <w:right w:w="108" w:type="dxa"/>
            </w:tcMar>
            <w:vAlign w:val="center"/>
          </w:tcPr>
          <w:p w14:paraId="377A4F30" w14:textId="77777777" w:rsidR="00EB00FA" w:rsidRDefault="00000000">
            <w:pPr>
              <w:pBdr>
                <w:top w:val="nil"/>
                <w:left w:val="nil"/>
                <w:bottom w:val="nil"/>
                <w:right w:val="nil"/>
                <w:between w:val="nil"/>
              </w:pBdr>
              <w:tabs>
                <w:tab w:val="left" w:pos="706"/>
              </w:tabs>
              <w:spacing w:after="40"/>
              <w:jc w:val="center"/>
              <w:rPr>
                <w:rFonts w:ascii="Century Gothic" w:eastAsia="Century Gothic" w:hAnsi="Century Gothic" w:cs="Century Gothic"/>
                <w:b/>
                <w:bCs/>
                <w:color w:val="000000"/>
                <w:sz w:val="17"/>
                <w:szCs w:val="17"/>
              </w:rPr>
            </w:pPr>
            <w:r>
              <w:rPr>
                <w:rFonts w:ascii="Century Gothic" w:eastAsia="Century Gothic" w:hAnsi="Century Gothic" w:cs="Century Gothic"/>
                <w:b/>
                <w:bCs/>
                <w:color w:val="000000"/>
                <w:sz w:val="17"/>
                <w:szCs w:val="17"/>
              </w:rPr>
              <w:t>EXTRA TARIFÁRIO</w:t>
            </w:r>
          </w:p>
        </w:tc>
      </w:tr>
      <w:tr w:rsidR="00EB00FA" w14:paraId="1B69B53A" w14:textId="77777777">
        <w:tc>
          <w:tcPr>
            <w:tcW w:w="1560" w:type="dxa"/>
            <w:tcBorders>
              <w:top w:val="single" w:sz="4" w:space="0" w:color="000000"/>
              <w:bottom w:val="single" w:sz="4" w:space="0" w:color="000000"/>
            </w:tcBorders>
            <w:tcMar>
              <w:top w:w="0" w:type="dxa"/>
              <w:left w:w="108" w:type="dxa"/>
              <w:bottom w:w="0" w:type="dxa"/>
              <w:right w:w="108" w:type="dxa"/>
            </w:tcMar>
            <w:vAlign w:val="center"/>
          </w:tcPr>
          <w:p w14:paraId="36D281AC"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b/>
                <w:bCs/>
                <w:color w:val="000000"/>
                <w:sz w:val="17"/>
                <w:szCs w:val="17"/>
              </w:rPr>
            </w:pPr>
            <w:r>
              <w:rPr>
                <w:rFonts w:ascii="Century Gothic" w:eastAsia="Century Gothic" w:hAnsi="Century Gothic" w:cs="Century Gothic"/>
                <w:b/>
                <w:bCs/>
                <w:color w:val="000000"/>
                <w:sz w:val="17"/>
                <w:szCs w:val="17"/>
              </w:rPr>
              <w:t>Características</w:t>
            </w:r>
          </w:p>
        </w:tc>
        <w:tc>
          <w:tcPr>
            <w:tcW w:w="2976" w:type="dxa"/>
            <w:tcBorders>
              <w:top w:val="single" w:sz="4" w:space="0" w:color="000000"/>
              <w:bottom w:val="single" w:sz="4" w:space="0" w:color="000000"/>
            </w:tcBorders>
            <w:tcMar>
              <w:top w:w="0" w:type="dxa"/>
              <w:left w:w="108" w:type="dxa"/>
              <w:bottom w:w="0" w:type="dxa"/>
              <w:right w:w="108" w:type="dxa"/>
            </w:tcMar>
            <w:vAlign w:val="center"/>
          </w:tcPr>
          <w:p w14:paraId="44C582DE"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b/>
                <w:bCs/>
                <w:color w:val="000000"/>
                <w:sz w:val="17"/>
                <w:szCs w:val="17"/>
              </w:rPr>
            </w:pPr>
            <w:r>
              <w:rPr>
                <w:rFonts w:ascii="Century Gothic" w:eastAsia="Century Gothic" w:hAnsi="Century Gothic" w:cs="Century Gothic"/>
                <w:b/>
                <w:bCs/>
                <w:color w:val="000000"/>
                <w:sz w:val="17"/>
                <w:szCs w:val="17"/>
              </w:rPr>
              <w:t>Puro</w:t>
            </w:r>
          </w:p>
        </w:tc>
        <w:tc>
          <w:tcPr>
            <w:tcW w:w="1941" w:type="dxa"/>
            <w:tcBorders>
              <w:top w:val="single" w:sz="4" w:space="0" w:color="000000"/>
              <w:bottom w:val="single" w:sz="4" w:space="0" w:color="000000"/>
            </w:tcBorders>
            <w:tcMar>
              <w:top w:w="0" w:type="dxa"/>
              <w:left w:w="108" w:type="dxa"/>
              <w:bottom w:w="0" w:type="dxa"/>
              <w:right w:w="108" w:type="dxa"/>
            </w:tcMar>
            <w:vAlign w:val="center"/>
          </w:tcPr>
          <w:p w14:paraId="683A6140"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b/>
                <w:bCs/>
                <w:color w:val="000000"/>
                <w:sz w:val="17"/>
                <w:szCs w:val="17"/>
              </w:rPr>
            </w:pPr>
            <w:r>
              <w:rPr>
                <w:rFonts w:ascii="Century Gothic" w:eastAsia="Century Gothic" w:hAnsi="Century Gothic" w:cs="Century Gothic"/>
                <w:b/>
                <w:bCs/>
                <w:color w:val="000000"/>
                <w:sz w:val="17"/>
                <w:szCs w:val="17"/>
              </w:rPr>
              <w:t>Subsídio parcial</w:t>
            </w:r>
          </w:p>
        </w:tc>
        <w:tc>
          <w:tcPr>
            <w:tcW w:w="2594" w:type="dxa"/>
            <w:tcBorders>
              <w:top w:val="single" w:sz="4" w:space="0" w:color="000000"/>
              <w:bottom w:val="single" w:sz="4" w:space="0" w:color="000000"/>
            </w:tcBorders>
            <w:tcMar>
              <w:top w:w="0" w:type="dxa"/>
              <w:left w:w="108" w:type="dxa"/>
              <w:bottom w:w="0" w:type="dxa"/>
              <w:right w:w="108" w:type="dxa"/>
            </w:tcMar>
            <w:vAlign w:val="center"/>
          </w:tcPr>
          <w:p w14:paraId="22B1D5F4"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b/>
                <w:bCs/>
                <w:color w:val="000000"/>
                <w:sz w:val="17"/>
                <w:szCs w:val="17"/>
              </w:rPr>
            </w:pPr>
            <w:r>
              <w:rPr>
                <w:rFonts w:ascii="Century Gothic" w:eastAsia="Century Gothic" w:hAnsi="Century Gothic" w:cs="Century Gothic"/>
                <w:b/>
                <w:bCs/>
                <w:color w:val="000000"/>
                <w:sz w:val="17"/>
                <w:szCs w:val="17"/>
              </w:rPr>
              <w:t>Subsídio total</w:t>
            </w:r>
          </w:p>
        </w:tc>
      </w:tr>
      <w:tr w:rsidR="00EB00FA" w14:paraId="79B20AA9" w14:textId="77777777">
        <w:tc>
          <w:tcPr>
            <w:tcW w:w="1560" w:type="dxa"/>
            <w:tcBorders>
              <w:top w:val="single" w:sz="4" w:space="0" w:color="000000"/>
              <w:bottom w:val="single" w:sz="4" w:space="0" w:color="000000"/>
            </w:tcBorders>
            <w:tcMar>
              <w:top w:w="0" w:type="dxa"/>
              <w:left w:w="108" w:type="dxa"/>
              <w:bottom w:w="0" w:type="dxa"/>
              <w:right w:w="108" w:type="dxa"/>
            </w:tcMar>
            <w:vAlign w:val="center"/>
          </w:tcPr>
          <w:p w14:paraId="415A45C4"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b/>
                <w:bCs/>
                <w:color w:val="000000"/>
                <w:sz w:val="17"/>
                <w:szCs w:val="17"/>
              </w:rPr>
            </w:pPr>
            <w:r>
              <w:rPr>
                <w:rFonts w:ascii="Century Gothic" w:eastAsia="Century Gothic" w:hAnsi="Century Gothic" w:cs="Century Gothic"/>
                <w:b/>
                <w:bCs/>
                <w:color w:val="000000"/>
                <w:sz w:val="17"/>
                <w:szCs w:val="17"/>
              </w:rPr>
              <w:t>Financiamento</w:t>
            </w:r>
          </w:p>
        </w:tc>
        <w:tc>
          <w:tcPr>
            <w:tcW w:w="2976" w:type="dxa"/>
            <w:tcBorders>
              <w:top w:val="single" w:sz="4" w:space="0" w:color="000000"/>
              <w:bottom w:val="single" w:sz="4" w:space="0" w:color="000000"/>
            </w:tcBorders>
            <w:tcMar>
              <w:top w:w="0" w:type="dxa"/>
              <w:left w:w="108" w:type="dxa"/>
              <w:bottom w:w="0" w:type="dxa"/>
              <w:right w:w="108" w:type="dxa"/>
            </w:tcMar>
            <w:vAlign w:val="center"/>
          </w:tcPr>
          <w:p w14:paraId="3F3345EC"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Tarifa paga pelo usuário</w:t>
            </w:r>
          </w:p>
        </w:tc>
        <w:tc>
          <w:tcPr>
            <w:tcW w:w="1941" w:type="dxa"/>
            <w:tcBorders>
              <w:top w:val="single" w:sz="4" w:space="0" w:color="000000"/>
              <w:bottom w:val="single" w:sz="4" w:space="0" w:color="000000"/>
            </w:tcBorders>
            <w:tcMar>
              <w:top w:w="0" w:type="dxa"/>
              <w:left w:w="108" w:type="dxa"/>
              <w:bottom w:w="0" w:type="dxa"/>
              <w:right w:w="108" w:type="dxa"/>
            </w:tcMar>
            <w:vAlign w:val="center"/>
          </w:tcPr>
          <w:p w14:paraId="2D0E40C8"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Tarifa combinada com subsídio do tesouro municipal</w:t>
            </w:r>
          </w:p>
        </w:tc>
        <w:tc>
          <w:tcPr>
            <w:tcW w:w="2594" w:type="dxa"/>
            <w:tcBorders>
              <w:top w:val="single" w:sz="4" w:space="0" w:color="000000"/>
              <w:bottom w:val="single" w:sz="4" w:space="0" w:color="000000"/>
            </w:tcBorders>
            <w:tcMar>
              <w:top w:w="0" w:type="dxa"/>
              <w:left w:w="108" w:type="dxa"/>
              <w:bottom w:w="0" w:type="dxa"/>
              <w:right w:w="108" w:type="dxa"/>
            </w:tcMar>
            <w:vAlign w:val="center"/>
          </w:tcPr>
          <w:p w14:paraId="16D80E87"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Tarifa zero</w:t>
            </w:r>
          </w:p>
        </w:tc>
      </w:tr>
      <w:tr w:rsidR="00EB00FA" w14:paraId="4AA33E76" w14:textId="77777777">
        <w:tc>
          <w:tcPr>
            <w:tcW w:w="1560" w:type="dxa"/>
            <w:tcBorders>
              <w:top w:val="single" w:sz="4" w:space="0" w:color="000000"/>
              <w:bottom w:val="single" w:sz="4" w:space="0" w:color="000000"/>
            </w:tcBorders>
            <w:tcMar>
              <w:top w:w="0" w:type="dxa"/>
              <w:left w:w="108" w:type="dxa"/>
              <w:bottom w:w="0" w:type="dxa"/>
              <w:right w:w="108" w:type="dxa"/>
            </w:tcMar>
            <w:vAlign w:val="center"/>
          </w:tcPr>
          <w:p w14:paraId="3E4FE962"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b/>
                <w:bCs/>
                <w:color w:val="000000"/>
                <w:sz w:val="17"/>
                <w:szCs w:val="17"/>
              </w:rPr>
            </w:pPr>
            <w:r>
              <w:rPr>
                <w:rFonts w:ascii="Century Gothic" w:eastAsia="Century Gothic" w:hAnsi="Century Gothic" w:cs="Century Gothic"/>
                <w:b/>
                <w:bCs/>
                <w:color w:val="000000"/>
                <w:sz w:val="17"/>
                <w:szCs w:val="17"/>
              </w:rPr>
              <w:t>Lógica subjacente</w:t>
            </w:r>
          </w:p>
        </w:tc>
        <w:tc>
          <w:tcPr>
            <w:tcW w:w="2976" w:type="dxa"/>
            <w:tcBorders>
              <w:top w:val="single" w:sz="4" w:space="0" w:color="000000"/>
              <w:bottom w:val="single" w:sz="4" w:space="0" w:color="000000"/>
            </w:tcBorders>
            <w:tcMar>
              <w:top w:w="0" w:type="dxa"/>
              <w:left w:w="108" w:type="dxa"/>
              <w:bottom w:w="0" w:type="dxa"/>
              <w:right w:w="108" w:type="dxa"/>
            </w:tcMar>
            <w:vAlign w:val="center"/>
          </w:tcPr>
          <w:p w14:paraId="1AB93556"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Serviço público com lógica de mercado</w:t>
            </w:r>
          </w:p>
        </w:tc>
        <w:tc>
          <w:tcPr>
            <w:tcW w:w="1941" w:type="dxa"/>
            <w:tcBorders>
              <w:top w:val="single" w:sz="4" w:space="0" w:color="000000"/>
              <w:bottom w:val="single" w:sz="4" w:space="0" w:color="000000"/>
            </w:tcBorders>
            <w:tcMar>
              <w:top w:w="0" w:type="dxa"/>
              <w:left w:w="108" w:type="dxa"/>
              <w:bottom w:w="0" w:type="dxa"/>
              <w:right w:w="108" w:type="dxa"/>
            </w:tcMar>
            <w:vAlign w:val="center"/>
          </w:tcPr>
          <w:p w14:paraId="4E3FEAD3"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Híbrido: serviço e função social</w:t>
            </w:r>
          </w:p>
        </w:tc>
        <w:tc>
          <w:tcPr>
            <w:tcW w:w="2594" w:type="dxa"/>
            <w:tcBorders>
              <w:top w:val="single" w:sz="4" w:space="0" w:color="000000"/>
              <w:bottom w:val="single" w:sz="4" w:space="0" w:color="000000"/>
            </w:tcBorders>
            <w:tcMar>
              <w:top w:w="0" w:type="dxa"/>
              <w:left w:w="108" w:type="dxa"/>
              <w:bottom w:w="0" w:type="dxa"/>
              <w:right w:w="108" w:type="dxa"/>
            </w:tcMar>
            <w:vAlign w:val="center"/>
          </w:tcPr>
          <w:p w14:paraId="05207E8B"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Orçamento público (tributos)</w:t>
            </w:r>
          </w:p>
        </w:tc>
      </w:tr>
      <w:tr w:rsidR="00EB00FA" w14:paraId="6DE8BAAB" w14:textId="77777777">
        <w:tc>
          <w:tcPr>
            <w:tcW w:w="1560" w:type="dxa"/>
            <w:tcBorders>
              <w:top w:val="single" w:sz="4" w:space="0" w:color="000000"/>
              <w:bottom w:val="single" w:sz="4" w:space="0" w:color="000000"/>
            </w:tcBorders>
            <w:tcMar>
              <w:top w:w="0" w:type="dxa"/>
              <w:left w:w="108" w:type="dxa"/>
              <w:bottom w:w="0" w:type="dxa"/>
              <w:right w:w="108" w:type="dxa"/>
            </w:tcMar>
            <w:vAlign w:val="center"/>
          </w:tcPr>
          <w:p w14:paraId="73A015E6"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b/>
                <w:bCs/>
                <w:color w:val="000000"/>
                <w:sz w:val="17"/>
                <w:szCs w:val="17"/>
              </w:rPr>
            </w:pPr>
            <w:r>
              <w:rPr>
                <w:rFonts w:ascii="Century Gothic" w:eastAsia="Century Gothic" w:hAnsi="Century Gothic" w:cs="Century Gothic"/>
                <w:b/>
                <w:bCs/>
                <w:color w:val="000000"/>
                <w:sz w:val="17"/>
                <w:szCs w:val="17"/>
              </w:rPr>
              <w:t>Principal problema</w:t>
            </w:r>
          </w:p>
        </w:tc>
        <w:tc>
          <w:tcPr>
            <w:tcW w:w="2976" w:type="dxa"/>
            <w:tcBorders>
              <w:top w:val="single" w:sz="4" w:space="0" w:color="000000"/>
              <w:bottom w:val="single" w:sz="4" w:space="0" w:color="000000"/>
            </w:tcBorders>
            <w:tcMar>
              <w:top w:w="0" w:type="dxa"/>
              <w:left w:w="108" w:type="dxa"/>
              <w:bottom w:w="0" w:type="dxa"/>
              <w:right w:w="108" w:type="dxa"/>
            </w:tcMar>
            <w:vAlign w:val="center"/>
          </w:tcPr>
          <w:p w14:paraId="5F74FB02"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Exclusão social</w:t>
            </w:r>
          </w:p>
        </w:tc>
        <w:tc>
          <w:tcPr>
            <w:tcW w:w="1941" w:type="dxa"/>
            <w:tcBorders>
              <w:top w:val="single" w:sz="4" w:space="0" w:color="000000"/>
              <w:bottom w:val="single" w:sz="4" w:space="0" w:color="000000"/>
            </w:tcBorders>
            <w:tcMar>
              <w:top w:w="0" w:type="dxa"/>
              <w:left w:w="108" w:type="dxa"/>
              <w:bottom w:w="0" w:type="dxa"/>
              <w:right w:w="108" w:type="dxa"/>
            </w:tcMar>
            <w:vAlign w:val="center"/>
          </w:tcPr>
          <w:p w14:paraId="25CE6FA4"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Custos para o tesouro e baixa inclusão social</w:t>
            </w:r>
          </w:p>
        </w:tc>
        <w:tc>
          <w:tcPr>
            <w:tcW w:w="2594" w:type="dxa"/>
            <w:tcBorders>
              <w:top w:val="single" w:sz="4" w:space="0" w:color="000000"/>
              <w:bottom w:val="single" w:sz="4" w:space="0" w:color="000000"/>
            </w:tcBorders>
            <w:tcMar>
              <w:top w:w="0" w:type="dxa"/>
              <w:left w:w="108" w:type="dxa"/>
              <w:bottom w:w="0" w:type="dxa"/>
              <w:right w:w="108" w:type="dxa"/>
            </w:tcMar>
            <w:vAlign w:val="center"/>
          </w:tcPr>
          <w:p w14:paraId="7B9DC057"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Direito social</w:t>
            </w:r>
          </w:p>
        </w:tc>
      </w:tr>
    </w:tbl>
    <w:p w14:paraId="144E3613" w14:textId="77101304" w:rsidR="00EB00FA" w:rsidRDefault="00000000" w:rsidP="0040073F">
      <w:pPr>
        <w:pBdr>
          <w:top w:val="nil"/>
          <w:left w:val="nil"/>
          <w:bottom w:val="nil"/>
          <w:right w:val="nil"/>
          <w:between w:val="nil"/>
        </w:pBdr>
        <w:jc w:val="center"/>
        <w:rPr>
          <w:rFonts w:ascii="Century Gothic" w:eastAsia="Century Gothic" w:hAnsi="Century Gothic" w:cs="Century Gothic"/>
          <w:sz w:val="16"/>
          <w:szCs w:val="16"/>
        </w:rPr>
      </w:pPr>
      <w:r>
        <w:rPr>
          <w:rFonts w:ascii="Century Gothic" w:eastAsia="Century Gothic" w:hAnsi="Century Gothic" w:cs="Century Gothic"/>
          <w:sz w:val="16"/>
          <w:szCs w:val="16"/>
        </w:rPr>
        <w:t>Fonte: elaboração própria com base em dados da NTU (2024).</w:t>
      </w:r>
    </w:p>
    <w:p w14:paraId="177D2570" w14:textId="77777777" w:rsidR="00EB00FA" w:rsidRDefault="00EB00FA">
      <w:pPr>
        <w:pBdr>
          <w:top w:val="nil"/>
          <w:left w:val="nil"/>
          <w:bottom w:val="nil"/>
          <w:right w:val="nil"/>
          <w:between w:val="nil"/>
        </w:pBdr>
        <w:jc w:val="both"/>
        <w:rPr>
          <w:rFonts w:ascii="Cambria" w:eastAsia="Cambria" w:hAnsi="Cambria" w:cs="Cambria"/>
          <w:color w:val="000000"/>
          <w:sz w:val="21"/>
          <w:szCs w:val="21"/>
        </w:rPr>
      </w:pPr>
    </w:p>
    <w:p w14:paraId="3711E572" w14:textId="77777777" w:rsidR="00EB00FA" w:rsidRDefault="00000000">
      <w:pPr>
        <w:keepNext/>
        <w:keepLines/>
        <w:pBdr>
          <w:top w:val="nil"/>
          <w:left w:val="nil"/>
          <w:bottom w:val="nil"/>
          <w:right w:val="nil"/>
          <w:between w:val="nil"/>
        </w:pBdr>
        <w:spacing w:line="288" w:lineRule="auto"/>
        <w:jc w:val="both"/>
        <w:rPr>
          <w:rFonts w:ascii="Century Gothic" w:eastAsia="Century Gothic" w:hAnsi="Century Gothic" w:cs="Century Gothic"/>
          <w:b/>
          <w:bCs/>
          <w:color w:val="000000"/>
          <w:sz w:val="22"/>
          <w:szCs w:val="22"/>
        </w:rPr>
      </w:pPr>
      <w:r>
        <w:rPr>
          <w:rFonts w:ascii="Century Gothic" w:eastAsia="Century Gothic" w:hAnsi="Century Gothic" w:cs="Century Gothic"/>
          <w:b/>
          <w:bCs/>
          <w:color w:val="000000"/>
          <w:sz w:val="22"/>
          <w:szCs w:val="22"/>
        </w:rPr>
        <w:t>2.4 Fator Regional</w:t>
      </w:r>
    </w:p>
    <w:p w14:paraId="449C2340" w14:textId="77777777" w:rsidR="00EB00FA" w:rsidRDefault="00EB00FA">
      <w:pPr>
        <w:pBdr>
          <w:top w:val="nil"/>
          <w:left w:val="nil"/>
          <w:bottom w:val="nil"/>
          <w:right w:val="nil"/>
          <w:between w:val="nil"/>
        </w:pBdr>
        <w:jc w:val="both"/>
        <w:rPr>
          <w:sz w:val="18"/>
          <w:szCs w:val="18"/>
        </w:rPr>
      </w:pPr>
    </w:p>
    <w:p w14:paraId="35012A1D" w14:textId="4C92F696" w:rsidR="00EB00FA" w:rsidRDefault="00110C03">
      <w:pPr>
        <w:pBdr>
          <w:top w:val="nil"/>
          <w:left w:val="nil"/>
          <w:bottom w:val="nil"/>
          <w:right w:val="nil"/>
          <w:between w:val="nil"/>
        </w:pBdr>
        <w:ind w:firstLine="708"/>
        <w:jc w:val="both"/>
        <w:rPr>
          <w:rFonts w:ascii="Cambria" w:eastAsia="Cambria" w:hAnsi="Cambria" w:cs="Cambria"/>
          <w:color w:val="000000"/>
          <w:sz w:val="21"/>
          <w:szCs w:val="21"/>
        </w:rPr>
      </w:pPr>
      <w:r>
        <w:rPr>
          <w:rFonts w:ascii="Cambria" w:eastAsia="Cambria" w:hAnsi="Cambria" w:cs="Cambria"/>
          <w:color w:val="000000"/>
          <w:sz w:val="21"/>
          <w:szCs w:val="21"/>
        </w:rPr>
        <w:t>A Figura 2 aponta uma concentração de municípios que adotaram a tarifa zero nas regiões Sul e Sudeste, o que pode indicar que houve uma difusão inter-regional dessa política. De acordo com Shipan e Volden (2008), a inovação institucional em governos locais é frequentemente mediada pelo aprendizado e pela imitação de unidades governamentais próximas. Gomes Filho (2025) aponta que a proximidade territorial pode induzir a formação de redes, reduzir a assimetria informacional e o risco político, convertendo experiências isoladas em tendências regionais de gestão urbana. Assim, a expansão da gratuidade concentrada geograficamente pode ser resultado de um efeito contágio, no qual a implementação em um município gera pressão social e política sobre as localidades vizinhas, levando à formação de verdadeiros arranjos regionais (Santini, 2019), algo incentivado por uma política que é marcada pela conurbação do transporte de pessoas.</w:t>
      </w:r>
    </w:p>
    <w:p w14:paraId="08B9688A" w14:textId="77777777" w:rsidR="00EB00FA" w:rsidRDefault="00EB00FA">
      <w:pPr>
        <w:pBdr>
          <w:top w:val="nil"/>
          <w:left w:val="nil"/>
          <w:bottom w:val="nil"/>
          <w:right w:val="nil"/>
          <w:between w:val="nil"/>
        </w:pBdr>
        <w:jc w:val="both"/>
        <w:rPr>
          <w:sz w:val="18"/>
          <w:szCs w:val="18"/>
        </w:rPr>
      </w:pPr>
    </w:p>
    <w:p w14:paraId="4BEC2CFB" w14:textId="77777777" w:rsidR="00EB00FA" w:rsidRDefault="00000000">
      <w:pPr>
        <w:pBdr>
          <w:top w:val="nil"/>
          <w:left w:val="nil"/>
          <w:bottom w:val="nil"/>
          <w:right w:val="nil"/>
          <w:between w:val="nil"/>
        </w:pBdr>
        <w:jc w:val="both"/>
        <w:rPr>
          <w:rFonts w:ascii="Century Gothic" w:eastAsia="Century Gothic" w:hAnsi="Century Gothic" w:cs="Century Gothic"/>
          <w:b/>
          <w:bCs/>
          <w:color w:val="000000"/>
          <w:sz w:val="22"/>
          <w:szCs w:val="22"/>
        </w:rPr>
      </w:pPr>
      <w:r>
        <w:rPr>
          <w:rFonts w:ascii="Century Gothic" w:eastAsia="Century Gothic" w:hAnsi="Century Gothic" w:cs="Century Gothic"/>
          <w:b/>
          <w:bCs/>
          <w:color w:val="000000"/>
          <w:sz w:val="22"/>
          <w:szCs w:val="22"/>
        </w:rPr>
        <w:t>3. Análise dos fatores que explicam a adoção da tarifa zero</w:t>
      </w:r>
    </w:p>
    <w:p w14:paraId="3E867186" w14:textId="77777777" w:rsidR="00EB00FA" w:rsidRDefault="00EB00FA">
      <w:pPr>
        <w:pBdr>
          <w:top w:val="nil"/>
          <w:left w:val="nil"/>
          <w:bottom w:val="nil"/>
          <w:right w:val="nil"/>
          <w:between w:val="nil"/>
        </w:pBdr>
        <w:jc w:val="both"/>
        <w:rPr>
          <w:rFonts w:ascii="Century Gothic" w:eastAsia="Century Gothic" w:hAnsi="Century Gothic" w:cs="Century Gothic"/>
          <w:b/>
          <w:bCs/>
          <w:color w:val="000000"/>
          <w:sz w:val="22"/>
          <w:szCs w:val="22"/>
        </w:rPr>
      </w:pPr>
    </w:p>
    <w:p w14:paraId="46BE0170" w14:textId="77777777" w:rsidR="00EB00FA" w:rsidRDefault="00000000">
      <w:pPr>
        <w:pBdr>
          <w:top w:val="nil"/>
          <w:left w:val="nil"/>
          <w:bottom w:val="nil"/>
          <w:right w:val="nil"/>
          <w:between w:val="nil"/>
        </w:pBdr>
        <w:jc w:val="both"/>
        <w:rPr>
          <w:rFonts w:ascii="Century Gothic" w:eastAsia="Century Gothic" w:hAnsi="Century Gothic" w:cs="Century Gothic"/>
          <w:b/>
          <w:bCs/>
          <w:color w:val="000000"/>
          <w:sz w:val="22"/>
          <w:szCs w:val="22"/>
        </w:rPr>
      </w:pPr>
      <w:r>
        <w:rPr>
          <w:rFonts w:ascii="Century Gothic" w:eastAsia="Century Gothic" w:hAnsi="Century Gothic" w:cs="Century Gothic"/>
          <w:b/>
          <w:bCs/>
          <w:color w:val="000000"/>
          <w:sz w:val="22"/>
          <w:szCs w:val="22"/>
        </w:rPr>
        <w:t>3.1 Metodologia</w:t>
      </w:r>
    </w:p>
    <w:p w14:paraId="024A04C7" w14:textId="77777777" w:rsidR="00EB00FA" w:rsidRDefault="00EB00FA">
      <w:pPr>
        <w:pBdr>
          <w:top w:val="nil"/>
          <w:left w:val="nil"/>
          <w:bottom w:val="nil"/>
          <w:right w:val="nil"/>
          <w:between w:val="nil"/>
        </w:pBdr>
        <w:jc w:val="both"/>
        <w:rPr>
          <w:sz w:val="18"/>
          <w:szCs w:val="18"/>
        </w:rPr>
      </w:pPr>
    </w:p>
    <w:p w14:paraId="6CA5E6A9" w14:textId="77777777" w:rsidR="00EB00FA" w:rsidRDefault="00000000">
      <w:pPr>
        <w:pBdr>
          <w:top w:val="nil"/>
          <w:left w:val="nil"/>
          <w:bottom w:val="nil"/>
          <w:right w:val="nil"/>
          <w:between w:val="nil"/>
        </w:pBdr>
        <w:ind w:firstLine="708"/>
        <w:jc w:val="both"/>
        <w:rPr>
          <w:rFonts w:ascii="Cambria" w:eastAsia="Cambria" w:hAnsi="Cambria" w:cs="Cambria"/>
          <w:color w:val="000000"/>
          <w:sz w:val="21"/>
          <w:szCs w:val="21"/>
        </w:rPr>
      </w:pPr>
      <w:r>
        <w:rPr>
          <w:rFonts w:ascii="Cambria" w:eastAsia="Cambria" w:hAnsi="Cambria" w:cs="Cambria"/>
          <w:color w:val="000000"/>
          <w:sz w:val="21"/>
          <w:szCs w:val="21"/>
        </w:rPr>
        <w:t>O desenho de pesquisa estrutura-se a partir da coleta da variável dependente (adoção ou não da política de tarifa zero pelo município) até junho de 2025, e a explicação da adoção a partir da coleta e tratamento das variáveis independentes (indicadores demográficos, de renda, econômico, fiscal e regional).</w:t>
      </w:r>
    </w:p>
    <w:p w14:paraId="338ECD38" w14:textId="77777777" w:rsidR="00EB00FA" w:rsidRDefault="00EB00FA">
      <w:pPr>
        <w:pBdr>
          <w:top w:val="nil"/>
          <w:left w:val="nil"/>
          <w:bottom w:val="nil"/>
          <w:right w:val="nil"/>
          <w:between w:val="nil"/>
        </w:pBdr>
        <w:ind w:firstLine="708"/>
        <w:jc w:val="both"/>
        <w:rPr>
          <w:rFonts w:ascii="Cambria" w:eastAsia="Cambria" w:hAnsi="Cambria" w:cs="Cambria"/>
          <w:color w:val="000000"/>
          <w:sz w:val="21"/>
          <w:szCs w:val="21"/>
        </w:rPr>
      </w:pPr>
    </w:p>
    <w:p w14:paraId="0863B670" w14:textId="77777777" w:rsidR="00EB00FA" w:rsidRDefault="00000000">
      <w:pPr>
        <w:rPr>
          <w:rFonts w:ascii="Century Gothic" w:eastAsia="Century Gothic" w:hAnsi="Century Gothic" w:cs="Century Gothic"/>
          <w:b/>
          <w:bCs/>
          <w:sz w:val="22"/>
          <w:szCs w:val="22"/>
        </w:rPr>
      </w:pPr>
      <w:r>
        <w:rPr>
          <w:rFonts w:ascii="Century Gothic" w:eastAsia="Century Gothic" w:hAnsi="Century Gothic" w:cs="Century Gothic"/>
          <w:b/>
          <w:bCs/>
          <w:sz w:val="22"/>
          <w:szCs w:val="22"/>
        </w:rPr>
        <w:t>3.1.1 Hipóteses</w:t>
      </w:r>
    </w:p>
    <w:p w14:paraId="745A9909" w14:textId="77777777" w:rsidR="00EB00FA" w:rsidRDefault="00EB00FA">
      <w:pPr>
        <w:rPr>
          <w:rFonts w:ascii="Cambria" w:eastAsia="Cambria" w:hAnsi="Cambria" w:cs="Cambria"/>
          <w:sz w:val="21"/>
          <w:szCs w:val="21"/>
        </w:rPr>
      </w:pPr>
    </w:p>
    <w:p w14:paraId="52ADF0DE" w14:textId="77777777" w:rsidR="00EB00FA" w:rsidRDefault="00000000">
      <w:pPr>
        <w:ind w:firstLine="708"/>
        <w:rPr>
          <w:rFonts w:ascii="Cambria" w:eastAsia="Cambria" w:hAnsi="Cambria" w:cs="Cambria"/>
          <w:sz w:val="21"/>
          <w:szCs w:val="21"/>
        </w:rPr>
      </w:pPr>
      <w:r>
        <w:rPr>
          <w:rFonts w:ascii="Cambria" w:eastAsia="Cambria" w:hAnsi="Cambria" w:cs="Cambria"/>
          <w:sz w:val="21"/>
          <w:szCs w:val="21"/>
        </w:rPr>
        <w:t>A partir da revisão bibliográfica, foram elaboradas cinco hipóteses de pesquisa:</w:t>
      </w:r>
    </w:p>
    <w:p w14:paraId="75FE6590" w14:textId="77777777" w:rsidR="00EB00FA" w:rsidRDefault="00EB00FA">
      <w:pPr>
        <w:rPr>
          <w:rFonts w:ascii="Cambria" w:eastAsia="Cambria" w:hAnsi="Cambria" w:cs="Cambria"/>
          <w:sz w:val="21"/>
          <w:szCs w:val="21"/>
        </w:rPr>
      </w:pPr>
    </w:p>
    <w:p w14:paraId="3B8B3B40" w14:textId="77777777" w:rsidR="00EB00FA" w:rsidRDefault="00000000">
      <w:pPr>
        <w:ind w:left="709"/>
        <w:rPr>
          <w:rFonts w:ascii="Cambria" w:eastAsia="Cambria" w:hAnsi="Cambria" w:cs="Cambria"/>
          <w:sz w:val="21"/>
          <w:szCs w:val="21"/>
        </w:rPr>
      </w:pPr>
      <m:oMath>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H</m:t>
            </m:r>
          </m:e>
          <m:sub>
            <m:r>
              <w:rPr>
                <w:rFonts w:ascii="Cambria Math" w:eastAsia="Cambria Math" w:hAnsi="Cambria Math" w:cs="Cambria Math"/>
                <w:sz w:val="21"/>
                <w:szCs w:val="21"/>
              </w:rPr>
              <m:t>1</m:t>
            </m:r>
          </m:sub>
        </m:sSub>
      </m:oMath>
      <w:r>
        <w:rPr>
          <w:rFonts w:ascii="Cambria" w:eastAsia="Cambria" w:hAnsi="Cambria" w:cs="Cambria"/>
          <w:sz w:val="21"/>
          <w:szCs w:val="21"/>
        </w:rPr>
        <w:t>: Quanto menor a população do município, maior a probabilidade de adoção da tarifa zero (Santini, 2019);</w:t>
      </w:r>
    </w:p>
    <w:p w14:paraId="676CDC7E" w14:textId="77777777" w:rsidR="00EB00FA" w:rsidRDefault="00EB00FA">
      <w:pPr>
        <w:ind w:left="709"/>
        <w:rPr>
          <w:rFonts w:ascii="Cambria" w:eastAsia="Cambria" w:hAnsi="Cambria" w:cs="Cambria"/>
          <w:sz w:val="21"/>
          <w:szCs w:val="21"/>
        </w:rPr>
      </w:pPr>
    </w:p>
    <w:p w14:paraId="5653AA3C" w14:textId="77777777" w:rsidR="00EB00FA" w:rsidRDefault="00000000">
      <w:pPr>
        <w:ind w:left="709"/>
        <w:rPr>
          <w:rFonts w:ascii="Cambria" w:eastAsia="Cambria" w:hAnsi="Cambria" w:cs="Cambria"/>
          <w:sz w:val="21"/>
          <w:szCs w:val="21"/>
        </w:rPr>
      </w:pPr>
      <m:oMath>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H</m:t>
            </m:r>
          </m:e>
          <m:sub>
            <m:r>
              <w:rPr>
                <w:rFonts w:ascii="Cambria Math" w:eastAsia="Cambria Math" w:hAnsi="Cambria Math" w:cs="Cambria Math"/>
                <w:sz w:val="21"/>
                <w:szCs w:val="21"/>
              </w:rPr>
              <m:t>2</m:t>
            </m:r>
          </m:sub>
        </m:sSub>
      </m:oMath>
      <w:r>
        <w:rPr>
          <w:rFonts w:ascii="Cambria" w:eastAsia="Cambria" w:hAnsi="Cambria" w:cs="Cambria"/>
          <w:sz w:val="21"/>
          <w:szCs w:val="21"/>
        </w:rPr>
        <w:t>: Quanto maior o percentual de pessoas de baixa renda no município, maior a probabilidade de adoção da tarifa zero (Costa &amp; Sampaio, 2024);</w:t>
      </w:r>
    </w:p>
    <w:p w14:paraId="62B69F2E" w14:textId="77777777" w:rsidR="00EB00FA" w:rsidRDefault="00EB00FA">
      <w:pPr>
        <w:ind w:left="709"/>
        <w:rPr>
          <w:rFonts w:ascii="Cambria" w:eastAsia="Cambria" w:hAnsi="Cambria" w:cs="Cambria"/>
          <w:sz w:val="21"/>
          <w:szCs w:val="21"/>
        </w:rPr>
      </w:pPr>
    </w:p>
    <w:p w14:paraId="13058A52" w14:textId="77777777" w:rsidR="00EB00FA" w:rsidRDefault="00000000">
      <w:pPr>
        <w:ind w:left="709"/>
        <w:rPr>
          <w:rFonts w:ascii="Cambria" w:eastAsia="Cambria" w:hAnsi="Cambria" w:cs="Cambria"/>
          <w:sz w:val="21"/>
          <w:szCs w:val="21"/>
        </w:rPr>
      </w:pPr>
      <m:oMath>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H</m:t>
            </m:r>
          </m:e>
          <m:sub>
            <m:r>
              <w:rPr>
                <w:rFonts w:ascii="Cambria Math" w:eastAsia="Cambria Math" w:hAnsi="Cambria Math" w:cs="Cambria Math"/>
                <w:sz w:val="21"/>
                <w:szCs w:val="21"/>
              </w:rPr>
              <m:t>3</m:t>
            </m:r>
          </m:sub>
        </m:sSub>
      </m:oMath>
      <w:r>
        <w:rPr>
          <w:rFonts w:ascii="Cambria" w:eastAsia="Cambria" w:hAnsi="Cambria" w:cs="Cambria"/>
          <w:sz w:val="21"/>
          <w:szCs w:val="21"/>
        </w:rPr>
        <w:t xml:space="preserve">: Quanto maior o PIB </w:t>
      </w:r>
      <w:r>
        <w:rPr>
          <w:rFonts w:ascii="Cambria" w:eastAsia="Cambria" w:hAnsi="Cambria" w:cs="Cambria"/>
          <w:i/>
          <w:iCs/>
          <w:sz w:val="21"/>
          <w:szCs w:val="21"/>
        </w:rPr>
        <w:t>per capita</w:t>
      </w:r>
      <w:r>
        <w:rPr>
          <w:rFonts w:ascii="Cambria" w:eastAsia="Cambria" w:hAnsi="Cambria" w:cs="Cambria"/>
          <w:sz w:val="21"/>
          <w:szCs w:val="21"/>
        </w:rPr>
        <w:t xml:space="preserve"> do município, maior a probabilidade de adoção da tarifa zero (Pereira, 2024; Costa &amp; Sampaio, 2024);</w:t>
      </w:r>
    </w:p>
    <w:p w14:paraId="569820C3" w14:textId="77777777" w:rsidR="00EB00FA" w:rsidRDefault="00EB00FA">
      <w:pPr>
        <w:ind w:left="709"/>
        <w:rPr>
          <w:rFonts w:ascii="Cambria" w:eastAsia="Cambria" w:hAnsi="Cambria" w:cs="Cambria"/>
          <w:sz w:val="21"/>
          <w:szCs w:val="21"/>
        </w:rPr>
      </w:pPr>
    </w:p>
    <w:p w14:paraId="252DC2CA" w14:textId="77777777" w:rsidR="00EB00FA" w:rsidRDefault="00000000">
      <w:pPr>
        <w:ind w:left="709"/>
        <w:rPr>
          <w:rFonts w:ascii="Cambria" w:eastAsia="Cambria" w:hAnsi="Cambria" w:cs="Cambria"/>
          <w:sz w:val="21"/>
          <w:szCs w:val="21"/>
        </w:rPr>
      </w:pPr>
      <m:oMath>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H</m:t>
            </m:r>
          </m:e>
          <m:sub>
            <m:r>
              <w:rPr>
                <w:rFonts w:ascii="Cambria Math" w:eastAsia="Cambria Math" w:hAnsi="Cambria Math" w:cs="Cambria Math"/>
                <w:sz w:val="21"/>
                <w:szCs w:val="21"/>
              </w:rPr>
              <m:t>4</m:t>
            </m:r>
          </m:sub>
        </m:sSub>
      </m:oMath>
      <w:r>
        <w:rPr>
          <w:rFonts w:ascii="Cambria" w:eastAsia="Cambria" w:hAnsi="Cambria" w:cs="Cambria"/>
          <w:sz w:val="21"/>
          <w:szCs w:val="21"/>
        </w:rPr>
        <w:t xml:space="preserve">: Quanto melhor a situação fiscal do município, maior a probabilidade de adoção da tarifa zero (Brito, 2025; Domingues </w:t>
      </w:r>
      <w:r>
        <w:rPr>
          <w:rFonts w:ascii="Cambria" w:eastAsia="Cambria" w:hAnsi="Cambria" w:cs="Cambria"/>
          <w:i/>
          <w:iCs/>
          <w:sz w:val="21"/>
          <w:szCs w:val="21"/>
        </w:rPr>
        <w:t>et al.</w:t>
      </w:r>
      <w:r>
        <w:rPr>
          <w:rFonts w:ascii="Cambria" w:eastAsia="Cambria" w:hAnsi="Cambria" w:cs="Cambria"/>
          <w:sz w:val="21"/>
          <w:szCs w:val="21"/>
        </w:rPr>
        <w:t>, 2025);</w:t>
      </w:r>
    </w:p>
    <w:p w14:paraId="67969313" w14:textId="77777777" w:rsidR="00EB00FA" w:rsidRDefault="00EB00FA">
      <w:pPr>
        <w:ind w:left="709"/>
        <w:rPr>
          <w:rFonts w:ascii="Cambria" w:eastAsia="Cambria" w:hAnsi="Cambria" w:cs="Cambria"/>
          <w:sz w:val="21"/>
          <w:szCs w:val="21"/>
        </w:rPr>
      </w:pPr>
    </w:p>
    <w:bookmarkStart w:id="0" w:name="_heading=h.621zikwo0byt" w:colFirst="0" w:colLast="0"/>
    <w:bookmarkEnd w:id="0"/>
    <w:p w14:paraId="16953BFD" w14:textId="77777777" w:rsidR="00EB00FA" w:rsidRDefault="00000000">
      <w:pPr>
        <w:ind w:left="709"/>
        <w:rPr>
          <w:rFonts w:ascii="Cambria" w:eastAsia="Cambria" w:hAnsi="Cambria" w:cs="Cambria"/>
          <w:sz w:val="21"/>
          <w:szCs w:val="21"/>
        </w:rPr>
      </w:pPr>
      <m:oMath>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H</m:t>
            </m:r>
          </m:e>
          <m:sub>
            <m:r>
              <w:rPr>
                <w:rFonts w:ascii="Cambria Math" w:eastAsia="Cambria Math" w:hAnsi="Cambria Math" w:cs="Cambria Math"/>
                <w:sz w:val="21"/>
                <w:szCs w:val="21"/>
              </w:rPr>
              <m:t>5</m:t>
            </m:r>
          </m:sub>
        </m:sSub>
      </m:oMath>
      <w:r>
        <w:rPr>
          <w:rFonts w:ascii="Cambria" w:eastAsia="Cambria" w:hAnsi="Cambria" w:cs="Cambria"/>
          <w:sz w:val="21"/>
          <w:szCs w:val="21"/>
        </w:rPr>
        <w:t>: Pertencer às regiões Sudeste ou Sul aumenta a probabilidade de um município adotar a tarifa zero (Shipan &amp; Volden, 2008; Gomes Filho, 2025).</w:t>
      </w:r>
    </w:p>
    <w:p w14:paraId="762B0497" w14:textId="77777777" w:rsidR="00EB00FA" w:rsidRDefault="00EB00FA">
      <w:pPr>
        <w:pBdr>
          <w:top w:val="nil"/>
          <w:left w:val="nil"/>
          <w:bottom w:val="nil"/>
          <w:right w:val="nil"/>
          <w:between w:val="nil"/>
        </w:pBdr>
        <w:jc w:val="both"/>
        <w:rPr>
          <w:rFonts w:ascii="Cambria" w:eastAsia="Cambria" w:hAnsi="Cambria" w:cs="Cambria"/>
          <w:color w:val="000000"/>
          <w:sz w:val="21"/>
          <w:szCs w:val="21"/>
        </w:rPr>
      </w:pPr>
    </w:p>
    <w:p w14:paraId="6B5C1116" w14:textId="77777777" w:rsidR="00EB00FA" w:rsidRDefault="00000000">
      <w:pPr>
        <w:rPr>
          <w:rFonts w:ascii="Century Gothic" w:eastAsia="Century Gothic" w:hAnsi="Century Gothic" w:cs="Century Gothic"/>
          <w:b/>
          <w:bCs/>
          <w:sz w:val="22"/>
          <w:szCs w:val="22"/>
        </w:rPr>
      </w:pPr>
      <w:r>
        <w:rPr>
          <w:rFonts w:ascii="Century Gothic" w:eastAsia="Century Gothic" w:hAnsi="Century Gothic" w:cs="Century Gothic"/>
          <w:b/>
          <w:bCs/>
          <w:sz w:val="22"/>
          <w:szCs w:val="22"/>
        </w:rPr>
        <w:t>3.1.2 Universo e período</w:t>
      </w:r>
    </w:p>
    <w:p w14:paraId="46085920" w14:textId="77777777" w:rsidR="00EB00FA" w:rsidRDefault="00EB00FA">
      <w:pPr>
        <w:pBdr>
          <w:top w:val="nil"/>
          <w:left w:val="nil"/>
          <w:bottom w:val="nil"/>
          <w:right w:val="nil"/>
          <w:between w:val="nil"/>
        </w:pBdr>
        <w:jc w:val="both"/>
        <w:rPr>
          <w:rFonts w:ascii="Cambria" w:eastAsia="Cambria" w:hAnsi="Cambria" w:cs="Cambria"/>
          <w:color w:val="000000"/>
          <w:sz w:val="21"/>
          <w:szCs w:val="21"/>
        </w:rPr>
      </w:pPr>
    </w:p>
    <w:p w14:paraId="494FFC43" w14:textId="77777777" w:rsidR="00EB00FA" w:rsidRDefault="00000000">
      <w:pPr>
        <w:pBdr>
          <w:top w:val="nil"/>
          <w:left w:val="nil"/>
          <w:bottom w:val="nil"/>
          <w:right w:val="nil"/>
          <w:between w:val="nil"/>
        </w:pBdr>
        <w:ind w:firstLine="708"/>
        <w:jc w:val="both"/>
        <w:rPr>
          <w:rFonts w:ascii="Cambria" w:eastAsia="Cambria" w:hAnsi="Cambria" w:cs="Cambria"/>
          <w:color w:val="000000"/>
          <w:sz w:val="21"/>
          <w:szCs w:val="21"/>
        </w:rPr>
      </w:pPr>
      <w:r>
        <w:rPr>
          <w:rFonts w:ascii="Cambria" w:eastAsia="Cambria" w:hAnsi="Cambria" w:cs="Cambria"/>
          <w:color w:val="000000"/>
          <w:sz w:val="21"/>
          <w:szCs w:val="21"/>
        </w:rPr>
        <w:t>Serão analisados todos os municípios que possuíam um sistema de transporte coletivo urbano organizado no ano de 2025, o que corresponde a 2.529 (45,4%) do total de municípios (5.570) neste mesmo ano (IBGE, 2025). O recorte faz-se necessário porque importa analisar decisões tomadas sobre modelo de financiamento em municípios onde esta questão tem relevância, ou seja, naqueles que têm sistema de transporte organizado. Deste recorte de 2.529 cidades, 136 (5,3%) haviam adotado a política de tarifa zero até junho de 2025, enquanto 2.393 (94,7%) compõem o grupo de não adotantes.</w:t>
      </w:r>
    </w:p>
    <w:p w14:paraId="1C8D75CD" w14:textId="2811CBAE" w:rsidR="00EB00FA" w:rsidRDefault="00000000">
      <w:pPr>
        <w:pBdr>
          <w:top w:val="nil"/>
          <w:left w:val="nil"/>
          <w:bottom w:val="nil"/>
          <w:right w:val="nil"/>
          <w:between w:val="nil"/>
        </w:pBdr>
        <w:ind w:firstLine="708"/>
        <w:jc w:val="both"/>
        <w:rPr>
          <w:rFonts w:ascii="Cambria" w:eastAsia="Cambria" w:hAnsi="Cambria" w:cs="Cambria"/>
          <w:color w:val="000000"/>
          <w:sz w:val="21"/>
          <w:szCs w:val="21"/>
        </w:rPr>
      </w:pPr>
      <w:r>
        <w:rPr>
          <w:rFonts w:ascii="Cambria" w:eastAsia="Cambria" w:hAnsi="Cambria" w:cs="Cambria"/>
          <w:color w:val="000000"/>
          <w:sz w:val="21"/>
          <w:szCs w:val="21"/>
        </w:rPr>
        <w:t>O período analisado para a variável dependente compreende desde 1992, quando o primeiro município (Conchas/SP) adotou a tarifa zero</w:t>
      </w:r>
      <w:r w:rsidR="005E2C06">
        <w:rPr>
          <w:rFonts w:ascii="Cambria" w:eastAsia="Cambria" w:hAnsi="Cambria" w:cs="Cambria"/>
          <w:color w:val="000000"/>
          <w:sz w:val="21"/>
          <w:szCs w:val="21"/>
        </w:rPr>
        <w:t>,</w:t>
      </w:r>
      <w:r>
        <w:rPr>
          <w:rFonts w:ascii="Cambria" w:eastAsia="Cambria" w:hAnsi="Cambria" w:cs="Cambria"/>
          <w:color w:val="000000"/>
          <w:sz w:val="21"/>
          <w:szCs w:val="21"/>
        </w:rPr>
        <w:t xml:space="preserve"> até junho de 2025, ano mais recente de coleta de dados da pesquisa. Com respeito às variáveis independentes, foi escolhido o ano de 2013 como ponto zero analítico (baseline) porque é quando se tem início as reivindicações e o processo de expansão da política, que até este ano estava restrita a 19 municípios. Fixar as covariáveis em um período pré-tratamento é uma estratégia que busca reforçar a precedência temporal e mitigar o viés de endogeneidade, especificamente a causalidade reversa. Ao mensurar os preditores antes da ocorrência generalizada do evento, evita-se que a própria adoção da tarifa zero seja variável explicativa para estes preditores (</w:t>
      </w:r>
      <w:proofErr w:type="spellStart"/>
      <w:r>
        <w:rPr>
          <w:rFonts w:ascii="Cambria" w:eastAsia="Cambria" w:hAnsi="Cambria" w:cs="Cambria"/>
          <w:color w:val="000000"/>
          <w:sz w:val="21"/>
          <w:szCs w:val="21"/>
        </w:rPr>
        <w:t>Wooldridge</w:t>
      </w:r>
      <w:proofErr w:type="spellEnd"/>
      <w:r>
        <w:rPr>
          <w:rFonts w:ascii="Cambria" w:eastAsia="Cambria" w:hAnsi="Cambria" w:cs="Cambria"/>
          <w:color w:val="000000"/>
          <w:sz w:val="21"/>
          <w:szCs w:val="21"/>
        </w:rPr>
        <w:t>, 2010).</w:t>
      </w:r>
    </w:p>
    <w:p w14:paraId="79ECFCAE" w14:textId="77777777" w:rsidR="00EB00FA" w:rsidRDefault="00EB00FA">
      <w:pPr>
        <w:pBdr>
          <w:top w:val="nil"/>
          <w:left w:val="nil"/>
          <w:bottom w:val="nil"/>
          <w:right w:val="nil"/>
          <w:between w:val="nil"/>
        </w:pBdr>
        <w:jc w:val="both"/>
        <w:rPr>
          <w:rFonts w:ascii="Cambria" w:eastAsia="Cambria" w:hAnsi="Cambria" w:cs="Cambria"/>
          <w:color w:val="000000"/>
          <w:sz w:val="21"/>
          <w:szCs w:val="21"/>
        </w:rPr>
      </w:pPr>
    </w:p>
    <w:p w14:paraId="13A69CCB" w14:textId="77777777" w:rsidR="00EB00FA" w:rsidRDefault="00000000">
      <w:pPr>
        <w:pBdr>
          <w:top w:val="nil"/>
          <w:left w:val="nil"/>
          <w:bottom w:val="nil"/>
          <w:right w:val="nil"/>
          <w:between w:val="nil"/>
        </w:pBdr>
        <w:jc w:val="both"/>
        <w:rPr>
          <w:rFonts w:ascii="Century Gothic" w:eastAsia="Century Gothic" w:hAnsi="Century Gothic" w:cs="Century Gothic"/>
          <w:b/>
          <w:bCs/>
          <w:color w:val="000000"/>
          <w:sz w:val="22"/>
          <w:szCs w:val="22"/>
        </w:rPr>
      </w:pPr>
      <w:r>
        <w:rPr>
          <w:rFonts w:ascii="Century Gothic" w:eastAsia="Century Gothic" w:hAnsi="Century Gothic" w:cs="Century Gothic"/>
          <w:b/>
          <w:bCs/>
          <w:color w:val="000000"/>
          <w:sz w:val="22"/>
          <w:szCs w:val="22"/>
        </w:rPr>
        <w:t>3.1.3 Variáveis</w:t>
      </w:r>
    </w:p>
    <w:p w14:paraId="79D9DBB4" w14:textId="77777777" w:rsidR="00EB00FA" w:rsidRDefault="00EB00FA">
      <w:pPr>
        <w:pBdr>
          <w:top w:val="nil"/>
          <w:left w:val="nil"/>
          <w:bottom w:val="nil"/>
          <w:right w:val="nil"/>
          <w:between w:val="nil"/>
        </w:pBdr>
        <w:jc w:val="both"/>
        <w:rPr>
          <w:rFonts w:ascii="Cambria" w:eastAsia="Cambria" w:hAnsi="Cambria" w:cs="Cambria"/>
          <w:color w:val="000000"/>
          <w:sz w:val="21"/>
          <w:szCs w:val="21"/>
        </w:rPr>
      </w:pPr>
    </w:p>
    <w:p w14:paraId="35CE7EEE" w14:textId="00693D79" w:rsidR="007B2654" w:rsidRDefault="00000000">
      <w:pPr>
        <w:pBdr>
          <w:top w:val="nil"/>
          <w:left w:val="nil"/>
          <w:bottom w:val="nil"/>
          <w:right w:val="nil"/>
          <w:between w:val="nil"/>
        </w:pBdr>
        <w:ind w:firstLine="708"/>
        <w:jc w:val="both"/>
        <w:rPr>
          <w:rFonts w:ascii="Cambria" w:eastAsia="Cambria" w:hAnsi="Cambria" w:cs="Cambria"/>
          <w:color w:val="000000"/>
          <w:sz w:val="21"/>
          <w:szCs w:val="21"/>
        </w:rPr>
      </w:pPr>
      <w:r>
        <w:rPr>
          <w:rFonts w:ascii="Cambria" w:eastAsia="Cambria" w:hAnsi="Cambria" w:cs="Cambria"/>
          <w:color w:val="000000"/>
          <w:sz w:val="21"/>
          <w:szCs w:val="21"/>
        </w:rPr>
        <w:t xml:space="preserve">A </w:t>
      </w:r>
      <w:r w:rsidR="005E2C06">
        <w:rPr>
          <w:rFonts w:ascii="Cambria" w:eastAsia="Cambria" w:hAnsi="Cambria" w:cs="Cambria"/>
          <w:color w:val="000000"/>
          <w:sz w:val="21"/>
          <w:szCs w:val="21"/>
        </w:rPr>
        <w:t>T</w:t>
      </w:r>
      <w:r>
        <w:rPr>
          <w:rFonts w:ascii="Cambria" w:eastAsia="Cambria" w:hAnsi="Cambria" w:cs="Cambria"/>
          <w:color w:val="000000"/>
          <w:sz w:val="21"/>
          <w:szCs w:val="21"/>
        </w:rPr>
        <w:t xml:space="preserve">abela 2 apresenta as variáveis utilizadas nos modelos analíticos para testar as hipóteses de pesquisa. </w:t>
      </w:r>
      <w:r w:rsidR="007B2654">
        <w:rPr>
          <w:rFonts w:ascii="Cambria" w:eastAsia="Cambria" w:hAnsi="Cambria" w:cs="Cambria"/>
          <w:color w:val="000000"/>
          <w:sz w:val="21"/>
          <w:szCs w:val="21"/>
        </w:rPr>
        <w:t>Dentre elas, o</w:t>
      </w:r>
      <w:r>
        <w:rPr>
          <w:rFonts w:ascii="Cambria" w:eastAsia="Cambria" w:hAnsi="Cambria" w:cs="Cambria"/>
          <w:color w:val="000000"/>
          <w:sz w:val="21"/>
          <w:szCs w:val="21"/>
        </w:rPr>
        <w:t xml:space="preserve"> modelo utiliza o Índice Firjan de Gestão Fiscal (IFGF), que avalia a administração dos recursos públicos municipais por meio de quatro indicadores com pesos iguais (25%), cuja pontuação varia de 0 a 1, indicando uma gestão mais eficiente quanto mais próxima de 1. Conforme </w:t>
      </w:r>
      <w:r w:rsidR="00F34186">
        <w:rPr>
          <w:rFonts w:ascii="Cambria" w:eastAsia="Cambria" w:hAnsi="Cambria" w:cs="Cambria"/>
          <w:color w:val="000000"/>
          <w:sz w:val="21"/>
          <w:szCs w:val="21"/>
        </w:rPr>
        <w:t xml:space="preserve">a </w:t>
      </w:r>
      <w:r w:rsidR="00BB187C">
        <w:rPr>
          <w:rFonts w:ascii="Cambria" w:eastAsia="Cambria" w:hAnsi="Cambria" w:cs="Cambria"/>
          <w:color w:val="000000"/>
          <w:sz w:val="21"/>
          <w:szCs w:val="21"/>
        </w:rPr>
        <w:t xml:space="preserve">Federação das Indústrias do Estado do Rio de Janeiro - </w:t>
      </w:r>
      <w:r>
        <w:rPr>
          <w:rFonts w:ascii="Cambria" w:eastAsia="Cambria" w:hAnsi="Cambria" w:cs="Cambria"/>
          <w:color w:val="000000"/>
          <w:sz w:val="21"/>
          <w:szCs w:val="21"/>
        </w:rPr>
        <w:t xml:space="preserve">FIRJAN (2025), o </w:t>
      </w:r>
      <w:r w:rsidR="00F34186">
        <w:rPr>
          <w:rFonts w:ascii="Cambria" w:eastAsia="Cambria" w:hAnsi="Cambria" w:cs="Cambria"/>
          <w:color w:val="000000"/>
          <w:sz w:val="21"/>
          <w:szCs w:val="21"/>
        </w:rPr>
        <w:t xml:space="preserve">primeiro </w:t>
      </w:r>
      <w:r>
        <w:rPr>
          <w:rFonts w:ascii="Cambria" w:eastAsia="Cambria" w:hAnsi="Cambria" w:cs="Cambria"/>
          <w:color w:val="000000"/>
          <w:sz w:val="21"/>
          <w:szCs w:val="21"/>
        </w:rPr>
        <w:t>indicador</w:t>
      </w:r>
      <w:r w:rsidR="00F34186">
        <w:rPr>
          <w:rFonts w:ascii="Cambria" w:eastAsia="Cambria" w:hAnsi="Cambria" w:cs="Cambria"/>
          <w:color w:val="000000"/>
          <w:sz w:val="21"/>
          <w:szCs w:val="21"/>
        </w:rPr>
        <w:t>,</w:t>
      </w:r>
      <w:r>
        <w:rPr>
          <w:rFonts w:ascii="Cambria" w:eastAsia="Cambria" w:hAnsi="Cambria" w:cs="Cambria"/>
          <w:color w:val="000000"/>
          <w:sz w:val="21"/>
          <w:szCs w:val="21"/>
        </w:rPr>
        <w:t xml:space="preserve"> </w:t>
      </w:r>
      <w:r w:rsidR="00F34186">
        <w:rPr>
          <w:rFonts w:ascii="Cambria" w:eastAsia="Cambria" w:hAnsi="Cambria" w:cs="Cambria"/>
          <w:color w:val="000000"/>
          <w:sz w:val="21"/>
          <w:szCs w:val="21"/>
        </w:rPr>
        <w:t>“a</w:t>
      </w:r>
      <w:r>
        <w:rPr>
          <w:rFonts w:ascii="Cambria" w:eastAsia="Cambria" w:hAnsi="Cambria" w:cs="Cambria"/>
          <w:color w:val="000000"/>
          <w:sz w:val="21"/>
          <w:szCs w:val="21"/>
        </w:rPr>
        <w:t>utonomia</w:t>
      </w:r>
      <w:r w:rsidR="00F34186">
        <w:rPr>
          <w:rFonts w:ascii="Cambria" w:eastAsia="Cambria" w:hAnsi="Cambria" w:cs="Cambria"/>
          <w:color w:val="000000"/>
          <w:sz w:val="21"/>
          <w:szCs w:val="21"/>
        </w:rPr>
        <w:t>”,</w:t>
      </w:r>
      <w:r>
        <w:rPr>
          <w:rFonts w:ascii="Cambria" w:eastAsia="Cambria" w:hAnsi="Cambria" w:cs="Cambria"/>
          <w:color w:val="000000"/>
          <w:sz w:val="21"/>
          <w:szCs w:val="21"/>
        </w:rPr>
        <w:t xml:space="preserve"> mede a capacidade de financiar a estrutura administrativa, verificando se as receitas da atividade econômica local são suficientes para arcar com os custos do Poder Executivo e da Câmara de Vereadores. </w:t>
      </w:r>
      <w:r w:rsidR="00F34186">
        <w:rPr>
          <w:rFonts w:ascii="Cambria" w:eastAsia="Cambria" w:hAnsi="Cambria" w:cs="Cambria"/>
          <w:color w:val="000000"/>
          <w:sz w:val="21"/>
          <w:szCs w:val="21"/>
        </w:rPr>
        <w:t>O segundo indicador</w:t>
      </w:r>
      <w:r w:rsidR="005634FD">
        <w:rPr>
          <w:rFonts w:ascii="Cambria" w:eastAsia="Cambria" w:hAnsi="Cambria" w:cs="Cambria"/>
          <w:color w:val="000000"/>
          <w:sz w:val="21"/>
          <w:szCs w:val="21"/>
        </w:rPr>
        <w:t>, “gestão</w:t>
      </w:r>
      <w:r>
        <w:rPr>
          <w:rFonts w:ascii="Cambria" w:eastAsia="Cambria" w:hAnsi="Cambria" w:cs="Cambria"/>
          <w:color w:val="000000"/>
          <w:sz w:val="21"/>
          <w:szCs w:val="21"/>
        </w:rPr>
        <w:t xml:space="preserve"> com </w:t>
      </w:r>
      <w:r w:rsidR="00F34186">
        <w:rPr>
          <w:rFonts w:ascii="Cambria" w:eastAsia="Cambria" w:hAnsi="Cambria" w:cs="Cambria"/>
          <w:color w:val="000000"/>
          <w:sz w:val="21"/>
          <w:szCs w:val="21"/>
        </w:rPr>
        <w:t>p</w:t>
      </w:r>
      <w:r>
        <w:rPr>
          <w:rFonts w:ascii="Cambria" w:eastAsia="Cambria" w:hAnsi="Cambria" w:cs="Cambria"/>
          <w:color w:val="000000"/>
          <w:sz w:val="21"/>
          <w:szCs w:val="21"/>
        </w:rPr>
        <w:t>essoal</w:t>
      </w:r>
      <w:r w:rsidR="00F34186">
        <w:rPr>
          <w:rFonts w:ascii="Cambria" w:eastAsia="Cambria" w:hAnsi="Cambria" w:cs="Cambria"/>
          <w:color w:val="000000"/>
          <w:sz w:val="21"/>
          <w:szCs w:val="21"/>
        </w:rPr>
        <w:t>”,</w:t>
      </w:r>
      <w:r>
        <w:rPr>
          <w:rFonts w:ascii="Cambria" w:eastAsia="Cambria" w:hAnsi="Cambria" w:cs="Cambria"/>
          <w:color w:val="000000"/>
          <w:sz w:val="21"/>
          <w:szCs w:val="21"/>
        </w:rPr>
        <w:t xml:space="preserve"> aponta o grau de rigidez do orçamento ao avaliar o comprometimento das receitas com essas despesas, utilizando como nota de corte o limite de 60% da Receita Corrente Líquida estabelecido pela Lei de Responsabilidade Fiscal. A </w:t>
      </w:r>
      <w:r w:rsidR="005634FD">
        <w:rPr>
          <w:rFonts w:ascii="Cambria" w:eastAsia="Cambria" w:hAnsi="Cambria" w:cs="Cambria"/>
          <w:color w:val="000000"/>
          <w:sz w:val="21"/>
          <w:szCs w:val="21"/>
        </w:rPr>
        <w:t>“</w:t>
      </w:r>
      <w:r w:rsidR="007B2654">
        <w:rPr>
          <w:rFonts w:ascii="Cambria" w:eastAsia="Cambria" w:hAnsi="Cambria" w:cs="Cambria"/>
          <w:color w:val="000000"/>
          <w:sz w:val="21"/>
          <w:szCs w:val="21"/>
        </w:rPr>
        <w:t>l</w:t>
      </w:r>
      <w:r>
        <w:rPr>
          <w:rFonts w:ascii="Cambria" w:eastAsia="Cambria" w:hAnsi="Cambria" w:cs="Cambria"/>
          <w:color w:val="000000"/>
          <w:sz w:val="21"/>
          <w:szCs w:val="21"/>
        </w:rPr>
        <w:t>iquidez</w:t>
      </w:r>
      <w:r w:rsidR="007B2654">
        <w:rPr>
          <w:rFonts w:ascii="Cambria" w:eastAsia="Cambria" w:hAnsi="Cambria" w:cs="Cambria"/>
          <w:color w:val="000000"/>
          <w:sz w:val="21"/>
          <w:szCs w:val="21"/>
        </w:rPr>
        <w:t>” é o terceiro indicador</w:t>
      </w:r>
      <w:r>
        <w:rPr>
          <w:rFonts w:ascii="Cambria" w:eastAsia="Cambria" w:hAnsi="Cambria" w:cs="Cambria"/>
          <w:color w:val="000000"/>
          <w:sz w:val="21"/>
          <w:szCs w:val="21"/>
        </w:rPr>
        <w:t xml:space="preserve"> </w:t>
      </w:r>
      <w:r w:rsidR="007B2654">
        <w:rPr>
          <w:rFonts w:ascii="Cambria" w:eastAsia="Cambria" w:hAnsi="Cambria" w:cs="Cambria"/>
          <w:color w:val="000000"/>
          <w:sz w:val="21"/>
          <w:szCs w:val="21"/>
        </w:rPr>
        <w:t xml:space="preserve">e </w:t>
      </w:r>
      <w:r>
        <w:rPr>
          <w:rFonts w:ascii="Cambria" w:eastAsia="Cambria" w:hAnsi="Cambria" w:cs="Cambria"/>
          <w:color w:val="000000"/>
          <w:sz w:val="21"/>
          <w:szCs w:val="21"/>
        </w:rPr>
        <w:t xml:space="preserve">avalia o cumprimento das obrigações financeiras, analisando a relação entre a disponibilidade de caixa e os restos a pagar inscritos no ano. Por fim, o indicador </w:t>
      </w:r>
      <w:r w:rsidR="005634FD">
        <w:rPr>
          <w:rFonts w:ascii="Cambria" w:eastAsia="Cambria" w:hAnsi="Cambria" w:cs="Cambria"/>
          <w:color w:val="000000"/>
          <w:sz w:val="21"/>
          <w:szCs w:val="21"/>
        </w:rPr>
        <w:t>“</w:t>
      </w:r>
      <w:r w:rsidR="007B2654">
        <w:rPr>
          <w:rFonts w:ascii="Cambria" w:eastAsia="Cambria" w:hAnsi="Cambria" w:cs="Cambria"/>
          <w:color w:val="000000"/>
          <w:sz w:val="21"/>
          <w:szCs w:val="21"/>
        </w:rPr>
        <w:t>i</w:t>
      </w:r>
      <w:r>
        <w:rPr>
          <w:rFonts w:ascii="Cambria" w:eastAsia="Cambria" w:hAnsi="Cambria" w:cs="Cambria"/>
          <w:color w:val="000000"/>
          <w:sz w:val="21"/>
          <w:szCs w:val="21"/>
        </w:rPr>
        <w:t>nvestimentos</w:t>
      </w:r>
      <w:r w:rsidR="007B2654">
        <w:rPr>
          <w:rFonts w:ascii="Cambria" w:eastAsia="Cambria" w:hAnsi="Cambria" w:cs="Cambria"/>
          <w:color w:val="000000"/>
          <w:sz w:val="21"/>
          <w:szCs w:val="21"/>
        </w:rPr>
        <w:t>”</w:t>
      </w:r>
      <w:r>
        <w:rPr>
          <w:rFonts w:ascii="Cambria" w:eastAsia="Cambria" w:hAnsi="Cambria" w:cs="Cambria"/>
          <w:color w:val="000000"/>
          <w:sz w:val="21"/>
          <w:szCs w:val="21"/>
        </w:rPr>
        <w:t xml:space="preserve"> expressa a capacidade de gerar bem-estar e competitividade, medindo a parcela dos investimentos e inversões financeiras dentro da </w:t>
      </w:r>
      <w:r w:rsidR="007B2654">
        <w:rPr>
          <w:rFonts w:ascii="Cambria" w:eastAsia="Cambria" w:hAnsi="Cambria" w:cs="Cambria"/>
          <w:color w:val="000000"/>
          <w:sz w:val="21"/>
          <w:szCs w:val="21"/>
        </w:rPr>
        <w:t>r</w:t>
      </w:r>
      <w:r>
        <w:rPr>
          <w:rFonts w:ascii="Cambria" w:eastAsia="Cambria" w:hAnsi="Cambria" w:cs="Cambria"/>
          <w:color w:val="000000"/>
          <w:sz w:val="21"/>
          <w:szCs w:val="21"/>
        </w:rPr>
        <w:t xml:space="preserve">eceita </w:t>
      </w:r>
      <w:r w:rsidR="007B2654">
        <w:rPr>
          <w:rFonts w:ascii="Cambria" w:eastAsia="Cambria" w:hAnsi="Cambria" w:cs="Cambria"/>
          <w:color w:val="000000"/>
          <w:sz w:val="21"/>
          <w:szCs w:val="21"/>
        </w:rPr>
        <w:t>t</w:t>
      </w:r>
      <w:r>
        <w:rPr>
          <w:rFonts w:ascii="Cambria" w:eastAsia="Cambria" w:hAnsi="Cambria" w:cs="Cambria"/>
          <w:color w:val="000000"/>
          <w:sz w:val="21"/>
          <w:szCs w:val="21"/>
        </w:rPr>
        <w:t>otal do município.</w:t>
      </w:r>
    </w:p>
    <w:p w14:paraId="1005C1D6" w14:textId="77777777" w:rsidR="00EB00FA" w:rsidRDefault="007B2654">
      <w:pPr>
        <w:pBdr>
          <w:top w:val="nil"/>
          <w:left w:val="nil"/>
          <w:bottom w:val="nil"/>
          <w:right w:val="nil"/>
          <w:between w:val="nil"/>
        </w:pBdr>
        <w:ind w:firstLine="708"/>
        <w:jc w:val="both"/>
        <w:rPr>
          <w:rFonts w:ascii="Cambria" w:eastAsia="Cambria" w:hAnsi="Cambria" w:cs="Cambria"/>
          <w:color w:val="000000"/>
          <w:sz w:val="21"/>
          <w:szCs w:val="21"/>
        </w:rPr>
      </w:pPr>
      <w:r>
        <w:rPr>
          <w:rFonts w:ascii="Cambria" w:eastAsia="Cambria" w:hAnsi="Cambria" w:cs="Cambria"/>
          <w:color w:val="000000"/>
          <w:sz w:val="21"/>
          <w:szCs w:val="21"/>
        </w:rPr>
        <w:br w:type="column"/>
      </w:r>
    </w:p>
    <w:p w14:paraId="4DE831B9" w14:textId="77777777" w:rsidR="00EB00FA" w:rsidRDefault="00000000">
      <w:pPr>
        <w:keepNext/>
        <w:pBdr>
          <w:top w:val="nil"/>
          <w:left w:val="nil"/>
          <w:bottom w:val="nil"/>
          <w:right w:val="nil"/>
          <w:between w:val="nil"/>
        </w:pBdr>
        <w:spacing w:before="240" w:after="60" w:line="288" w:lineRule="auto"/>
        <w:jc w:val="center"/>
        <w:rPr>
          <w:rFonts w:ascii="Century Gothic" w:eastAsia="Century Gothic" w:hAnsi="Century Gothic" w:cs="Century Gothic"/>
          <w:color w:val="000000"/>
          <w:sz w:val="18"/>
          <w:szCs w:val="18"/>
        </w:rPr>
      </w:pPr>
      <w:r>
        <w:rPr>
          <w:rFonts w:ascii="Century Gothic" w:eastAsia="Century Gothic" w:hAnsi="Century Gothic" w:cs="Century Gothic"/>
          <w:b/>
          <w:bCs/>
          <w:color w:val="000000"/>
          <w:sz w:val="18"/>
          <w:szCs w:val="18"/>
        </w:rPr>
        <w:t>Tabela 2</w:t>
      </w:r>
      <w:r>
        <w:rPr>
          <w:rFonts w:ascii="Century Gothic" w:eastAsia="Century Gothic" w:hAnsi="Century Gothic" w:cs="Century Gothic"/>
          <w:color w:val="000000"/>
          <w:sz w:val="18"/>
          <w:szCs w:val="18"/>
        </w:rPr>
        <w:t xml:space="preserve"> </w:t>
      </w:r>
      <w:r>
        <w:rPr>
          <w:rFonts w:ascii="Century Gothic" w:eastAsia="Century Gothic" w:hAnsi="Century Gothic" w:cs="Century Gothic"/>
          <w:b/>
          <w:bCs/>
          <w:color w:val="000000"/>
          <w:sz w:val="18"/>
          <w:szCs w:val="18"/>
        </w:rPr>
        <w:t>-</w:t>
      </w:r>
      <w:r>
        <w:rPr>
          <w:rFonts w:ascii="Century Gothic" w:eastAsia="Century Gothic" w:hAnsi="Century Gothic" w:cs="Century Gothic"/>
          <w:color w:val="000000"/>
          <w:sz w:val="18"/>
          <w:szCs w:val="18"/>
        </w:rPr>
        <w:t xml:space="preserve"> Definição e operacionalização das variáveis</w:t>
      </w:r>
    </w:p>
    <w:tbl>
      <w:tblPr>
        <w:tblStyle w:val="a0"/>
        <w:tblW w:w="9071" w:type="dxa"/>
        <w:tblInd w:w="0" w:type="dxa"/>
        <w:tblLayout w:type="fixed"/>
        <w:tblLook w:val="0000" w:firstRow="0" w:lastRow="0" w:firstColumn="0" w:lastColumn="0" w:noHBand="0" w:noVBand="0"/>
      </w:tblPr>
      <w:tblGrid>
        <w:gridCol w:w="1418"/>
        <w:gridCol w:w="1843"/>
        <w:gridCol w:w="2409"/>
        <w:gridCol w:w="2111"/>
        <w:gridCol w:w="1290"/>
      </w:tblGrid>
      <w:tr w:rsidR="00EB00FA" w14:paraId="474E86F9" w14:textId="77777777">
        <w:tc>
          <w:tcPr>
            <w:tcW w:w="1418" w:type="dxa"/>
            <w:tcBorders>
              <w:top w:val="single" w:sz="4" w:space="0" w:color="000000"/>
              <w:bottom w:val="single" w:sz="4" w:space="0" w:color="000000"/>
            </w:tcBorders>
            <w:tcMar>
              <w:top w:w="0" w:type="dxa"/>
              <w:left w:w="108" w:type="dxa"/>
              <w:bottom w:w="0" w:type="dxa"/>
              <w:right w:w="108" w:type="dxa"/>
            </w:tcMar>
            <w:vAlign w:val="center"/>
          </w:tcPr>
          <w:p w14:paraId="5FC86810" w14:textId="77777777" w:rsidR="00EB00FA" w:rsidRDefault="00000000">
            <w:pPr>
              <w:pBdr>
                <w:top w:val="nil"/>
                <w:left w:val="nil"/>
                <w:bottom w:val="nil"/>
                <w:right w:val="nil"/>
                <w:between w:val="nil"/>
              </w:pBdr>
              <w:tabs>
                <w:tab w:val="left" w:pos="706"/>
              </w:tabs>
              <w:spacing w:after="40"/>
              <w:jc w:val="center"/>
              <w:rPr>
                <w:rFonts w:ascii="Century Gothic" w:eastAsia="Century Gothic" w:hAnsi="Century Gothic" w:cs="Century Gothic"/>
                <w:b/>
                <w:bCs/>
                <w:color w:val="000000"/>
                <w:sz w:val="17"/>
                <w:szCs w:val="17"/>
              </w:rPr>
            </w:pPr>
            <w:r>
              <w:rPr>
                <w:rFonts w:ascii="Century Gothic" w:eastAsia="Century Gothic" w:hAnsi="Century Gothic" w:cs="Century Gothic"/>
                <w:b/>
                <w:bCs/>
                <w:color w:val="000000"/>
                <w:sz w:val="17"/>
                <w:szCs w:val="17"/>
              </w:rPr>
              <w:t>TIPO</w:t>
            </w:r>
          </w:p>
        </w:tc>
        <w:tc>
          <w:tcPr>
            <w:tcW w:w="1843" w:type="dxa"/>
            <w:tcBorders>
              <w:top w:val="single" w:sz="4" w:space="0" w:color="000000"/>
              <w:bottom w:val="single" w:sz="4" w:space="0" w:color="000000"/>
            </w:tcBorders>
            <w:tcMar>
              <w:top w:w="0" w:type="dxa"/>
              <w:left w:w="108" w:type="dxa"/>
              <w:bottom w:w="0" w:type="dxa"/>
              <w:right w:w="108" w:type="dxa"/>
            </w:tcMar>
            <w:vAlign w:val="center"/>
          </w:tcPr>
          <w:p w14:paraId="264D1032" w14:textId="77777777" w:rsidR="00EB00FA" w:rsidRDefault="00000000">
            <w:pPr>
              <w:pBdr>
                <w:top w:val="nil"/>
                <w:left w:val="nil"/>
                <w:bottom w:val="nil"/>
                <w:right w:val="nil"/>
                <w:between w:val="nil"/>
              </w:pBdr>
              <w:tabs>
                <w:tab w:val="left" w:pos="706"/>
              </w:tabs>
              <w:spacing w:after="40"/>
              <w:jc w:val="center"/>
              <w:rPr>
                <w:rFonts w:ascii="Century Gothic" w:eastAsia="Century Gothic" w:hAnsi="Century Gothic" w:cs="Century Gothic"/>
                <w:b/>
                <w:bCs/>
                <w:color w:val="000000"/>
                <w:sz w:val="17"/>
                <w:szCs w:val="17"/>
              </w:rPr>
            </w:pPr>
            <w:r>
              <w:rPr>
                <w:rFonts w:ascii="Century Gothic" w:eastAsia="Century Gothic" w:hAnsi="Century Gothic" w:cs="Century Gothic"/>
                <w:b/>
                <w:bCs/>
                <w:color w:val="000000"/>
                <w:sz w:val="17"/>
                <w:szCs w:val="17"/>
              </w:rPr>
              <w:t>NOME</w:t>
            </w:r>
          </w:p>
        </w:tc>
        <w:tc>
          <w:tcPr>
            <w:tcW w:w="2409" w:type="dxa"/>
            <w:tcBorders>
              <w:top w:val="single" w:sz="4" w:space="0" w:color="000000"/>
              <w:bottom w:val="single" w:sz="4" w:space="0" w:color="000000"/>
            </w:tcBorders>
            <w:tcMar>
              <w:top w:w="0" w:type="dxa"/>
              <w:left w:w="108" w:type="dxa"/>
              <w:bottom w:w="0" w:type="dxa"/>
              <w:right w:w="108" w:type="dxa"/>
            </w:tcMar>
            <w:vAlign w:val="center"/>
          </w:tcPr>
          <w:p w14:paraId="75731498" w14:textId="77777777" w:rsidR="00EB00FA" w:rsidRDefault="00000000">
            <w:pPr>
              <w:pBdr>
                <w:top w:val="nil"/>
                <w:left w:val="nil"/>
                <w:bottom w:val="nil"/>
                <w:right w:val="nil"/>
                <w:between w:val="nil"/>
              </w:pBdr>
              <w:tabs>
                <w:tab w:val="left" w:pos="706"/>
              </w:tabs>
              <w:spacing w:after="40"/>
              <w:jc w:val="center"/>
              <w:rPr>
                <w:rFonts w:ascii="Century Gothic" w:eastAsia="Century Gothic" w:hAnsi="Century Gothic" w:cs="Century Gothic"/>
                <w:b/>
                <w:bCs/>
                <w:color w:val="000000"/>
                <w:sz w:val="17"/>
                <w:szCs w:val="17"/>
              </w:rPr>
            </w:pPr>
            <w:r>
              <w:rPr>
                <w:rFonts w:ascii="Century Gothic" w:eastAsia="Century Gothic" w:hAnsi="Century Gothic" w:cs="Century Gothic"/>
                <w:b/>
                <w:bCs/>
                <w:color w:val="000000"/>
                <w:sz w:val="17"/>
                <w:szCs w:val="17"/>
              </w:rPr>
              <w:t>INDICADOR</w:t>
            </w:r>
          </w:p>
        </w:tc>
        <w:tc>
          <w:tcPr>
            <w:tcW w:w="2111" w:type="dxa"/>
            <w:tcBorders>
              <w:top w:val="single" w:sz="4" w:space="0" w:color="000000"/>
              <w:bottom w:val="single" w:sz="4" w:space="0" w:color="000000"/>
            </w:tcBorders>
            <w:vAlign w:val="center"/>
          </w:tcPr>
          <w:p w14:paraId="5AEA0187" w14:textId="77777777" w:rsidR="00EB00FA" w:rsidRDefault="00000000">
            <w:pPr>
              <w:pBdr>
                <w:top w:val="nil"/>
                <w:left w:val="nil"/>
                <w:bottom w:val="nil"/>
                <w:right w:val="nil"/>
                <w:between w:val="nil"/>
              </w:pBdr>
              <w:tabs>
                <w:tab w:val="left" w:pos="706"/>
              </w:tabs>
              <w:spacing w:after="40"/>
              <w:jc w:val="center"/>
              <w:rPr>
                <w:rFonts w:ascii="Century Gothic" w:eastAsia="Century Gothic" w:hAnsi="Century Gothic" w:cs="Century Gothic"/>
                <w:b/>
                <w:bCs/>
                <w:color w:val="000000"/>
                <w:sz w:val="17"/>
                <w:szCs w:val="17"/>
              </w:rPr>
            </w:pPr>
            <w:r>
              <w:rPr>
                <w:rFonts w:ascii="Century Gothic" w:eastAsia="Century Gothic" w:hAnsi="Century Gothic" w:cs="Century Gothic"/>
                <w:b/>
                <w:bCs/>
                <w:color w:val="000000"/>
                <w:sz w:val="17"/>
                <w:szCs w:val="17"/>
              </w:rPr>
              <w:t>OPERACIONALIZAÇÃO</w:t>
            </w:r>
          </w:p>
        </w:tc>
        <w:tc>
          <w:tcPr>
            <w:tcW w:w="1290" w:type="dxa"/>
            <w:tcBorders>
              <w:top w:val="single" w:sz="4" w:space="0" w:color="000000"/>
              <w:bottom w:val="single" w:sz="4" w:space="0" w:color="000000"/>
            </w:tcBorders>
            <w:vAlign w:val="center"/>
          </w:tcPr>
          <w:p w14:paraId="5E49910D" w14:textId="77777777" w:rsidR="00EB00FA" w:rsidRDefault="00000000">
            <w:pPr>
              <w:pBdr>
                <w:top w:val="nil"/>
                <w:left w:val="nil"/>
                <w:bottom w:val="nil"/>
                <w:right w:val="nil"/>
                <w:between w:val="nil"/>
              </w:pBdr>
              <w:tabs>
                <w:tab w:val="left" w:pos="706"/>
              </w:tabs>
              <w:spacing w:after="40"/>
              <w:jc w:val="center"/>
              <w:rPr>
                <w:rFonts w:ascii="Century Gothic" w:eastAsia="Century Gothic" w:hAnsi="Century Gothic" w:cs="Century Gothic"/>
                <w:b/>
                <w:bCs/>
                <w:color w:val="000000"/>
                <w:sz w:val="17"/>
                <w:szCs w:val="17"/>
              </w:rPr>
            </w:pPr>
            <w:r>
              <w:rPr>
                <w:rFonts w:ascii="Century Gothic" w:eastAsia="Century Gothic" w:hAnsi="Century Gothic" w:cs="Century Gothic"/>
                <w:b/>
                <w:bCs/>
                <w:color w:val="000000"/>
                <w:sz w:val="17"/>
                <w:szCs w:val="17"/>
              </w:rPr>
              <w:t>FONTE</w:t>
            </w:r>
          </w:p>
        </w:tc>
      </w:tr>
      <w:tr w:rsidR="00EB00FA" w14:paraId="5C9442F4" w14:textId="77777777">
        <w:tc>
          <w:tcPr>
            <w:tcW w:w="1418" w:type="dxa"/>
            <w:tcBorders>
              <w:top w:val="single" w:sz="4" w:space="0" w:color="000000"/>
              <w:bottom w:val="single" w:sz="4" w:space="0" w:color="000000"/>
            </w:tcBorders>
            <w:tcMar>
              <w:top w:w="0" w:type="dxa"/>
              <w:left w:w="108" w:type="dxa"/>
              <w:bottom w:w="0" w:type="dxa"/>
              <w:right w:w="108" w:type="dxa"/>
            </w:tcMar>
            <w:vAlign w:val="center"/>
          </w:tcPr>
          <w:p w14:paraId="2A9CE3D6"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b/>
                <w:bCs/>
                <w:color w:val="000000"/>
                <w:sz w:val="17"/>
                <w:szCs w:val="17"/>
              </w:rPr>
            </w:pPr>
            <w:r>
              <w:rPr>
                <w:rFonts w:ascii="Century Gothic" w:eastAsia="Century Gothic" w:hAnsi="Century Gothic" w:cs="Century Gothic"/>
                <w:color w:val="000000"/>
                <w:sz w:val="17"/>
                <w:szCs w:val="17"/>
              </w:rPr>
              <w:t>Dependente</w:t>
            </w:r>
          </w:p>
        </w:tc>
        <w:tc>
          <w:tcPr>
            <w:tcW w:w="1843" w:type="dxa"/>
            <w:tcBorders>
              <w:top w:val="single" w:sz="4" w:space="0" w:color="000000"/>
              <w:bottom w:val="single" w:sz="4" w:space="0" w:color="000000"/>
            </w:tcBorders>
            <w:tcMar>
              <w:top w:w="0" w:type="dxa"/>
              <w:left w:w="108" w:type="dxa"/>
              <w:bottom w:w="0" w:type="dxa"/>
              <w:right w:w="108" w:type="dxa"/>
            </w:tcMar>
            <w:vAlign w:val="center"/>
          </w:tcPr>
          <w:p w14:paraId="5FDD595D"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b/>
                <w:bCs/>
                <w:color w:val="000000"/>
                <w:sz w:val="17"/>
                <w:szCs w:val="17"/>
              </w:rPr>
            </w:pPr>
            <w:r>
              <w:rPr>
                <w:rFonts w:ascii="Century Gothic" w:eastAsia="Century Gothic" w:hAnsi="Century Gothic" w:cs="Century Gothic"/>
                <w:color w:val="000000"/>
                <w:sz w:val="17"/>
                <w:szCs w:val="17"/>
              </w:rPr>
              <w:t>Adoção da tarifa zero</w:t>
            </w:r>
          </w:p>
        </w:tc>
        <w:tc>
          <w:tcPr>
            <w:tcW w:w="2409" w:type="dxa"/>
            <w:tcBorders>
              <w:top w:val="single" w:sz="4" w:space="0" w:color="000000"/>
              <w:bottom w:val="single" w:sz="4" w:space="0" w:color="000000"/>
            </w:tcBorders>
            <w:tcMar>
              <w:top w:w="0" w:type="dxa"/>
              <w:left w:w="108" w:type="dxa"/>
              <w:bottom w:w="0" w:type="dxa"/>
              <w:right w:w="108" w:type="dxa"/>
            </w:tcMar>
            <w:vAlign w:val="center"/>
          </w:tcPr>
          <w:p w14:paraId="49BA2FB5"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b/>
                <w:bCs/>
                <w:color w:val="000000"/>
                <w:sz w:val="17"/>
                <w:szCs w:val="17"/>
              </w:rPr>
            </w:pPr>
            <w:r>
              <w:rPr>
                <w:rFonts w:ascii="Century Gothic" w:eastAsia="Century Gothic" w:hAnsi="Century Gothic" w:cs="Century Gothic"/>
                <w:color w:val="000000"/>
                <w:sz w:val="17"/>
                <w:szCs w:val="17"/>
              </w:rPr>
              <w:t>Município adotou ou não a tarifa zero</w:t>
            </w:r>
          </w:p>
        </w:tc>
        <w:tc>
          <w:tcPr>
            <w:tcW w:w="2111" w:type="dxa"/>
            <w:tcBorders>
              <w:top w:val="single" w:sz="4" w:space="0" w:color="000000"/>
              <w:bottom w:val="single" w:sz="4" w:space="0" w:color="000000"/>
            </w:tcBorders>
            <w:tcMar>
              <w:top w:w="0" w:type="dxa"/>
              <w:left w:w="108" w:type="dxa"/>
              <w:bottom w:w="0" w:type="dxa"/>
              <w:right w:w="108" w:type="dxa"/>
            </w:tcMar>
            <w:vAlign w:val="center"/>
          </w:tcPr>
          <w:p w14:paraId="06C51450"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b/>
                <w:bCs/>
                <w:color w:val="000000"/>
                <w:sz w:val="17"/>
                <w:szCs w:val="17"/>
              </w:rPr>
            </w:pPr>
            <w:r>
              <w:rPr>
                <w:rFonts w:ascii="Century Gothic" w:eastAsia="Century Gothic" w:hAnsi="Century Gothic" w:cs="Century Gothic"/>
                <w:color w:val="000000"/>
                <w:sz w:val="17"/>
                <w:szCs w:val="17"/>
              </w:rPr>
              <w:t>1(sim) ou 0 (não)</w:t>
            </w:r>
          </w:p>
        </w:tc>
        <w:tc>
          <w:tcPr>
            <w:tcW w:w="1290" w:type="dxa"/>
            <w:tcBorders>
              <w:top w:val="single" w:sz="4" w:space="0" w:color="000000"/>
              <w:bottom w:val="single" w:sz="4" w:space="0" w:color="000000"/>
            </w:tcBorders>
            <w:vAlign w:val="center"/>
          </w:tcPr>
          <w:p w14:paraId="51A90792"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b/>
                <w:bCs/>
                <w:color w:val="000000"/>
                <w:sz w:val="17"/>
                <w:szCs w:val="17"/>
              </w:rPr>
            </w:pPr>
            <w:r>
              <w:rPr>
                <w:rFonts w:ascii="Century Gothic" w:eastAsia="Century Gothic" w:hAnsi="Century Gothic" w:cs="Century Gothic"/>
                <w:color w:val="000000"/>
                <w:sz w:val="17"/>
                <w:szCs w:val="17"/>
              </w:rPr>
              <w:t>Santini (2025)</w:t>
            </w:r>
          </w:p>
        </w:tc>
      </w:tr>
      <w:tr w:rsidR="00EB00FA" w14:paraId="08D06533" w14:textId="77777777">
        <w:tc>
          <w:tcPr>
            <w:tcW w:w="1418" w:type="dxa"/>
            <w:tcBorders>
              <w:top w:val="single" w:sz="4" w:space="0" w:color="000000"/>
              <w:bottom w:val="single" w:sz="4" w:space="0" w:color="000000"/>
            </w:tcBorders>
            <w:tcMar>
              <w:top w:w="0" w:type="dxa"/>
              <w:left w:w="108" w:type="dxa"/>
              <w:bottom w:w="0" w:type="dxa"/>
              <w:right w:w="108" w:type="dxa"/>
            </w:tcMar>
            <w:vAlign w:val="center"/>
          </w:tcPr>
          <w:p w14:paraId="3ED97F74"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b/>
                <w:bCs/>
                <w:color w:val="000000"/>
                <w:sz w:val="17"/>
                <w:szCs w:val="17"/>
              </w:rPr>
            </w:pPr>
            <w:r>
              <w:rPr>
                <w:rFonts w:ascii="Century Gothic" w:eastAsia="Century Gothic" w:hAnsi="Century Gothic" w:cs="Century Gothic"/>
                <w:color w:val="000000"/>
                <w:sz w:val="17"/>
                <w:szCs w:val="17"/>
              </w:rPr>
              <w:t>Independente 1</w:t>
            </w:r>
          </w:p>
        </w:tc>
        <w:tc>
          <w:tcPr>
            <w:tcW w:w="1843" w:type="dxa"/>
            <w:tcBorders>
              <w:top w:val="single" w:sz="4" w:space="0" w:color="000000"/>
              <w:bottom w:val="single" w:sz="4" w:space="0" w:color="000000"/>
            </w:tcBorders>
            <w:tcMar>
              <w:top w:w="0" w:type="dxa"/>
              <w:left w:w="108" w:type="dxa"/>
              <w:bottom w:w="0" w:type="dxa"/>
              <w:right w:w="108" w:type="dxa"/>
            </w:tcMar>
            <w:vAlign w:val="center"/>
          </w:tcPr>
          <w:p w14:paraId="38FB65CD"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População</w:t>
            </w:r>
          </w:p>
        </w:tc>
        <w:tc>
          <w:tcPr>
            <w:tcW w:w="2409" w:type="dxa"/>
            <w:tcBorders>
              <w:top w:val="single" w:sz="4" w:space="0" w:color="000000"/>
              <w:bottom w:val="single" w:sz="4" w:space="0" w:color="000000"/>
            </w:tcBorders>
            <w:tcMar>
              <w:top w:w="0" w:type="dxa"/>
              <w:left w:w="108" w:type="dxa"/>
              <w:bottom w:w="0" w:type="dxa"/>
              <w:right w:w="108" w:type="dxa"/>
            </w:tcMar>
            <w:vAlign w:val="center"/>
          </w:tcPr>
          <w:p w14:paraId="1F7D2917"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Logaritmo do número de habitantes do município</w:t>
            </w:r>
          </w:p>
        </w:tc>
        <w:tc>
          <w:tcPr>
            <w:tcW w:w="2111" w:type="dxa"/>
            <w:tcBorders>
              <w:top w:val="single" w:sz="4" w:space="0" w:color="000000"/>
              <w:bottom w:val="single" w:sz="4" w:space="0" w:color="000000"/>
            </w:tcBorders>
            <w:tcMar>
              <w:top w:w="0" w:type="dxa"/>
              <w:left w:w="108" w:type="dxa"/>
              <w:bottom w:w="0" w:type="dxa"/>
              <w:right w:w="108" w:type="dxa"/>
            </w:tcMar>
            <w:vAlign w:val="center"/>
          </w:tcPr>
          <w:p w14:paraId="1F9E1300"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Logaritmo natural da estimativa da população dos municípios brasileiros em 2013</w:t>
            </w:r>
          </w:p>
        </w:tc>
        <w:tc>
          <w:tcPr>
            <w:tcW w:w="1290" w:type="dxa"/>
            <w:tcBorders>
              <w:top w:val="single" w:sz="4" w:space="0" w:color="000000"/>
              <w:bottom w:val="single" w:sz="4" w:space="0" w:color="000000"/>
            </w:tcBorders>
            <w:vAlign w:val="center"/>
          </w:tcPr>
          <w:p w14:paraId="0E4BB0F5"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IBGE (2022)</w:t>
            </w:r>
          </w:p>
        </w:tc>
      </w:tr>
      <w:tr w:rsidR="00EB00FA" w14:paraId="1833E42A" w14:textId="77777777">
        <w:tc>
          <w:tcPr>
            <w:tcW w:w="1418" w:type="dxa"/>
            <w:tcBorders>
              <w:top w:val="single" w:sz="4" w:space="0" w:color="000000"/>
              <w:bottom w:val="single" w:sz="4" w:space="0" w:color="000000"/>
            </w:tcBorders>
            <w:tcMar>
              <w:top w:w="0" w:type="dxa"/>
              <w:left w:w="108" w:type="dxa"/>
              <w:bottom w:w="0" w:type="dxa"/>
              <w:right w:w="108" w:type="dxa"/>
            </w:tcMar>
            <w:vAlign w:val="center"/>
          </w:tcPr>
          <w:p w14:paraId="3DC6FFDD"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b/>
                <w:bCs/>
                <w:color w:val="000000"/>
                <w:sz w:val="17"/>
                <w:szCs w:val="17"/>
              </w:rPr>
            </w:pPr>
            <w:r>
              <w:rPr>
                <w:rFonts w:ascii="Century Gothic" w:eastAsia="Century Gothic" w:hAnsi="Century Gothic" w:cs="Century Gothic"/>
                <w:color w:val="000000"/>
                <w:sz w:val="17"/>
                <w:szCs w:val="17"/>
              </w:rPr>
              <w:t>Independente 2</w:t>
            </w:r>
          </w:p>
        </w:tc>
        <w:tc>
          <w:tcPr>
            <w:tcW w:w="1843" w:type="dxa"/>
            <w:tcBorders>
              <w:top w:val="single" w:sz="4" w:space="0" w:color="000000"/>
              <w:bottom w:val="single" w:sz="4" w:space="0" w:color="000000"/>
            </w:tcBorders>
            <w:tcMar>
              <w:top w:w="0" w:type="dxa"/>
              <w:left w:w="108" w:type="dxa"/>
              <w:bottom w:w="0" w:type="dxa"/>
              <w:right w:w="108" w:type="dxa"/>
            </w:tcMar>
            <w:vAlign w:val="center"/>
          </w:tcPr>
          <w:p w14:paraId="16528CD1" w14:textId="045B190D"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 xml:space="preserve">Taxa de </w:t>
            </w:r>
            <w:r w:rsidR="007B2654">
              <w:rPr>
                <w:rFonts w:ascii="Century Gothic" w:eastAsia="Century Gothic" w:hAnsi="Century Gothic" w:cs="Century Gothic"/>
                <w:color w:val="000000"/>
                <w:sz w:val="17"/>
                <w:szCs w:val="17"/>
              </w:rPr>
              <w:t xml:space="preserve">população com </w:t>
            </w:r>
            <w:r>
              <w:rPr>
                <w:rFonts w:ascii="Century Gothic" w:eastAsia="Century Gothic" w:hAnsi="Century Gothic" w:cs="Century Gothic"/>
                <w:color w:val="000000"/>
                <w:sz w:val="17"/>
                <w:szCs w:val="17"/>
              </w:rPr>
              <w:t>baixa renda</w:t>
            </w:r>
          </w:p>
        </w:tc>
        <w:tc>
          <w:tcPr>
            <w:tcW w:w="2409" w:type="dxa"/>
            <w:tcBorders>
              <w:top w:val="single" w:sz="4" w:space="0" w:color="000000"/>
              <w:bottom w:val="single" w:sz="4" w:space="0" w:color="000000"/>
            </w:tcBorders>
            <w:tcMar>
              <w:top w:w="0" w:type="dxa"/>
              <w:left w:w="108" w:type="dxa"/>
              <w:bottom w:w="0" w:type="dxa"/>
              <w:right w:w="108" w:type="dxa"/>
            </w:tcMar>
            <w:vAlign w:val="center"/>
          </w:tcPr>
          <w:p w14:paraId="77F0E4FF"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 de pessoas de baixa renda parametrizada no município</w:t>
            </w:r>
          </w:p>
        </w:tc>
        <w:tc>
          <w:tcPr>
            <w:tcW w:w="2111" w:type="dxa"/>
            <w:tcBorders>
              <w:top w:val="single" w:sz="4" w:space="0" w:color="000000"/>
              <w:bottom w:val="single" w:sz="4" w:space="0" w:color="000000"/>
            </w:tcBorders>
            <w:tcMar>
              <w:top w:w="0" w:type="dxa"/>
              <w:left w:w="108" w:type="dxa"/>
              <w:bottom w:w="0" w:type="dxa"/>
              <w:right w:w="108" w:type="dxa"/>
            </w:tcMar>
            <w:vAlign w:val="center"/>
          </w:tcPr>
          <w:p w14:paraId="6F8DF7E1"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 xml:space="preserve">Razão entre pessoas cadastradas no </w:t>
            </w:r>
            <w:proofErr w:type="spellStart"/>
            <w:r>
              <w:rPr>
                <w:rFonts w:ascii="Century Gothic" w:eastAsia="Century Gothic" w:hAnsi="Century Gothic" w:cs="Century Gothic"/>
                <w:color w:val="000000"/>
                <w:sz w:val="17"/>
                <w:szCs w:val="17"/>
              </w:rPr>
              <w:t>CadÚnico</w:t>
            </w:r>
            <w:proofErr w:type="spellEnd"/>
            <w:r>
              <w:rPr>
                <w:rFonts w:ascii="Century Gothic" w:eastAsia="Century Gothic" w:hAnsi="Century Gothic" w:cs="Century Gothic"/>
                <w:color w:val="000000"/>
                <w:sz w:val="17"/>
                <w:szCs w:val="17"/>
              </w:rPr>
              <w:t xml:space="preserve"> e o total de pessoas no munícipio em 2013 * 100</w:t>
            </w:r>
          </w:p>
        </w:tc>
        <w:tc>
          <w:tcPr>
            <w:tcW w:w="1290" w:type="dxa"/>
            <w:tcBorders>
              <w:top w:val="single" w:sz="4" w:space="0" w:color="000000"/>
              <w:bottom w:val="single" w:sz="4" w:space="0" w:color="000000"/>
            </w:tcBorders>
            <w:vAlign w:val="center"/>
          </w:tcPr>
          <w:p w14:paraId="346B6CA6"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MDS (2025)</w:t>
            </w:r>
          </w:p>
        </w:tc>
      </w:tr>
      <w:tr w:rsidR="00EB00FA" w14:paraId="3AABDCA9" w14:textId="77777777">
        <w:tc>
          <w:tcPr>
            <w:tcW w:w="1418" w:type="dxa"/>
            <w:tcBorders>
              <w:top w:val="single" w:sz="4" w:space="0" w:color="000000"/>
              <w:bottom w:val="single" w:sz="4" w:space="0" w:color="000000"/>
            </w:tcBorders>
            <w:tcMar>
              <w:top w:w="0" w:type="dxa"/>
              <w:left w:w="108" w:type="dxa"/>
              <w:bottom w:w="0" w:type="dxa"/>
              <w:right w:w="108" w:type="dxa"/>
            </w:tcMar>
            <w:vAlign w:val="center"/>
          </w:tcPr>
          <w:p w14:paraId="19C4DA27"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b/>
                <w:bCs/>
                <w:color w:val="000000"/>
                <w:sz w:val="17"/>
                <w:szCs w:val="17"/>
              </w:rPr>
            </w:pPr>
            <w:r>
              <w:rPr>
                <w:rFonts w:ascii="Century Gothic" w:eastAsia="Century Gothic" w:hAnsi="Century Gothic" w:cs="Century Gothic"/>
                <w:color w:val="000000"/>
                <w:sz w:val="17"/>
                <w:szCs w:val="17"/>
              </w:rPr>
              <w:t>Independente 3</w:t>
            </w:r>
          </w:p>
        </w:tc>
        <w:tc>
          <w:tcPr>
            <w:tcW w:w="1843" w:type="dxa"/>
            <w:tcBorders>
              <w:top w:val="single" w:sz="4" w:space="0" w:color="000000"/>
              <w:bottom w:val="single" w:sz="4" w:space="0" w:color="000000"/>
            </w:tcBorders>
            <w:tcMar>
              <w:top w:w="0" w:type="dxa"/>
              <w:left w:w="108" w:type="dxa"/>
              <w:bottom w:w="0" w:type="dxa"/>
              <w:right w:w="108" w:type="dxa"/>
            </w:tcMar>
            <w:vAlign w:val="center"/>
          </w:tcPr>
          <w:p w14:paraId="2FF1DB2B"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 xml:space="preserve">PIB </w:t>
            </w:r>
            <w:r>
              <w:rPr>
                <w:rFonts w:ascii="Century Gothic" w:eastAsia="Century Gothic" w:hAnsi="Century Gothic" w:cs="Century Gothic"/>
                <w:i/>
                <w:iCs/>
                <w:color w:val="000000"/>
                <w:sz w:val="17"/>
                <w:szCs w:val="17"/>
              </w:rPr>
              <w:t>per capita</w:t>
            </w:r>
          </w:p>
        </w:tc>
        <w:tc>
          <w:tcPr>
            <w:tcW w:w="2409" w:type="dxa"/>
            <w:tcBorders>
              <w:top w:val="single" w:sz="4" w:space="0" w:color="000000"/>
              <w:bottom w:val="single" w:sz="4" w:space="0" w:color="000000"/>
            </w:tcBorders>
            <w:tcMar>
              <w:top w:w="0" w:type="dxa"/>
              <w:left w:w="108" w:type="dxa"/>
              <w:bottom w:w="0" w:type="dxa"/>
              <w:right w:w="108" w:type="dxa"/>
            </w:tcMar>
            <w:vAlign w:val="center"/>
          </w:tcPr>
          <w:p w14:paraId="6C71C1A8"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 xml:space="preserve">Logaritmo do produto Interno Bruto (PIB) </w:t>
            </w:r>
            <w:r>
              <w:rPr>
                <w:rFonts w:ascii="Century Gothic" w:eastAsia="Century Gothic" w:hAnsi="Century Gothic" w:cs="Century Gothic"/>
                <w:i/>
                <w:iCs/>
                <w:color w:val="000000"/>
                <w:sz w:val="17"/>
                <w:szCs w:val="17"/>
              </w:rPr>
              <w:t>per capita</w:t>
            </w:r>
            <w:r>
              <w:rPr>
                <w:rFonts w:ascii="Century Gothic" w:eastAsia="Century Gothic" w:hAnsi="Century Gothic" w:cs="Century Gothic"/>
                <w:color w:val="000000"/>
                <w:sz w:val="17"/>
                <w:szCs w:val="17"/>
              </w:rPr>
              <w:t xml:space="preserve"> do município</w:t>
            </w:r>
          </w:p>
        </w:tc>
        <w:tc>
          <w:tcPr>
            <w:tcW w:w="2111" w:type="dxa"/>
            <w:tcBorders>
              <w:top w:val="single" w:sz="4" w:space="0" w:color="000000"/>
              <w:bottom w:val="single" w:sz="4" w:space="0" w:color="000000"/>
            </w:tcBorders>
            <w:tcMar>
              <w:top w:w="0" w:type="dxa"/>
              <w:left w:w="108" w:type="dxa"/>
              <w:bottom w:w="0" w:type="dxa"/>
              <w:right w:w="108" w:type="dxa"/>
            </w:tcMar>
            <w:vAlign w:val="center"/>
          </w:tcPr>
          <w:p w14:paraId="631F3D58"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Razão entre PIB municipal e o total de pessoas no munícipio em 2013</w:t>
            </w:r>
          </w:p>
        </w:tc>
        <w:tc>
          <w:tcPr>
            <w:tcW w:w="1290" w:type="dxa"/>
            <w:tcBorders>
              <w:top w:val="single" w:sz="4" w:space="0" w:color="000000"/>
              <w:bottom w:val="single" w:sz="4" w:space="0" w:color="000000"/>
            </w:tcBorders>
            <w:vAlign w:val="center"/>
          </w:tcPr>
          <w:p w14:paraId="408147CA"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IBGE (2024)</w:t>
            </w:r>
          </w:p>
        </w:tc>
      </w:tr>
      <w:tr w:rsidR="00EB00FA" w14:paraId="2ADC5BDB" w14:textId="77777777">
        <w:tc>
          <w:tcPr>
            <w:tcW w:w="1418" w:type="dxa"/>
            <w:tcBorders>
              <w:top w:val="single" w:sz="4" w:space="0" w:color="000000"/>
              <w:bottom w:val="single" w:sz="4" w:space="0" w:color="000000"/>
            </w:tcBorders>
            <w:tcMar>
              <w:top w:w="0" w:type="dxa"/>
              <w:left w:w="108" w:type="dxa"/>
              <w:bottom w:w="0" w:type="dxa"/>
              <w:right w:w="108" w:type="dxa"/>
            </w:tcMar>
            <w:vAlign w:val="center"/>
          </w:tcPr>
          <w:p w14:paraId="6E3D15C9"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b/>
                <w:bCs/>
                <w:color w:val="000000"/>
                <w:sz w:val="17"/>
                <w:szCs w:val="17"/>
              </w:rPr>
            </w:pPr>
            <w:r>
              <w:rPr>
                <w:rFonts w:ascii="Century Gothic" w:eastAsia="Century Gothic" w:hAnsi="Century Gothic" w:cs="Century Gothic"/>
                <w:color w:val="000000"/>
                <w:sz w:val="17"/>
                <w:szCs w:val="17"/>
              </w:rPr>
              <w:t>Independente 4</w:t>
            </w:r>
          </w:p>
        </w:tc>
        <w:tc>
          <w:tcPr>
            <w:tcW w:w="1843" w:type="dxa"/>
            <w:tcBorders>
              <w:top w:val="single" w:sz="4" w:space="0" w:color="000000"/>
              <w:bottom w:val="single" w:sz="4" w:space="0" w:color="000000"/>
            </w:tcBorders>
            <w:tcMar>
              <w:top w:w="0" w:type="dxa"/>
              <w:left w:w="108" w:type="dxa"/>
              <w:bottom w:w="0" w:type="dxa"/>
              <w:right w:w="108" w:type="dxa"/>
            </w:tcMar>
            <w:vAlign w:val="center"/>
          </w:tcPr>
          <w:p w14:paraId="3879AA6B"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Saúde Fiscal</w:t>
            </w:r>
          </w:p>
        </w:tc>
        <w:tc>
          <w:tcPr>
            <w:tcW w:w="2409" w:type="dxa"/>
            <w:tcBorders>
              <w:top w:val="single" w:sz="4" w:space="0" w:color="000000"/>
              <w:bottom w:val="single" w:sz="4" w:space="0" w:color="000000"/>
            </w:tcBorders>
            <w:tcMar>
              <w:top w:w="0" w:type="dxa"/>
              <w:left w:w="108" w:type="dxa"/>
              <w:bottom w:w="0" w:type="dxa"/>
              <w:right w:w="108" w:type="dxa"/>
            </w:tcMar>
            <w:vAlign w:val="center"/>
          </w:tcPr>
          <w:p w14:paraId="2E8BA204"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Índice Firjan de Gestão Fiscal (IFGF) do município</w:t>
            </w:r>
          </w:p>
        </w:tc>
        <w:tc>
          <w:tcPr>
            <w:tcW w:w="2111" w:type="dxa"/>
            <w:tcBorders>
              <w:top w:val="single" w:sz="4" w:space="0" w:color="000000"/>
              <w:bottom w:val="single" w:sz="4" w:space="0" w:color="000000"/>
            </w:tcBorders>
            <w:tcMar>
              <w:top w:w="0" w:type="dxa"/>
              <w:left w:w="108" w:type="dxa"/>
              <w:bottom w:w="0" w:type="dxa"/>
              <w:right w:w="108" w:type="dxa"/>
            </w:tcMar>
            <w:vAlign w:val="center"/>
          </w:tcPr>
          <w:p w14:paraId="3DD33072"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Índice mede 4 dimensões fiscais: autonomia; gasto com pessoal; liquidez e investimentos</w:t>
            </w:r>
          </w:p>
        </w:tc>
        <w:tc>
          <w:tcPr>
            <w:tcW w:w="1290" w:type="dxa"/>
            <w:tcBorders>
              <w:top w:val="single" w:sz="4" w:space="0" w:color="000000"/>
              <w:bottom w:val="single" w:sz="4" w:space="0" w:color="000000"/>
            </w:tcBorders>
            <w:vAlign w:val="center"/>
          </w:tcPr>
          <w:p w14:paraId="69F659B5"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FIRJAN (2025)</w:t>
            </w:r>
          </w:p>
        </w:tc>
      </w:tr>
      <w:tr w:rsidR="00EB00FA" w14:paraId="57CC5A30" w14:textId="77777777">
        <w:tc>
          <w:tcPr>
            <w:tcW w:w="1418" w:type="dxa"/>
            <w:tcBorders>
              <w:top w:val="single" w:sz="4" w:space="0" w:color="000000"/>
              <w:bottom w:val="single" w:sz="4" w:space="0" w:color="000000"/>
            </w:tcBorders>
            <w:tcMar>
              <w:top w:w="0" w:type="dxa"/>
              <w:left w:w="108" w:type="dxa"/>
              <w:bottom w:w="0" w:type="dxa"/>
              <w:right w:w="108" w:type="dxa"/>
            </w:tcMar>
            <w:vAlign w:val="center"/>
          </w:tcPr>
          <w:p w14:paraId="62BCB800"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b/>
                <w:bCs/>
                <w:color w:val="000000"/>
                <w:sz w:val="17"/>
                <w:szCs w:val="17"/>
              </w:rPr>
            </w:pPr>
            <w:r>
              <w:rPr>
                <w:rFonts w:ascii="Century Gothic" w:eastAsia="Century Gothic" w:hAnsi="Century Gothic" w:cs="Century Gothic"/>
                <w:color w:val="000000"/>
                <w:sz w:val="17"/>
                <w:szCs w:val="17"/>
              </w:rPr>
              <w:t>Independente 5</w:t>
            </w:r>
          </w:p>
        </w:tc>
        <w:tc>
          <w:tcPr>
            <w:tcW w:w="1843" w:type="dxa"/>
            <w:tcBorders>
              <w:top w:val="single" w:sz="4" w:space="0" w:color="000000"/>
              <w:bottom w:val="single" w:sz="4" w:space="0" w:color="000000"/>
            </w:tcBorders>
            <w:tcMar>
              <w:top w:w="0" w:type="dxa"/>
              <w:left w:w="108" w:type="dxa"/>
              <w:bottom w:w="0" w:type="dxa"/>
              <w:right w:w="108" w:type="dxa"/>
            </w:tcMar>
            <w:vAlign w:val="center"/>
          </w:tcPr>
          <w:p w14:paraId="7CEBB0DD"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Macrorregião</w:t>
            </w:r>
          </w:p>
        </w:tc>
        <w:tc>
          <w:tcPr>
            <w:tcW w:w="2409" w:type="dxa"/>
            <w:tcBorders>
              <w:top w:val="single" w:sz="4" w:space="0" w:color="000000"/>
              <w:bottom w:val="single" w:sz="4" w:space="0" w:color="000000"/>
            </w:tcBorders>
            <w:tcMar>
              <w:top w:w="0" w:type="dxa"/>
              <w:left w:w="108" w:type="dxa"/>
              <w:bottom w:w="0" w:type="dxa"/>
              <w:right w:w="108" w:type="dxa"/>
            </w:tcMar>
            <w:vAlign w:val="center"/>
          </w:tcPr>
          <w:p w14:paraId="78ECF875"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Macrorregional a que pertence o município</w:t>
            </w:r>
          </w:p>
        </w:tc>
        <w:tc>
          <w:tcPr>
            <w:tcW w:w="2111" w:type="dxa"/>
            <w:tcBorders>
              <w:top w:val="single" w:sz="4" w:space="0" w:color="000000"/>
              <w:bottom w:val="single" w:sz="4" w:space="0" w:color="000000"/>
            </w:tcBorders>
            <w:tcMar>
              <w:top w:w="0" w:type="dxa"/>
              <w:left w:w="108" w:type="dxa"/>
              <w:bottom w:w="0" w:type="dxa"/>
              <w:right w:w="108" w:type="dxa"/>
            </w:tcMar>
            <w:vAlign w:val="center"/>
          </w:tcPr>
          <w:p w14:paraId="3604892E"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Norte, Nordeste, Centro-Oeste, Sudeste e Sul</w:t>
            </w:r>
          </w:p>
        </w:tc>
        <w:tc>
          <w:tcPr>
            <w:tcW w:w="1290" w:type="dxa"/>
            <w:tcBorders>
              <w:top w:val="single" w:sz="4" w:space="0" w:color="000000"/>
              <w:bottom w:val="single" w:sz="4" w:space="0" w:color="000000"/>
            </w:tcBorders>
            <w:vAlign w:val="center"/>
          </w:tcPr>
          <w:p w14:paraId="670F7A1B"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proofErr w:type="spellStart"/>
            <w:r>
              <w:rPr>
                <w:rFonts w:ascii="Century Gothic" w:eastAsia="Century Gothic" w:hAnsi="Century Gothic" w:cs="Century Gothic"/>
                <w:color w:val="000000"/>
                <w:sz w:val="17"/>
                <w:szCs w:val="17"/>
              </w:rPr>
              <w:t>Harting</w:t>
            </w:r>
            <w:proofErr w:type="spellEnd"/>
            <w:r>
              <w:rPr>
                <w:rFonts w:ascii="Century Gothic" w:eastAsia="Century Gothic" w:hAnsi="Century Gothic" w:cs="Century Gothic"/>
                <w:color w:val="000000"/>
                <w:sz w:val="17"/>
                <w:szCs w:val="17"/>
              </w:rPr>
              <w:t xml:space="preserve"> (2022)</w:t>
            </w:r>
          </w:p>
        </w:tc>
      </w:tr>
    </w:tbl>
    <w:p w14:paraId="55ACD15B" w14:textId="5B229993" w:rsidR="00EB00FA" w:rsidRDefault="00000000" w:rsidP="0040073F">
      <w:pPr>
        <w:pBdr>
          <w:top w:val="nil"/>
          <w:left w:val="nil"/>
          <w:bottom w:val="nil"/>
          <w:right w:val="nil"/>
          <w:between w:val="nil"/>
        </w:pBdr>
        <w:jc w:val="center"/>
        <w:rPr>
          <w:rFonts w:ascii="Century Gothic" w:eastAsia="Century Gothic" w:hAnsi="Century Gothic" w:cs="Century Gothic"/>
          <w:sz w:val="16"/>
          <w:szCs w:val="16"/>
        </w:rPr>
      </w:pPr>
      <w:r>
        <w:rPr>
          <w:rFonts w:ascii="Century Gothic" w:eastAsia="Century Gothic" w:hAnsi="Century Gothic" w:cs="Century Gothic"/>
          <w:sz w:val="16"/>
          <w:szCs w:val="16"/>
        </w:rPr>
        <w:t>Fonte: elaboração própria.</w:t>
      </w:r>
    </w:p>
    <w:p w14:paraId="61E87BCE" w14:textId="77777777" w:rsidR="00EB00FA" w:rsidRDefault="00EB00FA">
      <w:pPr>
        <w:pBdr>
          <w:top w:val="nil"/>
          <w:left w:val="nil"/>
          <w:bottom w:val="nil"/>
          <w:right w:val="nil"/>
          <w:between w:val="nil"/>
        </w:pBdr>
        <w:jc w:val="both"/>
        <w:rPr>
          <w:rFonts w:ascii="Century Gothic" w:eastAsia="Century Gothic" w:hAnsi="Century Gothic" w:cs="Century Gothic"/>
          <w:sz w:val="16"/>
          <w:szCs w:val="16"/>
        </w:rPr>
      </w:pPr>
    </w:p>
    <w:p w14:paraId="2EE26F52" w14:textId="77777777" w:rsidR="00EB00FA" w:rsidRDefault="00000000">
      <w:pPr>
        <w:pBdr>
          <w:top w:val="nil"/>
          <w:left w:val="nil"/>
          <w:bottom w:val="nil"/>
          <w:right w:val="nil"/>
          <w:between w:val="nil"/>
        </w:pBdr>
        <w:jc w:val="both"/>
        <w:rPr>
          <w:rFonts w:ascii="Century Gothic" w:eastAsia="Century Gothic" w:hAnsi="Century Gothic" w:cs="Century Gothic"/>
          <w:b/>
          <w:bCs/>
          <w:color w:val="000000"/>
          <w:sz w:val="22"/>
          <w:szCs w:val="22"/>
        </w:rPr>
      </w:pPr>
      <w:r>
        <w:rPr>
          <w:rFonts w:ascii="Century Gothic" w:eastAsia="Century Gothic" w:hAnsi="Century Gothic" w:cs="Century Gothic"/>
          <w:b/>
          <w:bCs/>
          <w:color w:val="000000"/>
          <w:sz w:val="22"/>
          <w:szCs w:val="22"/>
        </w:rPr>
        <w:t>3.1.4 Modelos econométricos</w:t>
      </w:r>
    </w:p>
    <w:p w14:paraId="3FD55C54" w14:textId="77777777" w:rsidR="00EB00FA" w:rsidRDefault="00EB00FA">
      <w:pPr>
        <w:pBdr>
          <w:top w:val="nil"/>
          <w:left w:val="nil"/>
          <w:bottom w:val="nil"/>
          <w:right w:val="nil"/>
          <w:between w:val="nil"/>
        </w:pBdr>
        <w:jc w:val="both"/>
        <w:rPr>
          <w:rFonts w:ascii="Century Gothic" w:eastAsia="Century Gothic" w:hAnsi="Century Gothic" w:cs="Century Gothic"/>
          <w:b/>
          <w:bCs/>
          <w:color w:val="000000"/>
          <w:sz w:val="22"/>
          <w:szCs w:val="22"/>
        </w:rPr>
      </w:pPr>
    </w:p>
    <w:p w14:paraId="7743DD8D" w14:textId="77777777" w:rsidR="00EB00FA" w:rsidRDefault="00000000">
      <w:pPr>
        <w:pBdr>
          <w:top w:val="nil"/>
          <w:left w:val="nil"/>
          <w:bottom w:val="nil"/>
          <w:right w:val="nil"/>
          <w:between w:val="nil"/>
        </w:pBdr>
        <w:ind w:firstLine="708"/>
        <w:jc w:val="both"/>
        <w:rPr>
          <w:rFonts w:ascii="Cambria" w:eastAsia="Cambria" w:hAnsi="Cambria" w:cs="Cambria"/>
          <w:color w:val="000000"/>
          <w:sz w:val="21"/>
          <w:szCs w:val="21"/>
        </w:rPr>
      </w:pPr>
      <w:r>
        <w:rPr>
          <w:rFonts w:ascii="Cambria" w:eastAsia="Cambria" w:hAnsi="Cambria" w:cs="Cambria"/>
          <w:color w:val="000000"/>
          <w:sz w:val="21"/>
          <w:szCs w:val="21"/>
        </w:rPr>
        <w:t xml:space="preserve">A pesquisa empregou dois modelos para explicar a adoção da tarifa zero a partir das variáveis independentes selecionadas. O </w:t>
      </w:r>
      <w:r>
        <w:rPr>
          <w:rFonts w:ascii="Cambria" w:eastAsia="Cambria" w:hAnsi="Cambria" w:cs="Cambria"/>
          <w:b/>
          <w:bCs/>
          <w:color w:val="000000"/>
          <w:sz w:val="21"/>
          <w:szCs w:val="21"/>
        </w:rPr>
        <w:t>Modelo 1</w:t>
      </w:r>
      <w:r>
        <w:rPr>
          <w:rFonts w:ascii="Cambria" w:eastAsia="Cambria" w:hAnsi="Cambria" w:cs="Cambria"/>
          <w:color w:val="000000"/>
          <w:sz w:val="21"/>
          <w:szCs w:val="21"/>
        </w:rPr>
        <w:t xml:space="preserve"> adotou a técnica de Série Temporal Interrompida operacionalizada pela regressão logística segmentada para detectar pontos de inflexão do porte populacional (VI 1) e do percentual de pessoas de baixa renda (VI 2) do município. Esses pontos permitem verificar a partir de qual valor uma correlação muda sua trajetória, ou seja, uma variável independente deixa de afetar positivamente ou negativamente uma variável dependente.</w:t>
      </w:r>
    </w:p>
    <w:p w14:paraId="01975EAA" w14:textId="77777777" w:rsidR="00EB00FA" w:rsidRDefault="00000000">
      <w:pPr>
        <w:pBdr>
          <w:top w:val="nil"/>
          <w:left w:val="nil"/>
          <w:bottom w:val="nil"/>
          <w:right w:val="nil"/>
          <w:between w:val="nil"/>
        </w:pBdr>
        <w:ind w:firstLine="708"/>
        <w:jc w:val="both"/>
        <w:rPr>
          <w:rFonts w:ascii="Cambria" w:eastAsia="Cambria" w:hAnsi="Cambria" w:cs="Cambria"/>
          <w:color w:val="000000"/>
          <w:sz w:val="21"/>
          <w:szCs w:val="21"/>
        </w:rPr>
      </w:pPr>
      <w:r>
        <w:rPr>
          <w:rFonts w:ascii="Cambria" w:eastAsia="Cambria" w:hAnsi="Cambria" w:cs="Cambria"/>
          <w:color w:val="000000"/>
          <w:sz w:val="21"/>
          <w:szCs w:val="21"/>
        </w:rPr>
        <w:t xml:space="preserve">O </w:t>
      </w:r>
      <w:r w:rsidRPr="004411C9">
        <w:rPr>
          <w:rFonts w:ascii="Cambria" w:eastAsia="Cambria" w:hAnsi="Cambria" w:cs="Cambria"/>
          <w:b/>
          <w:bCs/>
          <w:color w:val="000000"/>
          <w:sz w:val="21"/>
          <w:szCs w:val="21"/>
        </w:rPr>
        <w:t xml:space="preserve">Modelo </w:t>
      </w:r>
      <w:r>
        <w:rPr>
          <w:rFonts w:ascii="Cambria" w:eastAsia="Cambria" w:hAnsi="Cambria" w:cs="Cambria"/>
          <w:b/>
          <w:bCs/>
          <w:color w:val="000000"/>
          <w:sz w:val="21"/>
          <w:szCs w:val="21"/>
        </w:rPr>
        <w:t>2</w:t>
      </w:r>
      <w:r>
        <w:rPr>
          <w:rFonts w:ascii="Cambria" w:eastAsia="Cambria" w:hAnsi="Cambria" w:cs="Cambria"/>
          <w:color w:val="000000"/>
          <w:sz w:val="21"/>
          <w:szCs w:val="21"/>
        </w:rPr>
        <w:t xml:space="preserve"> adotou a técnica de Redução de Viés das Estimativas de Máxima Verossimilhança (BRMLE) operacionalizada via regressão logística penalizada de Firth, para estimar os efeitos de todas as variáveis independentes. Nesse modelo, as variáveis população (VI 1) e pessoas de baixa renda (VI 2) foram reformuladas para captar a direção da relação antes e depois dos pontos de inflexão identificados no Modelo1, e se converteram em: população </w:t>
      </w:r>
      <w:proofErr w:type="spellStart"/>
      <w:r>
        <w:rPr>
          <w:rFonts w:ascii="Cambria" w:eastAsia="Cambria" w:hAnsi="Cambria" w:cs="Cambria"/>
          <w:color w:val="000000"/>
          <w:sz w:val="21"/>
          <w:szCs w:val="21"/>
        </w:rPr>
        <w:t>pré</w:t>
      </w:r>
      <w:proofErr w:type="spellEnd"/>
      <w:r>
        <w:rPr>
          <w:rFonts w:ascii="Cambria" w:eastAsia="Cambria" w:hAnsi="Cambria" w:cs="Cambria"/>
          <w:color w:val="000000"/>
          <w:sz w:val="21"/>
          <w:szCs w:val="21"/>
        </w:rPr>
        <w:t xml:space="preserve">-inflexão (VI 1a) e população pós-inflexão (VI 1b); e pessoas de baixa renda </w:t>
      </w:r>
      <w:proofErr w:type="spellStart"/>
      <w:r>
        <w:rPr>
          <w:rFonts w:ascii="Cambria" w:eastAsia="Cambria" w:hAnsi="Cambria" w:cs="Cambria"/>
          <w:color w:val="000000"/>
          <w:sz w:val="21"/>
          <w:szCs w:val="21"/>
        </w:rPr>
        <w:t>pré</w:t>
      </w:r>
      <w:proofErr w:type="spellEnd"/>
      <w:r>
        <w:rPr>
          <w:rFonts w:ascii="Cambria" w:eastAsia="Cambria" w:hAnsi="Cambria" w:cs="Cambria"/>
          <w:color w:val="000000"/>
          <w:sz w:val="21"/>
          <w:szCs w:val="21"/>
        </w:rPr>
        <w:t>-inflexão (VI 2a) e pessoas de baixa renda pós-inflexão (VI 2b). No segundo modelo, dado que temos para a variável dependente 136 municípios que adotaram a tarifa zero (Sim = 1) e 2.393 que não o fizeram (Não = 0), para contornar as limitações inerentes à modelagem de eventos raros, adotou-se a técnica BRMLE no escopo da regressão logística penalizada. Essa abordagem metodológica revela-se estatisticamente mais robusta e adequada para mitigar vieses em cenários de amostras fortemente assimétricas (Hosmer &amp; Lemeshow, 2013; Firth, 1993), conforme:</w:t>
      </w:r>
    </w:p>
    <w:p w14:paraId="27175DBA" w14:textId="77777777" w:rsidR="00EB00FA" w:rsidRDefault="00EB00FA">
      <w:pPr>
        <w:pBdr>
          <w:top w:val="nil"/>
          <w:left w:val="nil"/>
          <w:bottom w:val="nil"/>
          <w:right w:val="nil"/>
          <w:between w:val="nil"/>
        </w:pBdr>
        <w:ind w:firstLine="708"/>
        <w:jc w:val="both"/>
        <w:rPr>
          <w:rFonts w:ascii="Century Gothic" w:eastAsia="Century Gothic" w:hAnsi="Century Gothic" w:cs="Century Gothic"/>
          <w:sz w:val="16"/>
          <w:szCs w:val="16"/>
        </w:rPr>
      </w:pPr>
    </w:p>
    <w:p w14:paraId="4673645D" w14:textId="3A285992" w:rsidR="00EB00FA" w:rsidRDefault="00000000">
      <w:pPr>
        <w:pBdr>
          <w:top w:val="nil"/>
          <w:left w:val="nil"/>
          <w:bottom w:val="nil"/>
          <w:right w:val="nil"/>
          <w:between w:val="nil"/>
        </w:pBdr>
        <w:ind w:firstLine="708"/>
        <w:jc w:val="center"/>
        <w:rPr>
          <w:rFonts w:ascii="Century Gothic" w:eastAsia="Century Gothic" w:hAnsi="Century Gothic" w:cs="Century Gothic"/>
          <w:sz w:val="12"/>
          <w:szCs w:val="12"/>
        </w:rPr>
      </w:pPr>
      <m:oMath>
        <m:r>
          <w:rPr>
            <w:rFonts w:ascii="Cambria Math" w:eastAsia="Cambria Math" w:hAnsi="Cambria Math" w:cs="Cambria Math"/>
            <w:sz w:val="20"/>
            <w:szCs w:val="20"/>
          </w:rPr>
          <m:t>logit</m:t>
        </m:r>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π</m:t>
                </m:r>
              </m:e>
              <m:sub>
                <m:r>
                  <w:rPr>
                    <w:rFonts w:ascii="Cambria Math" w:eastAsia="Cambria Math" w:hAnsi="Cambria Math" w:cs="Cambria Math"/>
                    <w:sz w:val="20"/>
                    <w:szCs w:val="20"/>
                  </w:rPr>
                  <m:t>i</m:t>
                </m:r>
              </m:sub>
            </m:sSub>
          </m:e>
        </m:d>
        <m: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β</m:t>
            </m:r>
          </m:e>
          <m:sub>
            <m:r>
              <w:rPr>
                <w:rFonts w:ascii="Cambria Math" w:eastAsia="Cambria Math" w:hAnsi="Cambria Math" w:cs="Cambria Math"/>
                <w:sz w:val="20"/>
                <w:szCs w:val="20"/>
              </w:rPr>
              <m:t>0</m:t>
            </m:r>
          </m:sub>
        </m:sSub>
        <m: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β</m:t>
            </m:r>
          </m:e>
          <m:sub>
            <m:r>
              <w:rPr>
                <w:rFonts w:ascii="Cambria Math" w:eastAsia="Cambria Math" w:hAnsi="Cambria Math" w:cs="Cambria Math"/>
                <w:sz w:val="20"/>
                <w:szCs w:val="20"/>
              </w:rPr>
              <m:t>1</m:t>
            </m:r>
          </m:sub>
        </m:sSub>
        <m:r>
          <w:rPr>
            <w:rFonts w:ascii="Cambria Math" w:eastAsia="Cambria Math" w:hAnsi="Cambria Math" w:cs="Cambria Math"/>
            <w:sz w:val="20"/>
            <w:szCs w:val="20"/>
          </w:rPr>
          <m:t xml:space="preserve"> </m:t>
        </m:r>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População_pré</m:t>
                </m:r>
              </m:e>
              <m:sub>
                <m:r>
                  <w:rPr>
                    <w:rFonts w:ascii="Cambria Math" w:eastAsia="Cambria Math" w:hAnsi="Cambria Math" w:cs="Cambria Math"/>
                    <w:sz w:val="20"/>
                    <w:szCs w:val="20"/>
                  </w:rPr>
                  <m:t>i(z)</m:t>
                </m:r>
              </m:sub>
            </m:sSub>
          </m:e>
        </m:d>
        <m: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β</m:t>
            </m:r>
          </m:e>
          <m:sub>
            <m:r>
              <w:rPr>
                <w:rFonts w:ascii="Cambria Math" w:eastAsia="Cambria Math" w:hAnsi="Cambria Math" w:cs="Cambria Math"/>
                <w:sz w:val="20"/>
                <w:szCs w:val="20"/>
              </w:rPr>
              <m:t>2</m:t>
            </m:r>
          </m:sub>
        </m:sSub>
        <m:r>
          <w:rPr>
            <w:rFonts w:ascii="Cambria Math" w:eastAsia="Cambria Math" w:hAnsi="Cambria Math" w:cs="Cambria Math"/>
            <w:sz w:val="20"/>
            <w:szCs w:val="20"/>
          </w:rPr>
          <m:t xml:space="preserve"> </m:t>
        </m:r>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População_pós</m:t>
                </m:r>
              </m:e>
              <m:sub>
                <m:r>
                  <w:rPr>
                    <w:rFonts w:ascii="Cambria Math" w:eastAsia="Cambria Math" w:hAnsi="Cambria Math" w:cs="Cambria Math"/>
                    <w:sz w:val="20"/>
                    <w:szCs w:val="20"/>
                  </w:rPr>
                  <m:t>i(z)</m:t>
                </m:r>
              </m:sub>
            </m:sSub>
          </m:e>
        </m:d>
        <m:r>
          <w:rPr>
            <w:rFonts w:ascii="Cambria Math" w:eastAsia="Cambria Math" w:hAnsi="Cambria Math" w:cs="Cambria Math"/>
            <w:sz w:val="20"/>
            <w:szCs w:val="20"/>
          </w:rPr>
          <m:t xml:space="preserve">+ </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β</m:t>
            </m:r>
          </m:e>
          <m:sub>
            <m:r>
              <w:rPr>
                <w:rFonts w:ascii="Cambria Math" w:eastAsia="Cambria Math" w:hAnsi="Cambria Math" w:cs="Cambria Math"/>
                <w:sz w:val="20"/>
                <w:szCs w:val="20"/>
              </w:rPr>
              <m:t>3</m:t>
            </m:r>
          </m:sub>
        </m:sSub>
        <m:r>
          <w:rPr>
            <w:rFonts w:ascii="Cambria Math" w:eastAsia="Cambria Math" w:hAnsi="Cambria Math" w:cs="Cambria Math"/>
            <w:sz w:val="20"/>
            <w:szCs w:val="20"/>
          </w:rPr>
          <m:t xml:space="preserve"> </m:t>
        </m:r>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Taxa_pobreza_pré</m:t>
                </m:r>
              </m:e>
              <m:sub>
                <m:r>
                  <w:rPr>
                    <w:rFonts w:ascii="Cambria Math" w:eastAsia="Cambria Math" w:hAnsi="Cambria Math" w:cs="Cambria Math"/>
                    <w:sz w:val="20"/>
                    <w:szCs w:val="20"/>
                  </w:rPr>
                  <m:t>i(z)</m:t>
                </m:r>
              </m:sub>
            </m:sSub>
          </m:e>
        </m:d>
        <m: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β</m:t>
            </m:r>
          </m:e>
          <m:sub>
            <m:r>
              <w:rPr>
                <w:rFonts w:ascii="Cambria Math" w:eastAsia="Cambria Math" w:hAnsi="Cambria Math" w:cs="Cambria Math"/>
                <w:sz w:val="20"/>
                <w:szCs w:val="20"/>
              </w:rPr>
              <m:t>4</m:t>
            </m:r>
          </m:sub>
        </m:sSub>
        <m:r>
          <w:rPr>
            <w:rFonts w:ascii="Cambria Math" w:eastAsia="Cambria Math" w:hAnsi="Cambria Math" w:cs="Cambria Math"/>
            <w:sz w:val="20"/>
            <w:szCs w:val="20"/>
          </w:rPr>
          <m:t xml:space="preserve"> </m:t>
        </m:r>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Taxa_pobreza_pós</m:t>
                </m:r>
              </m:e>
              <m:sub>
                <m:r>
                  <w:rPr>
                    <w:rFonts w:ascii="Cambria Math" w:eastAsia="Cambria Math" w:hAnsi="Cambria Math" w:cs="Cambria Math"/>
                    <w:sz w:val="20"/>
                    <w:szCs w:val="20"/>
                  </w:rPr>
                  <m:t>i(z)</m:t>
                </m:r>
              </m:sub>
            </m:sSub>
          </m:e>
        </m:d>
        <m: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β</m:t>
            </m:r>
          </m:e>
          <m:sub>
            <m:r>
              <w:rPr>
                <w:rFonts w:ascii="Cambria Math" w:eastAsia="Cambria Math" w:hAnsi="Cambria Math" w:cs="Cambria Math"/>
                <w:sz w:val="20"/>
                <w:szCs w:val="20"/>
              </w:rPr>
              <m:t>5</m:t>
            </m:r>
          </m:sub>
        </m:sSub>
        <m:r>
          <w:rPr>
            <w:rFonts w:ascii="Cambria Math" w:eastAsia="Cambria Math" w:hAnsi="Cambria Math" w:cs="Cambria Math"/>
            <w:sz w:val="20"/>
            <w:szCs w:val="20"/>
          </w:rPr>
          <m:t xml:space="preserve"> </m:t>
        </m:r>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PIB_percapita</m:t>
                </m:r>
              </m:e>
              <m:sub>
                <m:r>
                  <w:rPr>
                    <w:rFonts w:ascii="Cambria Math" w:eastAsia="Cambria Math" w:hAnsi="Cambria Math" w:cs="Cambria Math"/>
                    <w:sz w:val="20"/>
                    <w:szCs w:val="20"/>
                  </w:rPr>
                  <m:t>i</m:t>
                </m:r>
                <m:d>
                  <m:dPr>
                    <m:ctrlPr>
                      <w:rPr>
                        <w:rFonts w:ascii="Cambria Math" w:eastAsia="Cambria Math" w:hAnsi="Cambria Math" w:cs="Cambria Math"/>
                        <w:sz w:val="20"/>
                        <w:szCs w:val="20"/>
                      </w:rPr>
                    </m:ctrlPr>
                  </m:dPr>
                  <m:e>
                    <m:r>
                      <w:rPr>
                        <w:rFonts w:ascii="Cambria Math" w:eastAsia="Cambria Math" w:hAnsi="Cambria Math" w:cs="Cambria Math"/>
                        <w:sz w:val="20"/>
                        <w:szCs w:val="20"/>
                      </w:rPr>
                      <m:t>z</m:t>
                    </m:r>
                  </m:e>
                </m:d>
              </m:sub>
            </m:sSub>
          </m:e>
        </m:d>
        <m:r>
          <w:rPr>
            <w:rFonts w:ascii="Cambria Math" w:eastAsia="Cambria Math" w:hAnsi="Cambria Math" w:cs="Cambria Math"/>
            <w:sz w:val="20"/>
            <w:szCs w:val="20"/>
          </w:rPr>
          <m:t xml:space="preserve">+ </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β</m:t>
            </m:r>
          </m:e>
          <m:sub>
            <m:r>
              <w:rPr>
                <w:rFonts w:ascii="Cambria Math" w:eastAsia="Cambria Math" w:hAnsi="Cambria Math" w:cs="Cambria Math"/>
                <w:sz w:val="20"/>
                <w:szCs w:val="20"/>
              </w:rPr>
              <m:t>6</m:t>
            </m:r>
          </m:sub>
        </m:sSub>
        <m:r>
          <w:rPr>
            <w:rFonts w:ascii="Cambria Math" w:eastAsia="Cambria Math" w:hAnsi="Cambria Math" w:cs="Cambria Math"/>
            <w:sz w:val="20"/>
            <w:szCs w:val="20"/>
          </w:rPr>
          <m:t xml:space="preserve"> </m:t>
        </m:r>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IFGF</m:t>
                </m:r>
              </m:e>
              <m:sub>
                <m:r>
                  <w:rPr>
                    <w:rFonts w:ascii="Cambria Math" w:eastAsia="Cambria Math" w:hAnsi="Cambria Math" w:cs="Cambria Math"/>
                    <w:sz w:val="20"/>
                    <w:szCs w:val="20"/>
                  </w:rPr>
                  <m:t>i</m:t>
                </m:r>
                <m:d>
                  <m:dPr>
                    <m:ctrlPr>
                      <w:rPr>
                        <w:rFonts w:ascii="Cambria Math" w:eastAsia="Cambria Math" w:hAnsi="Cambria Math" w:cs="Cambria Math"/>
                        <w:sz w:val="20"/>
                        <w:szCs w:val="20"/>
                      </w:rPr>
                    </m:ctrlPr>
                  </m:dPr>
                  <m:e>
                    <m:r>
                      <w:rPr>
                        <w:rFonts w:ascii="Cambria Math" w:eastAsia="Cambria Math" w:hAnsi="Cambria Math" w:cs="Cambria Math"/>
                        <w:sz w:val="20"/>
                        <w:szCs w:val="20"/>
                      </w:rPr>
                      <m:t>z</m:t>
                    </m:r>
                  </m:e>
                </m:d>
              </m:sub>
            </m:sSub>
            <m:r>
              <w:rPr>
                <w:rFonts w:ascii="Cambria Math" w:eastAsia="Cambria Math" w:hAnsi="Cambria Math" w:cs="Cambria Math"/>
                <w:sz w:val="20"/>
                <w:szCs w:val="20"/>
              </w:rPr>
              <m:t>*10</m:t>
            </m:r>
          </m:e>
        </m:d>
        <m:r>
          <w:rPr>
            <w:rFonts w:ascii="Cambria Math" w:eastAsia="Cambria Math" w:hAnsi="Cambria Math" w:cs="Cambria Math"/>
            <w:sz w:val="20"/>
            <w:szCs w:val="20"/>
          </w:rPr>
          <m:t xml:space="preserve">+ </m:t>
        </m:r>
        <m:nary>
          <m:naryPr>
            <m:chr m:val="∑"/>
            <m:ctrlPr>
              <w:rPr>
                <w:rFonts w:ascii="Cambria Math" w:eastAsia="Cambria Math" w:hAnsi="Cambria Math" w:cs="Cambria Math"/>
                <w:sz w:val="20"/>
                <w:szCs w:val="20"/>
              </w:rPr>
            </m:ctrlPr>
          </m:naryPr>
          <m:sub>
            <m:r>
              <w:rPr>
                <w:rFonts w:ascii="Cambria Math" w:eastAsia="Cambria Math" w:hAnsi="Cambria Math" w:cs="Cambria Math"/>
                <w:sz w:val="20"/>
                <w:szCs w:val="20"/>
              </w:rPr>
              <m:t>k=1</m:t>
            </m:r>
          </m:sub>
          <m:sup>
            <m:r>
              <w:rPr>
                <w:rFonts w:ascii="Cambria Math" w:eastAsia="Cambria Math" w:hAnsi="Cambria Math" w:cs="Cambria Math"/>
                <w:sz w:val="20"/>
                <w:szCs w:val="20"/>
              </w:rPr>
              <m:t>n</m:t>
            </m:r>
          </m:sup>
          <m:e>
            <m:r>
              <w:rPr>
                <w:rFonts w:ascii="Cambria Math" w:eastAsia="Cambria Math" w:hAnsi="Cambria Math" w:cs="Cambria Math"/>
                <w:sz w:val="20"/>
                <w:szCs w:val="20"/>
              </w:rPr>
              <m:t xml:space="preserve">σk </m:t>
            </m:r>
          </m:e>
        </m:nary>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(Região</m:t>
            </m:r>
          </m:e>
          <m:sub>
            <m:r>
              <w:rPr>
                <w:rFonts w:ascii="Cambria Math" w:eastAsia="Cambria Math" w:hAnsi="Cambria Math" w:cs="Cambria Math"/>
                <w:sz w:val="20"/>
                <w:szCs w:val="20"/>
              </w:rPr>
              <m:t>ik</m:t>
            </m:r>
          </m:sub>
        </m:sSub>
        <m:r>
          <w:rPr>
            <w:rFonts w:ascii="Cambria Math" w:eastAsia="Cambria Math" w:hAnsi="Cambria Math" w:cs="Cambria Math"/>
            <w:sz w:val="20"/>
            <w:szCs w:val="20"/>
          </w:rPr>
          <m:t>)+ ε</m:t>
        </m:r>
      </m:oMath>
      <w:r>
        <w:rPr>
          <w:rFonts w:ascii="Century Gothic" w:eastAsia="Century Gothic" w:hAnsi="Century Gothic" w:cs="Century Gothic"/>
          <w:sz w:val="12"/>
          <w:szCs w:val="12"/>
        </w:rPr>
        <w:t xml:space="preserve"> </w:t>
      </w:r>
    </w:p>
    <w:p w14:paraId="53DE272D" w14:textId="77777777" w:rsidR="00EB00FA" w:rsidRDefault="00EB00FA">
      <w:pPr>
        <w:pBdr>
          <w:top w:val="nil"/>
          <w:left w:val="nil"/>
          <w:bottom w:val="nil"/>
          <w:right w:val="nil"/>
          <w:between w:val="nil"/>
        </w:pBdr>
        <w:jc w:val="center"/>
        <w:rPr>
          <w:rFonts w:ascii="Cambria" w:eastAsia="Cambria" w:hAnsi="Cambria" w:cs="Cambria"/>
          <w:color w:val="000000"/>
          <w:sz w:val="20"/>
          <w:szCs w:val="20"/>
        </w:rPr>
      </w:pPr>
    </w:p>
    <w:p w14:paraId="0C91D459" w14:textId="648E72A9" w:rsidR="00EB00FA" w:rsidRDefault="00000000">
      <w:pPr>
        <w:ind w:firstLine="708"/>
        <w:jc w:val="both"/>
        <w:rPr>
          <w:rFonts w:ascii="Cambria" w:eastAsia="Cambria" w:hAnsi="Cambria" w:cs="Cambria"/>
          <w:sz w:val="21"/>
          <w:szCs w:val="21"/>
        </w:rPr>
      </w:pPr>
      <w:r>
        <w:rPr>
          <w:rFonts w:ascii="Cambria" w:eastAsia="Cambria" w:hAnsi="Cambria" w:cs="Cambria"/>
          <w:sz w:val="21"/>
          <w:szCs w:val="21"/>
        </w:rPr>
        <w:t xml:space="preserve">Nesta formulação, </w:t>
      </w:r>
      <m:oMath>
        <m:sSub>
          <m:sSubPr>
            <m:ctrlPr>
              <w:rPr>
                <w:rFonts w:ascii="Cambria Math" w:eastAsia="Cambria Math" w:hAnsi="Cambria Math" w:cs="Cambria Math"/>
                <w:sz w:val="21"/>
                <w:szCs w:val="21"/>
              </w:rPr>
            </m:ctrlPr>
          </m:sSubPr>
          <m:e>
            <m:r>
              <w:rPr>
                <w:rFonts w:ascii="Cambria Math" w:hAnsi="Cambria Math"/>
              </w:rPr>
              <m:t>π</m:t>
            </m:r>
          </m:e>
          <m:sub>
            <m:r>
              <w:rPr>
                <w:rFonts w:ascii="Cambria Math" w:eastAsia="Cambria Math" w:hAnsi="Cambria Math" w:cs="Cambria Math"/>
                <w:sz w:val="21"/>
                <w:szCs w:val="21"/>
              </w:rPr>
              <m:t>i</m:t>
            </m:r>
          </m:sub>
        </m:sSub>
        <m:r>
          <w:rPr>
            <w:rFonts w:ascii="Cambria Math" w:eastAsia="Cambria Math" w:hAnsi="Cambria Math" w:cs="Cambria Math"/>
            <w:sz w:val="21"/>
            <w:szCs w:val="21"/>
          </w:rPr>
          <m:t xml:space="preserve"> </m:t>
        </m:r>
      </m:oMath>
      <w:r>
        <w:rPr>
          <w:rFonts w:ascii="Cambria" w:eastAsia="Cambria" w:hAnsi="Cambria" w:cs="Cambria"/>
          <w:sz w:val="21"/>
          <w:szCs w:val="21"/>
        </w:rPr>
        <w:t xml:space="preserve">representa a probabilidade do evento, </w:t>
      </w:r>
      <m:oMath>
        <m:sSub>
          <m:sSubPr>
            <m:ctrlPr>
              <w:rPr>
                <w:rFonts w:ascii="Cambria Math" w:eastAsia="Cambria Math" w:hAnsi="Cambria Math" w:cs="Cambria Math"/>
                <w:sz w:val="21"/>
                <w:szCs w:val="21"/>
              </w:rPr>
            </m:ctrlPr>
          </m:sSubPr>
          <m:e>
            <m:r>
              <w:rPr>
                <w:rFonts w:ascii="Cambria Math" w:hAnsi="Cambria Math"/>
              </w:rPr>
              <m:t>β</m:t>
            </m:r>
          </m:e>
          <m:sub>
            <m:r>
              <w:rPr>
                <w:rFonts w:ascii="Cambria Math" w:eastAsia="Cambria Math" w:hAnsi="Cambria Math" w:cs="Cambria Math"/>
                <w:sz w:val="21"/>
                <w:szCs w:val="21"/>
              </w:rPr>
              <m:t>0</m:t>
            </m:r>
          </m:sub>
        </m:sSub>
        <m:r>
          <w:rPr>
            <w:rFonts w:ascii="Cambria Math" w:eastAsia="Cambria Math" w:hAnsi="Cambria Math" w:cs="Cambria Math"/>
            <w:sz w:val="21"/>
            <w:szCs w:val="21"/>
          </w:rPr>
          <m:t xml:space="preserve"> </m:t>
        </m:r>
      </m:oMath>
      <w:r>
        <w:rPr>
          <w:rFonts w:ascii="Cambria" w:eastAsia="Cambria" w:hAnsi="Cambria" w:cs="Cambria"/>
          <w:sz w:val="21"/>
          <w:szCs w:val="21"/>
        </w:rPr>
        <w:t xml:space="preserve">é o intercepto da regressão, e os parâmetros de </w:t>
      </w:r>
      <m:oMath>
        <m:sSub>
          <m:sSubPr>
            <m:ctrlPr>
              <w:rPr>
                <w:rFonts w:ascii="Cambria Math" w:eastAsia="Cambria Math" w:hAnsi="Cambria Math" w:cs="Cambria Math"/>
                <w:sz w:val="21"/>
                <w:szCs w:val="21"/>
              </w:rPr>
            </m:ctrlPr>
          </m:sSubPr>
          <m:e>
            <m:r>
              <w:rPr>
                <w:rFonts w:ascii="Cambria Math" w:hAnsi="Cambria Math"/>
              </w:rPr>
              <m:t>β</m:t>
            </m:r>
          </m:e>
          <m:sub>
            <m:r>
              <w:rPr>
                <w:rFonts w:ascii="Cambria Math" w:eastAsia="Cambria Math" w:hAnsi="Cambria Math" w:cs="Cambria Math"/>
                <w:sz w:val="21"/>
                <w:szCs w:val="21"/>
              </w:rPr>
              <m:t>1</m:t>
            </m:r>
          </m:sub>
        </m:sSub>
        <m:r>
          <w:rPr>
            <w:rFonts w:ascii="Cambria Math" w:eastAsia="Cambria Math" w:hAnsi="Cambria Math" w:cs="Cambria Math"/>
            <w:sz w:val="21"/>
            <w:szCs w:val="21"/>
          </w:rPr>
          <m:t xml:space="preserve"> a </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β</m:t>
            </m:r>
          </m:e>
          <m:sub>
            <m:r>
              <w:rPr>
                <w:rFonts w:ascii="Cambria Math" w:eastAsia="Cambria Math" w:hAnsi="Cambria Math" w:cs="Cambria Math"/>
                <w:sz w:val="21"/>
                <w:szCs w:val="21"/>
              </w:rPr>
              <m:t>6</m:t>
            </m:r>
          </m:sub>
        </m:sSub>
      </m:oMath>
      <w:r>
        <w:rPr>
          <w:rFonts w:ascii="Cambria" w:eastAsia="Cambria" w:hAnsi="Cambria" w:cs="Cambria"/>
          <w:sz w:val="21"/>
          <w:szCs w:val="21"/>
        </w:rPr>
        <w:t xml:space="preserve"> são os coeficientes que mensuram a relação entre cada variável independente e a variável dependente. Adicionalmente, </w:t>
      </w:r>
      <m:oMath>
        <m:nary>
          <m:naryPr>
            <m:chr m:val="∑"/>
            <m:ctrlPr>
              <w:rPr>
                <w:rFonts w:ascii="Cambria Math" w:eastAsia="Cambria Math" w:hAnsi="Cambria Math" w:cs="Cambria Math"/>
                <w:sz w:val="21"/>
                <w:szCs w:val="21"/>
              </w:rPr>
            </m:ctrlPr>
          </m:naryPr>
          <m:sub>
            <m:r>
              <w:rPr>
                <w:rFonts w:ascii="Cambria Math" w:eastAsia="Cambria Math" w:hAnsi="Cambria Math" w:cs="Cambria Math"/>
                <w:sz w:val="21"/>
                <w:szCs w:val="21"/>
              </w:rPr>
              <m:t>k=1</m:t>
            </m:r>
          </m:sub>
          <m:sup>
            <m:r>
              <w:rPr>
                <w:rFonts w:ascii="Cambria Math" w:eastAsia="Cambria Math" w:hAnsi="Cambria Math" w:cs="Cambria Math"/>
                <w:sz w:val="21"/>
                <w:szCs w:val="21"/>
              </w:rPr>
              <m:t>n</m:t>
            </m:r>
          </m:sup>
          <m:e>
            <m:r>
              <w:rPr>
                <w:rFonts w:ascii="Cambria Math" w:eastAsia="Cambria Math" w:hAnsi="Cambria Math" w:cs="Cambria Math"/>
                <w:sz w:val="21"/>
                <w:szCs w:val="21"/>
              </w:rPr>
              <m:t xml:space="preserve">σk </m:t>
            </m:r>
          </m:e>
        </m:nary>
      </m:oMath>
      <w:r>
        <w:rPr>
          <w:rFonts w:ascii="Cambria" w:eastAsia="Cambria" w:hAnsi="Cambria" w:cs="Cambria"/>
          <w:sz w:val="21"/>
          <w:szCs w:val="21"/>
        </w:rPr>
        <w:t xml:space="preserve">atua como variável de controle, comparando a probabilidade de um município na região k em relação a uma região-base de referência (região Norte) e </w:t>
      </w:r>
      <m:oMath>
        <m:r>
          <w:rPr>
            <w:rFonts w:ascii="Cambria Math" w:hAnsi="Cambria Math"/>
          </w:rPr>
          <m:t>ε</m:t>
        </m:r>
      </m:oMath>
      <w:r>
        <w:rPr>
          <w:rFonts w:ascii="Cambria" w:eastAsia="Cambria" w:hAnsi="Cambria" w:cs="Cambria"/>
          <w:sz w:val="21"/>
          <w:szCs w:val="21"/>
        </w:rPr>
        <w:t xml:space="preserve"> é o termo de erro associado à heterogeneidade não observada.</w:t>
      </w:r>
    </w:p>
    <w:p w14:paraId="518C1C7E" w14:textId="77777777" w:rsidR="00EB00FA" w:rsidRDefault="00EB00FA">
      <w:pPr>
        <w:jc w:val="both"/>
        <w:rPr>
          <w:rFonts w:ascii="Cambria" w:eastAsia="Cambria" w:hAnsi="Cambria" w:cs="Cambria"/>
          <w:sz w:val="21"/>
          <w:szCs w:val="21"/>
        </w:rPr>
      </w:pPr>
    </w:p>
    <w:p w14:paraId="072DF687" w14:textId="77777777" w:rsidR="00EB00FA" w:rsidRDefault="00000000">
      <w:pPr>
        <w:jc w:val="both"/>
        <w:rPr>
          <w:rFonts w:ascii="Century Gothic" w:eastAsia="Century Gothic" w:hAnsi="Century Gothic" w:cs="Century Gothic"/>
          <w:b/>
          <w:bCs/>
          <w:sz w:val="22"/>
          <w:szCs w:val="22"/>
        </w:rPr>
      </w:pPr>
      <w:r>
        <w:rPr>
          <w:rFonts w:ascii="Century Gothic" w:eastAsia="Century Gothic" w:hAnsi="Century Gothic" w:cs="Century Gothic"/>
          <w:b/>
          <w:bCs/>
          <w:sz w:val="22"/>
          <w:szCs w:val="22"/>
        </w:rPr>
        <w:t>3.2 Resultados</w:t>
      </w:r>
    </w:p>
    <w:p w14:paraId="095749FA" w14:textId="77777777" w:rsidR="00EB00FA" w:rsidRDefault="00EB00FA">
      <w:pPr>
        <w:jc w:val="both"/>
        <w:rPr>
          <w:rFonts w:ascii="Century Gothic" w:eastAsia="Century Gothic" w:hAnsi="Century Gothic" w:cs="Century Gothic"/>
          <w:b/>
          <w:bCs/>
          <w:sz w:val="21"/>
          <w:szCs w:val="21"/>
        </w:rPr>
      </w:pPr>
    </w:p>
    <w:p w14:paraId="74BDA062" w14:textId="77777777" w:rsidR="00EB00FA" w:rsidRDefault="00000000">
      <w:pPr>
        <w:jc w:val="both"/>
        <w:rPr>
          <w:rFonts w:ascii="Century Gothic" w:eastAsia="Century Gothic" w:hAnsi="Century Gothic" w:cs="Century Gothic"/>
          <w:b/>
          <w:bCs/>
          <w:sz w:val="22"/>
          <w:szCs w:val="22"/>
        </w:rPr>
      </w:pPr>
      <w:r>
        <w:rPr>
          <w:rFonts w:ascii="Century Gothic" w:eastAsia="Century Gothic" w:hAnsi="Century Gothic" w:cs="Century Gothic"/>
          <w:b/>
          <w:bCs/>
          <w:sz w:val="22"/>
          <w:szCs w:val="22"/>
        </w:rPr>
        <w:t>3.2.1 Resultados diagnósticos</w:t>
      </w:r>
    </w:p>
    <w:p w14:paraId="29BEC205" w14:textId="77777777" w:rsidR="00EB00FA" w:rsidRDefault="00EB00FA">
      <w:pPr>
        <w:jc w:val="both"/>
        <w:rPr>
          <w:rFonts w:ascii="Cambria" w:eastAsia="Cambria" w:hAnsi="Cambria" w:cs="Cambria"/>
          <w:sz w:val="21"/>
          <w:szCs w:val="21"/>
        </w:rPr>
      </w:pPr>
    </w:p>
    <w:p w14:paraId="1625FB62" w14:textId="77777777" w:rsidR="00EB00FA" w:rsidRDefault="00000000">
      <w:pPr>
        <w:ind w:firstLine="708"/>
        <w:jc w:val="both"/>
        <w:rPr>
          <w:rFonts w:ascii="Cambria" w:eastAsia="Cambria" w:hAnsi="Cambria" w:cs="Cambria"/>
          <w:sz w:val="21"/>
          <w:szCs w:val="21"/>
        </w:rPr>
      </w:pPr>
      <w:r>
        <w:rPr>
          <w:rFonts w:ascii="Cambria" w:eastAsia="Cambria" w:hAnsi="Cambria" w:cs="Cambria"/>
          <w:sz w:val="21"/>
          <w:szCs w:val="21"/>
        </w:rPr>
        <w:t>A Tabela 3 apresenta os resultados diagnósticos das variáveis independentes selecionadas para a pesquisa. Com o fito de compreender as especificidades da política de gratuidade, os dados foram estratificados em dois grupos: o universo de municípios com transporte público organizado (N = 2.529) e o subgrupo específico de municípios que adotaram a tarifa zero (N = 136).</w:t>
      </w:r>
    </w:p>
    <w:p w14:paraId="4A298F9B" w14:textId="77777777" w:rsidR="00EB00FA" w:rsidRDefault="00000000">
      <w:pPr>
        <w:keepNext/>
        <w:pBdr>
          <w:top w:val="nil"/>
          <w:left w:val="nil"/>
          <w:bottom w:val="nil"/>
          <w:right w:val="nil"/>
          <w:between w:val="nil"/>
        </w:pBdr>
        <w:spacing w:before="240" w:after="60" w:line="288" w:lineRule="auto"/>
        <w:jc w:val="center"/>
        <w:rPr>
          <w:rFonts w:ascii="Century Gothic" w:eastAsia="Century Gothic" w:hAnsi="Century Gothic" w:cs="Century Gothic"/>
          <w:color w:val="000000"/>
          <w:sz w:val="18"/>
          <w:szCs w:val="18"/>
        </w:rPr>
      </w:pPr>
      <w:r>
        <w:rPr>
          <w:rFonts w:ascii="Century Gothic" w:eastAsia="Century Gothic" w:hAnsi="Century Gothic" w:cs="Century Gothic"/>
          <w:b/>
          <w:bCs/>
          <w:color w:val="000000"/>
          <w:sz w:val="18"/>
          <w:szCs w:val="18"/>
        </w:rPr>
        <w:t>Tabela 3</w:t>
      </w:r>
      <w:r>
        <w:rPr>
          <w:rFonts w:ascii="Century Gothic" w:eastAsia="Century Gothic" w:hAnsi="Century Gothic" w:cs="Century Gothic"/>
          <w:color w:val="000000"/>
          <w:sz w:val="18"/>
          <w:szCs w:val="18"/>
        </w:rPr>
        <w:t xml:space="preserve"> </w:t>
      </w:r>
      <w:r>
        <w:rPr>
          <w:rFonts w:ascii="Century Gothic" w:eastAsia="Century Gothic" w:hAnsi="Century Gothic" w:cs="Century Gothic"/>
          <w:b/>
          <w:bCs/>
          <w:color w:val="000000"/>
          <w:sz w:val="18"/>
          <w:szCs w:val="18"/>
        </w:rPr>
        <w:t>-</w:t>
      </w:r>
      <w:r>
        <w:rPr>
          <w:rFonts w:ascii="Century Gothic" w:eastAsia="Century Gothic" w:hAnsi="Century Gothic" w:cs="Century Gothic"/>
          <w:color w:val="000000"/>
          <w:sz w:val="18"/>
          <w:szCs w:val="18"/>
        </w:rPr>
        <w:t xml:space="preserve"> Estatísticas diagnósticas das variáveis independentes (2013)</w:t>
      </w:r>
    </w:p>
    <w:tbl>
      <w:tblPr>
        <w:tblStyle w:val="a1"/>
        <w:tblW w:w="9071" w:type="dxa"/>
        <w:tblInd w:w="0" w:type="dxa"/>
        <w:tblLayout w:type="fixed"/>
        <w:tblLook w:val="0000" w:firstRow="0" w:lastRow="0" w:firstColumn="0" w:lastColumn="0" w:noHBand="0" w:noVBand="0"/>
      </w:tblPr>
      <w:tblGrid>
        <w:gridCol w:w="358"/>
        <w:gridCol w:w="1244"/>
        <w:gridCol w:w="1245"/>
        <w:gridCol w:w="1245"/>
        <w:gridCol w:w="1244"/>
        <w:gridCol w:w="1245"/>
        <w:gridCol w:w="1245"/>
        <w:gridCol w:w="1245"/>
      </w:tblGrid>
      <w:tr w:rsidR="00EB00FA" w14:paraId="06136FAA" w14:textId="77777777">
        <w:tc>
          <w:tcPr>
            <w:tcW w:w="358" w:type="dxa"/>
            <w:tcBorders>
              <w:top w:val="single" w:sz="4" w:space="0" w:color="000000"/>
              <w:bottom w:val="single" w:sz="4" w:space="0" w:color="000000"/>
            </w:tcBorders>
            <w:tcMar>
              <w:top w:w="0" w:type="dxa"/>
              <w:left w:w="108" w:type="dxa"/>
              <w:bottom w:w="0" w:type="dxa"/>
              <w:right w:w="108" w:type="dxa"/>
            </w:tcMar>
          </w:tcPr>
          <w:p w14:paraId="3776FF35" w14:textId="77777777" w:rsidR="00EB00FA" w:rsidRDefault="00000000">
            <w:pPr>
              <w:pBdr>
                <w:top w:val="nil"/>
                <w:left w:val="nil"/>
                <w:bottom w:val="nil"/>
                <w:right w:val="nil"/>
                <w:between w:val="nil"/>
              </w:pBdr>
              <w:tabs>
                <w:tab w:val="left" w:pos="706"/>
              </w:tabs>
              <w:spacing w:after="40"/>
              <w:jc w:val="center"/>
              <w:rPr>
                <w:rFonts w:ascii="Century Gothic" w:eastAsia="Century Gothic" w:hAnsi="Century Gothic" w:cs="Century Gothic"/>
                <w:b/>
                <w:bCs/>
                <w:color w:val="000000"/>
                <w:sz w:val="17"/>
                <w:szCs w:val="17"/>
              </w:rPr>
            </w:pPr>
            <w:r>
              <w:rPr>
                <w:rFonts w:ascii="Century Gothic" w:eastAsia="Century Gothic" w:hAnsi="Century Gothic" w:cs="Century Gothic"/>
                <w:b/>
                <w:bCs/>
                <w:color w:val="000000"/>
                <w:sz w:val="17"/>
                <w:szCs w:val="17"/>
              </w:rPr>
              <w:t>VI</w:t>
            </w:r>
          </w:p>
        </w:tc>
        <w:tc>
          <w:tcPr>
            <w:tcW w:w="1244" w:type="dxa"/>
            <w:tcBorders>
              <w:top w:val="single" w:sz="4" w:space="0" w:color="000000"/>
              <w:bottom w:val="single" w:sz="4" w:space="0" w:color="000000"/>
            </w:tcBorders>
            <w:tcMar>
              <w:top w:w="0" w:type="dxa"/>
              <w:left w:w="108" w:type="dxa"/>
              <w:bottom w:w="0" w:type="dxa"/>
              <w:right w:w="108" w:type="dxa"/>
            </w:tcMar>
          </w:tcPr>
          <w:p w14:paraId="6B295C2F" w14:textId="77777777" w:rsidR="00EB00FA" w:rsidRDefault="00000000">
            <w:pPr>
              <w:pBdr>
                <w:top w:val="nil"/>
                <w:left w:val="nil"/>
                <w:bottom w:val="nil"/>
                <w:right w:val="nil"/>
                <w:between w:val="nil"/>
              </w:pBdr>
              <w:tabs>
                <w:tab w:val="left" w:pos="706"/>
              </w:tabs>
              <w:spacing w:after="40"/>
              <w:jc w:val="center"/>
              <w:rPr>
                <w:rFonts w:ascii="Century Gothic" w:eastAsia="Century Gothic" w:hAnsi="Century Gothic" w:cs="Century Gothic"/>
                <w:b/>
                <w:bCs/>
                <w:color w:val="000000"/>
                <w:sz w:val="17"/>
                <w:szCs w:val="17"/>
              </w:rPr>
            </w:pPr>
            <w:r>
              <w:rPr>
                <w:rFonts w:ascii="Century Gothic" w:eastAsia="Century Gothic" w:hAnsi="Century Gothic" w:cs="Century Gothic"/>
                <w:b/>
                <w:bCs/>
                <w:color w:val="000000"/>
                <w:sz w:val="17"/>
                <w:szCs w:val="17"/>
              </w:rPr>
              <w:t>GRUPO</w:t>
            </w:r>
          </w:p>
        </w:tc>
        <w:tc>
          <w:tcPr>
            <w:tcW w:w="1245" w:type="dxa"/>
            <w:tcBorders>
              <w:top w:val="single" w:sz="4" w:space="0" w:color="000000"/>
              <w:bottom w:val="single" w:sz="4" w:space="0" w:color="000000"/>
            </w:tcBorders>
          </w:tcPr>
          <w:p w14:paraId="2CC25F4D" w14:textId="77777777" w:rsidR="00EB00FA" w:rsidRDefault="00000000">
            <w:pPr>
              <w:pBdr>
                <w:top w:val="nil"/>
                <w:left w:val="nil"/>
                <w:bottom w:val="nil"/>
                <w:right w:val="nil"/>
                <w:between w:val="nil"/>
              </w:pBdr>
              <w:tabs>
                <w:tab w:val="left" w:pos="706"/>
              </w:tabs>
              <w:spacing w:after="40"/>
              <w:jc w:val="center"/>
              <w:rPr>
                <w:rFonts w:ascii="Century Gothic" w:eastAsia="Century Gothic" w:hAnsi="Century Gothic" w:cs="Century Gothic"/>
                <w:b/>
                <w:bCs/>
                <w:color w:val="000000"/>
                <w:sz w:val="17"/>
                <w:szCs w:val="17"/>
              </w:rPr>
            </w:pPr>
            <w:r>
              <w:rPr>
                <w:rFonts w:ascii="Century Gothic" w:eastAsia="Century Gothic" w:hAnsi="Century Gothic" w:cs="Century Gothic"/>
                <w:b/>
                <w:bCs/>
                <w:color w:val="000000"/>
                <w:sz w:val="17"/>
                <w:szCs w:val="17"/>
              </w:rPr>
              <w:t>MINÍMO</w:t>
            </w:r>
          </w:p>
        </w:tc>
        <w:tc>
          <w:tcPr>
            <w:tcW w:w="1245" w:type="dxa"/>
            <w:tcBorders>
              <w:top w:val="single" w:sz="4" w:space="0" w:color="000000"/>
              <w:bottom w:val="single" w:sz="4" w:space="0" w:color="000000"/>
            </w:tcBorders>
            <w:tcMar>
              <w:top w:w="0" w:type="dxa"/>
              <w:left w:w="108" w:type="dxa"/>
              <w:bottom w:w="0" w:type="dxa"/>
              <w:right w:w="108" w:type="dxa"/>
            </w:tcMar>
          </w:tcPr>
          <w:p w14:paraId="37CED9ED" w14:textId="77777777" w:rsidR="00EB00FA" w:rsidRDefault="00000000">
            <w:pPr>
              <w:pBdr>
                <w:top w:val="nil"/>
                <w:left w:val="nil"/>
                <w:bottom w:val="nil"/>
                <w:right w:val="nil"/>
                <w:between w:val="nil"/>
              </w:pBdr>
              <w:tabs>
                <w:tab w:val="left" w:pos="706"/>
              </w:tabs>
              <w:spacing w:after="40"/>
              <w:jc w:val="center"/>
              <w:rPr>
                <w:rFonts w:ascii="Century Gothic" w:eastAsia="Century Gothic" w:hAnsi="Century Gothic" w:cs="Century Gothic"/>
                <w:b/>
                <w:bCs/>
                <w:color w:val="000000"/>
                <w:sz w:val="17"/>
                <w:szCs w:val="17"/>
              </w:rPr>
            </w:pPr>
            <w:r>
              <w:rPr>
                <w:rFonts w:ascii="Century Gothic" w:eastAsia="Century Gothic" w:hAnsi="Century Gothic" w:cs="Century Gothic"/>
                <w:b/>
                <w:bCs/>
                <w:color w:val="000000"/>
                <w:sz w:val="17"/>
                <w:szCs w:val="17"/>
              </w:rPr>
              <w:t>MÁXIMO</w:t>
            </w:r>
          </w:p>
        </w:tc>
        <w:tc>
          <w:tcPr>
            <w:tcW w:w="1244" w:type="dxa"/>
            <w:tcBorders>
              <w:top w:val="single" w:sz="4" w:space="0" w:color="000000"/>
              <w:bottom w:val="single" w:sz="4" w:space="0" w:color="000000"/>
            </w:tcBorders>
          </w:tcPr>
          <w:p w14:paraId="158B217B" w14:textId="77777777" w:rsidR="00EB00FA" w:rsidRDefault="00000000">
            <w:pPr>
              <w:pBdr>
                <w:top w:val="nil"/>
                <w:left w:val="nil"/>
                <w:bottom w:val="nil"/>
                <w:right w:val="nil"/>
                <w:between w:val="nil"/>
              </w:pBdr>
              <w:tabs>
                <w:tab w:val="left" w:pos="706"/>
              </w:tabs>
              <w:spacing w:after="40"/>
              <w:jc w:val="center"/>
              <w:rPr>
                <w:rFonts w:ascii="Century Gothic" w:eastAsia="Century Gothic" w:hAnsi="Century Gothic" w:cs="Century Gothic"/>
                <w:b/>
                <w:bCs/>
                <w:color w:val="000000"/>
                <w:sz w:val="17"/>
                <w:szCs w:val="17"/>
              </w:rPr>
            </w:pPr>
            <w:r>
              <w:rPr>
                <w:rFonts w:ascii="Century Gothic" w:eastAsia="Century Gothic" w:hAnsi="Century Gothic" w:cs="Century Gothic"/>
                <w:b/>
                <w:bCs/>
                <w:color w:val="000000"/>
                <w:sz w:val="17"/>
                <w:szCs w:val="17"/>
              </w:rPr>
              <w:t>MÉDIA</w:t>
            </w:r>
          </w:p>
        </w:tc>
        <w:tc>
          <w:tcPr>
            <w:tcW w:w="1245" w:type="dxa"/>
            <w:tcBorders>
              <w:top w:val="single" w:sz="4" w:space="0" w:color="000000"/>
              <w:bottom w:val="single" w:sz="4" w:space="0" w:color="000000"/>
            </w:tcBorders>
          </w:tcPr>
          <w:p w14:paraId="159030FF" w14:textId="77777777" w:rsidR="00EB00FA" w:rsidRDefault="00000000">
            <w:pPr>
              <w:pBdr>
                <w:top w:val="nil"/>
                <w:left w:val="nil"/>
                <w:bottom w:val="nil"/>
                <w:right w:val="nil"/>
                <w:between w:val="nil"/>
              </w:pBdr>
              <w:tabs>
                <w:tab w:val="left" w:pos="706"/>
              </w:tabs>
              <w:spacing w:after="40"/>
              <w:jc w:val="center"/>
              <w:rPr>
                <w:rFonts w:ascii="Century Gothic" w:eastAsia="Century Gothic" w:hAnsi="Century Gothic" w:cs="Century Gothic"/>
                <w:b/>
                <w:bCs/>
                <w:color w:val="000000"/>
                <w:sz w:val="17"/>
                <w:szCs w:val="17"/>
              </w:rPr>
            </w:pPr>
            <w:r>
              <w:rPr>
                <w:rFonts w:ascii="Century Gothic" w:eastAsia="Century Gothic" w:hAnsi="Century Gothic" w:cs="Century Gothic"/>
                <w:b/>
                <w:bCs/>
                <w:color w:val="000000"/>
                <w:sz w:val="17"/>
                <w:szCs w:val="17"/>
              </w:rPr>
              <w:t>MEDIANA</w:t>
            </w:r>
          </w:p>
        </w:tc>
        <w:tc>
          <w:tcPr>
            <w:tcW w:w="1245" w:type="dxa"/>
            <w:tcBorders>
              <w:top w:val="single" w:sz="4" w:space="0" w:color="000000"/>
              <w:bottom w:val="single" w:sz="4" w:space="0" w:color="000000"/>
            </w:tcBorders>
          </w:tcPr>
          <w:p w14:paraId="57B45AC9" w14:textId="77777777" w:rsidR="00EB00FA" w:rsidRDefault="00000000">
            <w:pPr>
              <w:pBdr>
                <w:top w:val="nil"/>
                <w:left w:val="nil"/>
                <w:bottom w:val="nil"/>
                <w:right w:val="nil"/>
                <w:between w:val="nil"/>
              </w:pBdr>
              <w:tabs>
                <w:tab w:val="left" w:pos="706"/>
              </w:tabs>
              <w:spacing w:after="40"/>
              <w:jc w:val="center"/>
              <w:rPr>
                <w:rFonts w:ascii="Century Gothic" w:eastAsia="Century Gothic" w:hAnsi="Century Gothic" w:cs="Century Gothic"/>
                <w:b/>
                <w:bCs/>
                <w:color w:val="000000"/>
                <w:sz w:val="17"/>
                <w:szCs w:val="17"/>
              </w:rPr>
            </w:pPr>
            <w:r>
              <w:rPr>
                <w:rFonts w:ascii="Century Gothic" w:eastAsia="Century Gothic" w:hAnsi="Century Gothic" w:cs="Century Gothic"/>
                <w:b/>
                <w:bCs/>
                <w:color w:val="000000"/>
                <w:sz w:val="17"/>
                <w:szCs w:val="17"/>
              </w:rPr>
              <w:t>DESVIO PADRÃO</w:t>
            </w:r>
          </w:p>
        </w:tc>
        <w:tc>
          <w:tcPr>
            <w:tcW w:w="1245" w:type="dxa"/>
            <w:tcBorders>
              <w:top w:val="single" w:sz="4" w:space="0" w:color="000000"/>
              <w:bottom w:val="single" w:sz="4" w:space="0" w:color="000000"/>
            </w:tcBorders>
          </w:tcPr>
          <w:p w14:paraId="3D0BBB0B" w14:textId="77777777" w:rsidR="00EB00FA" w:rsidRDefault="00000000">
            <w:pPr>
              <w:pBdr>
                <w:top w:val="nil"/>
                <w:left w:val="nil"/>
                <w:bottom w:val="nil"/>
                <w:right w:val="nil"/>
                <w:between w:val="nil"/>
              </w:pBdr>
              <w:tabs>
                <w:tab w:val="left" w:pos="706"/>
              </w:tabs>
              <w:spacing w:after="40"/>
              <w:jc w:val="center"/>
              <w:rPr>
                <w:rFonts w:ascii="Century Gothic" w:eastAsia="Century Gothic" w:hAnsi="Century Gothic" w:cs="Century Gothic"/>
                <w:b/>
                <w:bCs/>
                <w:color w:val="000000"/>
                <w:sz w:val="17"/>
                <w:szCs w:val="17"/>
              </w:rPr>
            </w:pPr>
            <w:r>
              <w:rPr>
                <w:rFonts w:ascii="Century Gothic" w:eastAsia="Century Gothic" w:hAnsi="Century Gothic" w:cs="Century Gothic"/>
                <w:b/>
                <w:bCs/>
                <w:color w:val="000000"/>
                <w:sz w:val="17"/>
                <w:szCs w:val="17"/>
              </w:rPr>
              <w:t>MINÍMO</w:t>
            </w:r>
          </w:p>
        </w:tc>
      </w:tr>
      <w:tr w:rsidR="00EB00FA" w14:paraId="43912C45" w14:textId="77777777">
        <w:tc>
          <w:tcPr>
            <w:tcW w:w="358" w:type="dxa"/>
            <w:vMerge w:val="restart"/>
            <w:tcBorders>
              <w:top w:val="single" w:sz="4" w:space="0" w:color="000000"/>
            </w:tcBorders>
            <w:tcMar>
              <w:top w:w="0" w:type="dxa"/>
              <w:left w:w="108" w:type="dxa"/>
              <w:bottom w:w="0" w:type="dxa"/>
              <w:right w:w="108" w:type="dxa"/>
            </w:tcMar>
            <w:vAlign w:val="center"/>
          </w:tcPr>
          <w:p w14:paraId="32AF77FE"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b/>
                <w:bCs/>
                <w:color w:val="000000"/>
                <w:sz w:val="17"/>
                <w:szCs w:val="17"/>
              </w:rPr>
            </w:pPr>
            <w:r>
              <w:rPr>
                <w:rFonts w:ascii="Century Gothic" w:eastAsia="Century Gothic" w:hAnsi="Century Gothic" w:cs="Century Gothic"/>
                <w:color w:val="000000"/>
                <w:sz w:val="17"/>
                <w:szCs w:val="17"/>
              </w:rPr>
              <w:t>1</w:t>
            </w:r>
          </w:p>
        </w:tc>
        <w:tc>
          <w:tcPr>
            <w:tcW w:w="1244" w:type="dxa"/>
            <w:tcBorders>
              <w:top w:val="single" w:sz="4" w:space="0" w:color="000000"/>
              <w:bottom w:val="single" w:sz="4" w:space="0" w:color="000000"/>
            </w:tcBorders>
            <w:tcMar>
              <w:top w:w="0" w:type="dxa"/>
              <w:left w:w="108" w:type="dxa"/>
              <w:bottom w:w="0" w:type="dxa"/>
              <w:right w:w="108" w:type="dxa"/>
            </w:tcMar>
          </w:tcPr>
          <w:p w14:paraId="109B1DB3"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b/>
                <w:bCs/>
                <w:color w:val="000000"/>
                <w:sz w:val="17"/>
                <w:szCs w:val="17"/>
              </w:rPr>
            </w:pPr>
            <w:r>
              <w:rPr>
                <w:rFonts w:ascii="Century Gothic" w:eastAsia="Century Gothic" w:hAnsi="Century Gothic" w:cs="Century Gothic"/>
                <w:color w:val="000000"/>
                <w:sz w:val="17"/>
                <w:szCs w:val="17"/>
              </w:rPr>
              <w:t>UNIVERSO</w:t>
            </w:r>
          </w:p>
        </w:tc>
        <w:tc>
          <w:tcPr>
            <w:tcW w:w="1245" w:type="dxa"/>
            <w:tcBorders>
              <w:top w:val="single" w:sz="4" w:space="0" w:color="000000"/>
              <w:bottom w:val="single" w:sz="4" w:space="0" w:color="000000"/>
            </w:tcBorders>
          </w:tcPr>
          <w:p w14:paraId="29CF0803"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b/>
                <w:bCs/>
                <w:color w:val="000000"/>
                <w:sz w:val="17"/>
                <w:szCs w:val="17"/>
              </w:rPr>
            </w:pPr>
            <w:r>
              <w:rPr>
                <w:rFonts w:ascii="Century Gothic" w:eastAsia="Century Gothic" w:hAnsi="Century Gothic" w:cs="Century Gothic"/>
                <w:color w:val="000000"/>
                <w:sz w:val="17"/>
                <w:szCs w:val="17"/>
              </w:rPr>
              <w:t>1.227</w:t>
            </w:r>
          </w:p>
        </w:tc>
        <w:tc>
          <w:tcPr>
            <w:tcW w:w="1245" w:type="dxa"/>
            <w:tcBorders>
              <w:top w:val="single" w:sz="4" w:space="0" w:color="000000"/>
              <w:bottom w:val="single" w:sz="4" w:space="0" w:color="000000"/>
            </w:tcBorders>
            <w:tcMar>
              <w:top w:w="0" w:type="dxa"/>
              <w:left w:w="108" w:type="dxa"/>
              <w:bottom w:w="0" w:type="dxa"/>
              <w:right w:w="108" w:type="dxa"/>
            </w:tcMar>
          </w:tcPr>
          <w:p w14:paraId="06732679"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b/>
                <w:bCs/>
                <w:color w:val="000000"/>
                <w:sz w:val="17"/>
                <w:szCs w:val="17"/>
              </w:rPr>
            </w:pPr>
            <w:r>
              <w:rPr>
                <w:rFonts w:ascii="Century Gothic" w:eastAsia="Century Gothic" w:hAnsi="Century Gothic" w:cs="Century Gothic"/>
                <w:color w:val="000000"/>
                <w:sz w:val="17"/>
                <w:szCs w:val="17"/>
              </w:rPr>
              <w:t>11.821.870</w:t>
            </w:r>
          </w:p>
        </w:tc>
        <w:tc>
          <w:tcPr>
            <w:tcW w:w="1244" w:type="dxa"/>
            <w:tcBorders>
              <w:top w:val="single" w:sz="4" w:space="0" w:color="000000"/>
              <w:bottom w:val="single" w:sz="4" w:space="0" w:color="000000"/>
            </w:tcBorders>
            <w:tcMar>
              <w:top w:w="0" w:type="dxa"/>
              <w:left w:w="108" w:type="dxa"/>
              <w:bottom w:w="0" w:type="dxa"/>
              <w:right w:w="108" w:type="dxa"/>
            </w:tcMar>
          </w:tcPr>
          <w:p w14:paraId="0A979919"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b/>
                <w:bCs/>
                <w:color w:val="000000"/>
                <w:sz w:val="17"/>
                <w:szCs w:val="17"/>
              </w:rPr>
            </w:pPr>
            <w:r>
              <w:rPr>
                <w:rFonts w:ascii="Century Gothic" w:eastAsia="Century Gothic" w:hAnsi="Century Gothic" w:cs="Century Gothic"/>
                <w:color w:val="000000"/>
                <w:sz w:val="17"/>
                <w:szCs w:val="17"/>
              </w:rPr>
              <w:t>63.197</w:t>
            </w:r>
          </w:p>
        </w:tc>
        <w:tc>
          <w:tcPr>
            <w:tcW w:w="1245" w:type="dxa"/>
            <w:tcBorders>
              <w:top w:val="single" w:sz="4" w:space="0" w:color="000000"/>
              <w:bottom w:val="single" w:sz="4" w:space="0" w:color="000000"/>
            </w:tcBorders>
          </w:tcPr>
          <w:p w14:paraId="74D8FCD7"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b/>
                <w:bCs/>
                <w:color w:val="000000"/>
                <w:sz w:val="17"/>
                <w:szCs w:val="17"/>
              </w:rPr>
            </w:pPr>
            <w:r>
              <w:rPr>
                <w:rFonts w:ascii="Century Gothic" w:eastAsia="Century Gothic" w:hAnsi="Century Gothic" w:cs="Century Gothic"/>
                <w:color w:val="000000"/>
                <w:sz w:val="17"/>
                <w:szCs w:val="17"/>
              </w:rPr>
              <w:t>18.933</w:t>
            </w:r>
          </w:p>
        </w:tc>
        <w:tc>
          <w:tcPr>
            <w:tcW w:w="1245" w:type="dxa"/>
            <w:tcBorders>
              <w:top w:val="single" w:sz="4" w:space="0" w:color="000000"/>
              <w:bottom w:val="single" w:sz="4" w:space="0" w:color="000000"/>
            </w:tcBorders>
          </w:tcPr>
          <w:p w14:paraId="4368BD1D"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b/>
                <w:bCs/>
                <w:color w:val="000000"/>
                <w:sz w:val="17"/>
                <w:szCs w:val="17"/>
              </w:rPr>
            </w:pPr>
            <w:r>
              <w:rPr>
                <w:rFonts w:ascii="Century Gothic" w:eastAsia="Century Gothic" w:hAnsi="Century Gothic" w:cs="Century Gothic"/>
                <w:color w:val="000000"/>
                <w:sz w:val="17"/>
                <w:szCs w:val="17"/>
              </w:rPr>
              <w:t>308.356</w:t>
            </w:r>
          </w:p>
        </w:tc>
        <w:tc>
          <w:tcPr>
            <w:tcW w:w="1245" w:type="dxa"/>
            <w:tcBorders>
              <w:top w:val="single" w:sz="4" w:space="0" w:color="000000"/>
              <w:bottom w:val="single" w:sz="4" w:space="0" w:color="000000"/>
            </w:tcBorders>
          </w:tcPr>
          <w:p w14:paraId="242BE8DD"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b/>
                <w:bCs/>
                <w:color w:val="000000"/>
                <w:sz w:val="17"/>
                <w:szCs w:val="17"/>
              </w:rPr>
            </w:pPr>
            <w:r>
              <w:rPr>
                <w:rFonts w:ascii="Century Gothic" w:eastAsia="Century Gothic" w:hAnsi="Century Gothic" w:cs="Century Gothic"/>
                <w:color w:val="000000"/>
                <w:sz w:val="17"/>
                <w:szCs w:val="17"/>
              </w:rPr>
              <w:t>1.227</w:t>
            </w:r>
          </w:p>
        </w:tc>
      </w:tr>
      <w:tr w:rsidR="00EB00FA" w14:paraId="13F5DDA2" w14:textId="77777777">
        <w:tc>
          <w:tcPr>
            <w:tcW w:w="358" w:type="dxa"/>
            <w:vMerge/>
            <w:tcBorders>
              <w:top w:val="single" w:sz="4" w:space="0" w:color="000000"/>
            </w:tcBorders>
            <w:tcMar>
              <w:top w:w="0" w:type="dxa"/>
              <w:left w:w="108" w:type="dxa"/>
              <w:bottom w:w="0" w:type="dxa"/>
              <w:right w:w="108" w:type="dxa"/>
            </w:tcMar>
            <w:vAlign w:val="center"/>
          </w:tcPr>
          <w:p w14:paraId="335C1F92" w14:textId="77777777" w:rsidR="00EB00FA" w:rsidRDefault="00EB00FA">
            <w:pPr>
              <w:widowControl w:val="0"/>
              <w:pBdr>
                <w:top w:val="nil"/>
                <w:left w:val="nil"/>
                <w:bottom w:val="nil"/>
                <w:right w:val="nil"/>
                <w:between w:val="nil"/>
              </w:pBdr>
              <w:spacing w:line="276" w:lineRule="auto"/>
              <w:rPr>
                <w:rFonts w:ascii="Century Gothic" w:eastAsia="Century Gothic" w:hAnsi="Century Gothic" w:cs="Century Gothic"/>
                <w:b/>
                <w:bCs/>
                <w:color w:val="000000"/>
                <w:sz w:val="17"/>
                <w:szCs w:val="17"/>
              </w:rPr>
            </w:pPr>
          </w:p>
        </w:tc>
        <w:tc>
          <w:tcPr>
            <w:tcW w:w="1244" w:type="dxa"/>
            <w:tcBorders>
              <w:top w:val="single" w:sz="4" w:space="0" w:color="000000"/>
              <w:bottom w:val="single" w:sz="4" w:space="0" w:color="000000"/>
            </w:tcBorders>
            <w:tcMar>
              <w:top w:w="0" w:type="dxa"/>
              <w:left w:w="108" w:type="dxa"/>
              <w:bottom w:w="0" w:type="dxa"/>
              <w:right w:w="108" w:type="dxa"/>
            </w:tcMar>
          </w:tcPr>
          <w:p w14:paraId="7033E8F8"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ADOTANTES</w:t>
            </w:r>
          </w:p>
        </w:tc>
        <w:tc>
          <w:tcPr>
            <w:tcW w:w="1245" w:type="dxa"/>
            <w:tcBorders>
              <w:top w:val="single" w:sz="4" w:space="0" w:color="000000"/>
              <w:bottom w:val="single" w:sz="4" w:space="0" w:color="000000"/>
            </w:tcBorders>
          </w:tcPr>
          <w:p w14:paraId="127D767F"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3.997</w:t>
            </w:r>
          </w:p>
        </w:tc>
        <w:tc>
          <w:tcPr>
            <w:tcW w:w="1245" w:type="dxa"/>
            <w:tcBorders>
              <w:top w:val="single" w:sz="4" w:space="0" w:color="000000"/>
              <w:bottom w:val="single" w:sz="4" w:space="0" w:color="000000"/>
            </w:tcBorders>
            <w:tcMar>
              <w:top w:w="0" w:type="dxa"/>
              <w:left w:w="108" w:type="dxa"/>
              <w:bottom w:w="0" w:type="dxa"/>
              <w:right w:w="108" w:type="dxa"/>
            </w:tcMar>
          </w:tcPr>
          <w:p w14:paraId="7237981C"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836.475</w:t>
            </w:r>
          </w:p>
        </w:tc>
        <w:tc>
          <w:tcPr>
            <w:tcW w:w="1244" w:type="dxa"/>
            <w:tcBorders>
              <w:top w:val="single" w:sz="4" w:space="0" w:color="000000"/>
              <w:bottom w:val="single" w:sz="4" w:space="0" w:color="000000"/>
            </w:tcBorders>
            <w:tcMar>
              <w:top w:w="0" w:type="dxa"/>
              <w:left w:w="108" w:type="dxa"/>
              <w:bottom w:w="0" w:type="dxa"/>
              <w:right w:w="108" w:type="dxa"/>
            </w:tcMar>
          </w:tcPr>
          <w:p w14:paraId="59D3704B"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54.379</w:t>
            </w:r>
          </w:p>
        </w:tc>
        <w:tc>
          <w:tcPr>
            <w:tcW w:w="1245" w:type="dxa"/>
            <w:tcBorders>
              <w:top w:val="single" w:sz="4" w:space="0" w:color="000000"/>
              <w:bottom w:val="single" w:sz="4" w:space="0" w:color="000000"/>
            </w:tcBorders>
          </w:tcPr>
          <w:p w14:paraId="1F87CC7B"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32.323</w:t>
            </w:r>
          </w:p>
        </w:tc>
        <w:tc>
          <w:tcPr>
            <w:tcW w:w="1245" w:type="dxa"/>
            <w:tcBorders>
              <w:top w:val="single" w:sz="4" w:space="0" w:color="000000"/>
              <w:bottom w:val="single" w:sz="4" w:space="0" w:color="000000"/>
            </w:tcBorders>
          </w:tcPr>
          <w:p w14:paraId="37BC5F5A"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87.099</w:t>
            </w:r>
          </w:p>
        </w:tc>
        <w:tc>
          <w:tcPr>
            <w:tcW w:w="1245" w:type="dxa"/>
            <w:tcBorders>
              <w:top w:val="single" w:sz="4" w:space="0" w:color="000000"/>
              <w:bottom w:val="single" w:sz="4" w:space="0" w:color="000000"/>
            </w:tcBorders>
          </w:tcPr>
          <w:p w14:paraId="50A2E346"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3.997</w:t>
            </w:r>
          </w:p>
        </w:tc>
      </w:tr>
      <w:tr w:rsidR="00EB00FA" w14:paraId="0456C1D5" w14:textId="77777777">
        <w:tc>
          <w:tcPr>
            <w:tcW w:w="358" w:type="dxa"/>
            <w:vMerge w:val="restart"/>
            <w:tcBorders>
              <w:top w:val="single" w:sz="4" w:space="0" w:color="000000"/>
            </w:tcBorders>
            <w:tcMar>
              <w:top w:w="0" w:type="dxa"/>
              <w:left w:w="108" w:type="dxa"/>
              <w:bottom w:w="0" w:type="dxa"/>
              <w:right w:w="108" w:type="dxa"/>
            </w:tcMar>
            <w:vAlign w:val="center"/>
          </w:tcPr>
          <w:p w14:paraId="5A44443A"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b/>
                <w:bCs/>
                <w:color w:val="000000"/>
                <w:sz w:val="17"/>
                <w:szCs w:val="17"/>
              </w:rPr>
            </w:pPr>
            <w:r>
              <w:rPr>
                <w:rFonts w:ascii="Century Gothic" w:eastAsia="Century Gothic" w:hAnsi="Century Gothic" w:cs="Century Gothic"/>
                <w:color w:val="000000"/>
                <w:sz w:val="17"/>
                <w:szCs w:val="17"/>
              </w:rPr>
              <w:t>2</w:t>
            </w:r>
          </w:p>
        </w:tc>
        <w:tc>
          <w:tcPr>
            <w:tcW w:w="1244" w:type="dxa"/>
            <w:tcBorders>
              <w:top w:val="single" w:sz="4" w:space="0" w:color="000000"/>
              <w:bottom w:val="single" w:sz="4" w:space="0" w:color="000000"/>
            </w:tcBorders>
            <w:tcMar>
              <w:top w:w="0" w:type="dxa"/>
              <w:left w:w="108" w:type="dxa"/>
              <w:bottom w:w="0" w:type="dxa"/>
              <w:right w:w="108" w:type="dxa"/>
            </w:tcMar>
          </w:tcPr>
          <w:p w14:paraId="07FA3DA4"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UNIVERSO</w:t>
            </w:r>
          </w:p>
        </w:tc>
        <w:tc>
          <w:tcPr>
            <w:tcW w:w="1245" w:type="dxa"/>
            <w:tcBorders>
              <w:top w:val="single" w:sz="4" w:space="0" w:color="000000"/>
              <w:bottom w:val="single" w:sz="4" w:space="0" w:color="000000"/>
            </w:tcBorders>
          </w:tcPr>
          <w:p w14:paraId="261B6484"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3,0</w:t>
            </w:r>
          </w:p>
        </w:tc>
        <w:tc>
          <w:tcPr>
            <w:tcW w:w="1245" w:type="dxa"/>
            <w:tcBorders>
              <w:top w:val="single" w:sz="4" w:space="0" w:color="000000"/>
              <w:bottom w:val="single" w:sz="4" w:space="0" w:color="000000"/>
            </w:tcBorders>
            <w:tcMar>
              <w:top w:w="0" w:type="dxa"/>
              <w:left w:w="108" w:type="dxa"/>
              <w:bottom w:w="0" w:type="dxa"/>
              <w:right w:w="108" w:type="dxa"/>
            </w:tcMar>
          </w:tcPr>
          <w:p w14:paraId="03EBEEAE"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90,7</w:t>
            </w:r>
          </w:p>
        </w:tc>
        <w:tc>
          <w:tcPr>
            <w:tcW w:w="1244" w:type="dxa"/>
            <w:tcBorders>
              <w:top w:val="single" w:sz="4" w:space="0" w:color="000000"/>
              <w:bottom w:val="single" w:sz="4" w:space="0" w:color="000000"/>
            </w:tcBorders>
            <w:tcMar>
              <w:top w:w="0" w:type="dxa"/>
              <w:left w:w="108" w:type="dxa"/>
              <w:bottom w:w="0" w:type="dxa"/>
              <w:right w:w="108" w:type="dxa"/>
            </w:tcMar>
          </w:tcPr>
          <w:p w14:paraId="0D302AB5"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52,0</w:t>
            </w:r>
          </w:p>
        </w:tc>
        <w:tc>
          <w:tcPr>
            <w:tcW w:w="1245" w:type="dxa"/>
            <w:tcBorders>
              <w:top w:val="single" w:sz="4" w:space="0" w:color="000000"/>
              <w:bottom w:val="single" w:sz="4" w:space="0" w:color="000000"/>
            </w:tcBorders>
          </w:tcPr>
          <w:p w14:paraId="0BE31CA7"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51,3</w:t>
            </w:r>
          </w:p>
        </w:tc>
        <w:tc>
          <w:tcPr>
            <w:tcW w:w="1245" w:type="dxa"/>
            <w:tcBorders>
              <w:top w:val="single" w:sz="4" w:space="0" w:color="000000"/>
              <w:bottom w:val="single" w:sz="4" w:space="0" w:color="000000"/>
            </w:tcBorders>
          </w:tcPr>
          <w:p w14:paraId="22CEDD4E"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21,0</w:t>
            </w:r>
          </w:p>
        </w:tc>
        <w:tc>
          <w:tcPr>
            <w:tcW w:w="1245" w:type="dxa"/>
            <w:tcBorders>
              <w:top w:val="single" w:sz="4" w:space="0" w:color="000000"/>
              <w:bottom w:val="single" w:sz="4" w:space="0" w:color="000000"/>
            </w:tcBorders>
          </w:tcPr>
          <w:p w14:paraId="750CBA5F"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3,0</w:t>
            </w:r>
          </w:p>
        </w:tc>
      </w:tr>
      <w:tr w:rsidR="00EB00FA" w14:paraId="2EC4B641" w14:textId="77777777">
        <w:tc>
          <w:tcPr>
            <w:tcW w:w="358" w:type="dxa"/>
            <w:vMerge/>
            <w:tcBorders>
              <w:top w:val="single" w:sz="4" w:space="0" w:color="000000"/>
            </w:tcBorders>
            <w:tcMar>
              <w:top w:w="0" w:type="dxa"/>
              <w:left w:w="108" w:type="dxa"/>
              <w:bottom w:w="0" w:type="dxa"/>
              <w:right w:w="108" w:type="dxa"/>
            </w:tcMar>
            <w:vAlign w:val="center"/>
          </w:tcPr>
          <w:p w14:paraId="0F56AA79" w14:textId="77777777" w:rsidR="00EB00FA" w:rsidRDefault="00EB00FA">
            <w:pPr>
              <w:widowControl w:val="0"/>
              <w:pBdr>
                <w:top w:val="nil"/>
                <w:left w:val="nil"/>
                <w:bottom w:val="nil"/>
                <w:right w:val="nil"/>
                <w:between w:val="nil"/>
              </w:pBdr>
              <w:spacing w:line="276" w:lineRule="auto"/>
              <w:rPr>
                <w:rFonts w:ascii="Century Gothic" w:eastAsia="Century Gothic" w:hAnsi="Century Gothic" w:cs="Century Gothic"/>
                <w:color w:val="000000"/>
                <w:sz w:val="17"/>
                <w:szCs w:val="17"/>
              </w:rPr>
            </w:pPr>
          </w:p>
        </w:tc>
        <w:tc>
          <w:tcPr>
            <w:tcW w:w="1244" w:type="dxa"/>
            <w:tcBorders>
              <w:top w:val="single" w:sz="4" w:space="0" w:color="000000"/>
              <w:bottom w:val="single" w:sz="4" w:space="0" w:color="000000"/>
            </w:tcBorders>
            <w:tcMar>
              <w:top w:w="0" w:type="dxa"/>
              <w:left w:w="108" w:type="dxa"/>
              <w:bottom w:w="0" w:type="dxa"/>
              <w:right w:w="108" w:type="dxa"/>
            </w:tcMar>
          </w:tcPr>
          <w:p w14:paraId="0AD6B03D"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ADOTANTES</w:t>
            </w:r>
          </w:p>
        </w:tc>
        <w:tc>
          <w:tcPr>
            <w:tcW w:w="1245" w:type="dxa"/>
            <w:tcBorders>
              <w:top w:val="single" w:sz="4" w:space="0" w:color="000000"/>
              <w:bottom w:val="single" w:sz="4" w:space="0" w:color="000000"/>
            </w:tcBorders>
          </w:tcPr>
          <w:p w14:paraId="6933C430"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7,9</w:t>
            </w:r>
          </w:p>
        </w:tc>
        <w:tc>
          <w:tcPr>
            <w:tcW w:w="1245" w:type="dxa"/>
            <w:tcBorders>
              <w:top w:val="single" w:sz="4" w:space="0" w:color="000000"/>
              <w:bottom w:val="single" w:sz="4" w:space="0" w:color="000000"/>
            </w:tcBorders>
            <w:tcMar>
              <w:top w:w="0" w:type="dxa"/>
              <w:left w:w="108" w:type="dxa"/>
              <w:bottom w:w="0" w:type="dxa"/>
              <w:right w:w="108" w:type="dxa"/>
            </w:tcMar>
          </w:tcPr>
          <w:p w14:paraId="01FA4FD7"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70,6</w:t>
            </w:r>
          </w:p>
        </w:tc>
        <w:tc>
          <w:tcPr>
            <w:tcW w:w="1244" w:type="dxa"/>
            <w:tcBorders>
              <w:top w:val="single" w:sz="4" w:space="0" w:color="000000"/>
              <w:bottom w:val="single" w:sz="4" w:space="0" w:color="000000"/>
            </w:tcBorders>
            <w:tcMar>
              <w:top w:w="0" w:type="dxa"/>
              <w:left w:w="108" w:type="dxa"/>
              <w:bottom w:w="0" w:type="dxa"/>
              <w:right w:w="108" w:type="dxa"/>
            </w:tcMar>
          </w:tcPr>
          <w:p w14:paraId="7AD59BE1"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40,4</w:t>
            </w:r>
          </w:p>
        </w:tc>
        <w:tc>
          <w:tcPr>
            <w:tcW w:w="1245" w:type="dxa"/>
            <w:tcBorders>
              <w:top w:val="single" w:sz="4" w:space="0" w:color="000000"/>
              <w:bottom w:val="single" w:sz="4" w:space="0" w:color="000000"/>
            </w:tcBorders>
          </w:tcPr>
          <w:p w14:paraId="6FCA1075"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39,6</w:t>
            </w:r>
          </w:p>
        </w:tc>
        <w:tc>
          <w:tcPr>
            <w:tcW w:w="1245" w:type="dxa"/>
            <w:tcBorders>
              <w:top w:val="single" w:sz="4" w:space="0" w:color="000000"/>
              <w:bottom w:val="single" w:sz="4" w:space="0" w:color="000000"/>
            </w:tcBorders>
          </w:tcPr>
          <w:p w14:paraId="35E643E1"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13,5</w:t>
            </w:r>
          </w:p>
        </w:tc>
        <w:tc>
          <w:tcPr>
            <w:tcW w:w="1245" w:type="dxa"/>
            <w:tcBorders>
              <w:top w:val="single" w:sz="4" w:space="0" w:color="000000"/>
              <w:bottom w:val="single" w:sz="4" w:space="0" w:color="000000"/>
            </w:tcBorders>
          </w:tcPr>
          <w:p w14:paraId="5DC6CD74"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7,9</w:t>
            </w:r>
          </w:p>
        </w:tc>
      </w:tr>
      <w:tr w:rsidR="00EB00FA" w14:paraId="17414F52" w14:textId="77777777">
        <w:tc>
          <w:tcPr>
            <w:tcW w:w="358" w:type="dxa"/>
            <w:vMerge w:val="restart"/>
            <w:tcBorders>
              <w:top w:val="single" w:sz="4" w:space="0" w:color="000000"/>
            </w:tcBorders>
            <w:tcMar>
              <w:top w:w="0" w:type="dxa"/>
              <w:left w:w="108" w:type="dxa"/>
              <w:bottom w:w="0" w:type="dxa"/>
              <w:right w:w="108" w:type="dxa"/>
            </w:tcMar>
            <w:vAlign w:val="center"/>
          </w:tcPr>
          <w:p w14:paraId="4B90B0A8"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b/>
                <w:bCs/>
                <w:color w:val="000000"/>
                <w:sz w:val="17"/>
                <w:szCs w:val="17"/>
              </w:rPr>
            </w:pPr>
            <w:r>
              <w:rPr>
                <w:rFonts w:ascii="Century Gothic" w:eastAsia="Century Gothic" w:hAnsi="Century Gothic" w:cs="Century Gothic"/>
                <w:color w:val="000000"/>
                <w:sz w:val="17"/>
                <w:szCs w:val="17"/>
              </w:rPr>
              <w:t>3</w:t>
            </w:r>
          </w:p>
        </w:tc>
        <w:tc>
          <w:tcPr>
            <w:tcW w:w="1244" w:type="dxa"/>
            <w:tcBorders>
              <w:top w:val="single" w:sz="4" w:space="0" w:color="000000"/>
              <w:bottom w:val="single" w:sz="4" w:space="0" w:color="000000"/>
            </w:tcBorders>
            <w:tcMar>
              <w:top w:w="0" w:type="dxa"/>
              <w:left w:w="108" w:type="dxa"/>
              <w:bottom w:w="0" w:type="dxa"/>
              <w:right w:w="108" w:type="dxa"/>
            </w:tcMar>
          </w:tcPr>
          <w:p w14:paraId="08D5FD18"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UNIVERSO</w:t>
            </w:r>
          </w:p>
        </w:tc>
        <w:tc>
          <w:tcPr>
            <w:tcW w:w="1245" w:type="dxa"/>
            <w:tcBorders>
              <w:top w:val="single" w:sz="4" w:space="0" w:color="000000"/>
              <w:bottom w:val="single" w:sz="4" w:space="0" w:color="000000"/>
            </w:tcBorders>
          </w:tcPr>
          <w:p w14:paraId="145B2FF4"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3,5</w:t>
            </w:r>
          </w:p>
        </w:tc>
        <w:tc>
          <w:tcPr>
            <w:tcW w:w="1245" w:type="dxa"/>
            <w:tcBorders>
              <w:top w:val="single" w:sz="4" w:space="0" w:color="000000"/>
              <w:bottom w:val="single" w:sz="4" w:space="0" w:color="000000"/>
            </w:tcBorders>
            <w:tcMar>
              <w:top w:w="0" w:type="dxa"/>
              <w:left w:w="108" w:type="dxa"/>
              <w:bottom w:w="0" w:type="dxa"/>
              <w:right w:w="108" w:type="dxa"/>
            </w:tcMar>
          </w:tcPr>
          <w:p w14:paraId="094B59E4"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717,3</w:t>
            </w:r>
          </w:p>
        </w:tc>
        <w:tc>
          <w:tcPr>
            <w:tcW w:w="1244" w:type="dxa"/>
            <w:tcBorders>
              <w:top w:val="single" w:sz="4" w:space="0" w:color="000000"/>
              <w:bottom w:val="single" w:sz="4" w:space="0" w:color="000000"/>
            </w:tcBorders>
            <w:tcMar>
              <w:top w:w="0" w:type="dxa"/>
              <w:left w:w="108" w:type="dxa"/>
              <w:bottom w:w="0" w:type="dxa"/>
              <w:right w:w="108" w:type="dxa"/>
            </w:tcMar>
          </w:tcPr>
          <w:p w14:paraId="2AC446C9"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20,6</w:t>
            </w:r>
          </w:p>
        </w:tc>
        <w:tc>
          <w:tcPr>
            <w:tcW w:w="1245" w:type="dxa"/>
            <w:tcBorders>
              <w:top w:val="single" w:sz="4" w:space="0" w:color="000000"/>
              <w:bottom w:val="single" w:sz="4" w:space="0" w:color="000000"/>
            </w:tcBorders>
          </w:tcPr>
          <w:p w14:paraId="46DC6762"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15,3</w:t>
            </w:r>
          </w:p>
        </w:tc>
        <w:tc>
          <w:tcPr>
            <w:tcW w:w="1245" w:type="dxa"/>
            <w:tcBorders>
              <w:top w:val="single" w:sz="4" w:space="0" w:color="000000"/>
              <w:bottom w:val="single" w:sz="4" w:space="0" w:color="000000"/>
            </w:tcBorders>
          </w:tcPr>
          <w:p w14:paraId="1076F6B1"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25,5</w:t>
            </w:r>
          </w:p>
        </w:tc>
        <w:tc>
          <w:tcPr>
            <w:tcW w:w="1245" w:type="dxa"/>
            <w:tcBorders>
              <w:top w:val="single" w:sz="4" w:space="0" w:color="000000"/>
              <w:bottom w:val="single" w:sz="4" w:space="0" w:color="000000"/>
            </w:tcBorders>
          </w:tcPr>
          <w:p w14:paraId="3EE2A0D8"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3,5</w:t>
            </w:r>
          </w:p>
        </w:tc>
      </w:tr>
      <w:tr w:rsidR="00EB00FA" w14:paraId="24128234" w14:textId="77777777">
        <w:tc>
          <w:tcPr>
            <w:tcW w:w="358" w:type="dxa"/>
            <w:vMerge/>
            <w:tcBorders>
              <w:top w:val="single" w:sz="4" w:space="0" w:color="000000"/>
            </w:tcBorders>
            <w:tcMar>
              <w:top w:w="0" w:type="dxa"/>
              <w:left w:w="108" w:type="dxa"/>
              <w:bottom w:w="0" w:type="dxa"/>
              <w:right w:w="108" w:type="dxa"/>
            </w:tcMar>
            <w:vAlign w:val="center"/>
          </w:tcPr>
          <w:p w14:paraId="3F8CAFE4" w14:textId="77777777" w:rsidR="00EB00FA" w:rsidRDefault="00EB00FA">
            <w:pPr>
              <w:widowControl w:val="0"/>
              <w:pBdr>
                <w:top w:val="nil"/>
                <w:left w:val="nil"/>
                <w:bottom w:val="nil"/>
                <w:right w:val="nil"/>
                <w:between w:val="nil"/>
              </w:pBdr>
              <w:spacing w:line="276" w:lineRule="auto"/>
              <w:rPr>
                <w:rFonts w:ascii="Century Gothic" w:eastAsia="Century Gothic" w:hAnsi="Century Gothic" w:cs="Century Gothic"/>
                <w:color w:val="000000"/>
                <w:sz w:val="17"/>
                <w:szCs w:val="17"/>
              </w:rPr>
            </w:pPr>
          </w:p>
        </w:tc>
        <w:tc>
          <w:tcPr>
            <w:tcW w:w="1244" w:type="dxa"/>
            <w:tcBorders>
              <w:top w:val="single" w:sz="4" w:space="0" w:color="000000"/>
              <w:bottom w:val="single" w:sz="4" w:space="0" w:color="000000"/>
            </w:tcBorders>
            <w:tcMar>
              <w:top w:w="0" w:type="dxa"/>
              <w:left w:w="108" w:type="dxa"/>
              <w:bottom w:w="0" w:type="dxa"/>
              <w:right w:w="108" w:type="dxa"/>
            </w:tcMar>
          </w:tcPr>
          <w:p w14:paraId="13449306"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ADOTANTES</w:t>
            </w:r>
          </w:p>
        </w:tc>
        <w:tc>
          <w:tcPr>
            <w:tcW w:w="1245" w:type="dxa"/>
            <w:tcBorders>
              <w:top w:val="single" w:sz="4" w:space="0" w:color="000000"/>
              <w:bottom w:val="single" w:sz="4" w:space="0" w:color="000000"/>
            </w:tcBorders>
          </w:tcPr>
          <w:p w14:paraId="48C914D0"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7,6</w:t>
            </w:r>
          </w:p>
        </w:tc>
        <w:tc>
          <w:tcPr>
            <w:tcW w:w="1245" w:type="dxa"/>
            <w:tcBorders>
              <w:top w:val="single" w:sz="4" w:space="0" w:color="000000"/>
              <w:bottom w:val="single" w:sz="4" w:space="0" w:color="000000"/>
            </w:tcBorders>
            <w:tcMar>
              <w:top w:w="0" w:type="dxa"/>
              <w:left w:w="108" w:type="dxa"/>
              <w:bottom w:w="0" w:type="dxa"/>
              <w:right w:w="108" w:type="dxa"/>
            </w:tcMar>
          </w:tcPr>
          <w:p w14:paraId="65303BEA"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717,3</w:t>
            </w:r>
          </w:p>
        </w:tc>
        <w:tc>
          <w:tcPr>
            <w:tcW w:w="1244" w:type="dxa"/>
            <w:tcBorders>
              <w:top w:val="single" w:sz="4" w:space="0" w:color="000000"/>
              <w:bottom w:val="single" w:sz="4" w:space="0" w:color="000000"/>
            </w:tcBorders>
            <w:tcMar>
              <w:top w:w="0" w:type="dxa"/>
              <w:left w:w="108" w:type="dxa"/>
              <w:bottom w:w="0" w:type="dxa"/>
              <w:right w:w="108" w:type="dxa"/>
            </w:tcMar>
          </w:tcPr>
          <w:p w14:paraId="06775D5F"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36,3</w:t>
            </w:r>
          </w:p>
        </w:tc>
        <w:tc>
          <w:tcPr>
            <w:tcW w:w="1245" w:type="dxa"/>
            <w:tcBorders>
              <w:top w:val="single" w:sz="4" w:space="0" w:color="000000"/>
              <w:bottom w:val="single" w:sz="4" w:space="0" w:color="000000"/>
            </w:tcBorders>
          </w:tcPr>
          <w:p w14:paraId="2C45C56D"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20,1</w:t>
            </w:r>
          </w:p>
        </w:tc>
        <w:tc>
          <w:tcPr>
            <w:tcW w:w="1245" w:type="dxa"/>
            <w:tcBorders>
              <w:top w:val="single" w:sz="4" w:space="0" w:color="000000"/>
              <w:bottom w:val="single" w:sz="4" w:space="0" w:color="000000"/>
            </w:tcBorders>
          </w:tcPr>
          <w:p w14:paraId="0BB3BE1E"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67,8</w:t>
            </w:r>
          </w:p>
        </w:tc>
        <w:tc>
          <w:tcPr>
            <w:tcW w:w="1245" w:type="dxa"/>
            <w:tcBorders>
              <w:top w:val="single" w:sz="4" w:space="0" w:color="000000"/>
              <w:bottom w:val="single" w:sz="4" w:space="0" w:color="000000"/>
            </w:tcBorders>
          </w:tcPr>
          <w:p w14:paraId="09913E5F"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7,6</w:t>
            </w:r>
          </w:p>
        </w:tc>
      </w:tr>
      <w:tr w:rsidR="00EB00FA" w14:paraId="43289D9C" w14:textId="77777777">
        <w:tc>
          <w:tcPr>
            <w:tcW w:w="358" w:type="dxa"/>
            <w:vMerge w:val="restart"/>
            <w:tcBorders>
              <w:top w:val="single" w:sz="4" w:space="0" w:color="000000"/>
            </w:tcBorders>
            <w:tcMar>
              <w:top w:w="0" w:type="dxa"/>
              <w:left w:w="108" w:type="dxa"/>
              <w:bottom w:w="0" w:type="dxa"/>
              <w:right w:w="108" w:type="dxa"/>
            </w:tcMar>
            <w:vAlign w:val="center"/>
          </w:tcPr>
          <w:p w14:paraId="7519C780"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b/>
                <w:bCs/>
                <w:color w:val="000000"/>
                <w:sz w:val="17"/>
                <w:szCs w:val="17"/>
              </w:rPr>
            </w:pPr>
            <w:r>
              <w:rPr>
                <w:rFonts w:ascii="Century Gothic" w:eastAsia="Century Gothic" w:hAnsi="Century Gothic" w:cs="Century Gothic"/>
                <w:color w:val="000000"/>
                <w:sz w:val="17"/>
                <w:szCs w:val="17"/>
              </w:rPr>
              <w:t>4</w:t>
            </w:r>
          </w:p>
        </w:tc>
        <w:tc>
          <w:tcPr>
            <w:tcW w:w="1244" w:type="dxa"/>
            <w:tcBorders>
              <w:top w:val="single" w:sz="4" w:space="0" w:color="000000"/>
              <w:bottom w:val="single" w:sz="4" w:space="0" w:color="000000"/>
            </w:tcBorders>
            <w:tcMar>
              <w:top w:w="0" w:type="dxa"/>
              <w:left w:w="108" w:type="dxa"/>
              <w:bottom w:w="0" w:type="dxa"/>
              <w:right w:w="108" w:type="dxa"/>
            </w:tcMar>
          </w:tcPr>
          <w:p w14:paraId="790765B1"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UNIVERSO</w:t>
            </w:r>
          </w:p>
        </w:tc>
        <w:tc>
          <w:tcPr>
            <w:tcW w:w="1245" w:type="dxa"/>
            <w:tcBorders>
              <w:top w:val="single" w:sz="4" w:space="0" w:color="000000"/>
              <w:bottom w:val="single" w:sz="4" w:space="0" w:color="000000"/>
            </w:tcBorders>
          </w:tcPr>
          <w:p w14:paraId="2BD54298"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0,01</w:t>
            </w:r>
          </w:p>
        </w:tc>
        <w:tc>
          <w:tcPr>
            <w:tcW w:w="1245" w:type="dxa"/>
            <w:tcBorders>
              <w:top w:val="single" w:sz="4" w:space="0" w:color="000000"/>
              <w:bottom w:val="single" w:sz="4" w:space="0" w:color="000000"/>
            </w:tcBorders>
            <w:tcMar>
              <w:top w:w="0" w:type="dxa"/>
              <w:left w:w="108" w:type="dxa"/>
              <w:bottom w:w="0" w:type="dxa"/>
              <w:right w:w="108" w:type="dxa"/>
            </w:tcMar>
          </w:tcPr>
          <w:p w14:paraId="2F688E79"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1,0</w:t>
            </w:r>
          </w:p>
        </w:tc>
        <w:tc>
          <w:tcPr>
            <w:tcW w:w="1244" w:type="dxa"/>
            <w:tcBorders>
              <w:top w:val="single" w:sz="4" w:space="0" w:color="000000"/>
              <w:bottom w:val="single" w:sz="4" w:space="0" w:color="000000"/>
            </w:tcBorders>
            <w:tcMar>
              <w:top w:w="0" w:type="dxa"/>
              <w:left w:w="108" w:type="dxa"/>
              <w:bottom w:w="0" w:type="dxa"/>
              <w:right w:w="108" w:type="dxa"/>
            </w:tcMar>
          </w:tcPr>
          <w:p w14:paraId="592E75D9"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0,5</w:t>
            </w:r>
          </w:p>
        </w:tc>
        <w:tc>
          <w:tcPr>
            <w:tcW w:w="1245" w:type="dxa"/>
            <w:tcBorders>
              <w:top w:val="single" w:sz="4" w:space="0" w:color="000000"/>
              <w:bottom w:val="single" w:sz="4" w:space="0" w:color="000000"/>
            </w:tcBorders>
          </w:tcPr>
          <w:p w14:paraId="666BE105"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0,5</w:t>
            </w:r>
          </w:p>
        </w:tc>
        <w:tc>
          <w:tcPr>
            <w:tcW w:w="1245" w:type="dxa"/>
            <w:tcBorders>
              <w:top w:val="single" w:sz="4" w:space="0" w:color="000000"/>
              <w:bottom w:val="single" w:sz="4" w:space="0" w:color="000000"/>
            </w:tcBorders>
          </w:tcPr>
          <w:p w14:paraId="53A458D4"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0,2</w:t>
            </w:r>
          </w:p>
        </w:tc>
        <w:tc>
          <w:tcPr>
            <w:tcW w:w="1245" w:type="dxa"/>
            <w:tcBorders>
              <w:top w:val="single" w:sz="4" w:space="0" w:color="000000"/>
              <w:bottom w:val="single" w:sz="4" w:space="0" w:color="000000"/>
            </w:tcBorders>
          </w:tcPr>
          <w:p w14:paraId="62F098F3"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0,01</w:t>
            </w:r>
          </w:p>
        </w:tc>
      </w:tr>
      <w:tr w:rsidR="00EB00FA" w14:paraId="392BA7B4" w14:textId="77777777">
        <w:tc>
          <w:tcPr>
            <w:tcW w:w="358" w:type="dxa"/>
            <w:vMerge/>
            <w:tcBorders>
              <w:top w:val="single" w:sz="4" w:space="0" w:color="000000"/>
            </w:tcBorders>
            <w:tcMar>
              <w:top w:w="0" w:type="dxa"/>
              <w:left w:w="108" w:type="dxa"/>
              <w:bottom w:w="0" w:type="dxa"/>
              <w:right w:w="108" w:type="dxa"/>
            </w:tcMar>
            <w:vAlign w:val="center"/>
          </w:tcPr>
          <w:p w14:paraId="083342C4" w14:textId="77777777" w:rsidR="00EB00FA" w:rsidRDefault="00EB00FA">
            <w:pPr>
              <w:widowControl w:val="0"/>
              <w:pBdr>
                <w:top w:val="nil"/>
                <w:left w:val="nil"/>
                <w:bottom w:val="nil"/>
                <w:right w:val="nil"/>
                <w:between w:val="nil"/>
              </w:pBdr>
              <w:spacing w:line="276" w:lineRule="auto"/>
              <w:rPr>
                <w:rFonts w:ascii="Century Gothic" w:eastAsia="Century Gothic" w:hAnsi="Century Gothic" w:cs="Century Gothic"/>
                <w:color w:val="000000"/>
                <w:sz w:val="17"/>
                <w:szCs w:val="17"/>
              </w:rPr>
            </w:pPr>
          </w:p>
        </w:tc>
        <w:tc>
          <w:tcPr>
            <w:tcW w:w="1244" w:type="dxa"/>
            <w:tcBorders>
              <w:top w:val="single" w:sz="4" w:space="0" w:color="000000"/>
              <w:bottom w:val="single" w:sz="4" w:space="0" w:color="000000"/>
            </w:tcBorders>
            <w:tcMar>
              <w:top w:w="0" w:type="dxa"/>
              <w:left w:w="108" w:type="dxa"/>
              <w:bottom w:w="0" w:type="dxa"/>
              <w:right w:w="108" w:type="dxa"/>
            </w:tcMar>
          </w:tcPr>
          <w:p w14:paraId="31950B8E"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ADOTANTES</w:t>
            </w:r>
          </w:p>
        </w:tc>
        <w:tc>
          <w:tcPr>
            <w:tcW w:w="1245" w:type="dxa"/>
            <w:tcBorders>
              <w:top w:val="single" w:sz="4" w:space="0" w:color="000000"/>
              <w:bottom w:val="single" w:sz="4" w:space="0" w:color="000000"/>
            </w:tcBorders>
          </w:tcPr>
          <w:p w14:paraId="3DE922D3"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0,15</w:t>
            </w:r>
          </w:p>
        </w:tc>
        <w:tc>
          <w:tcPr>
            <w:tcW w:w="1245" w:type="dxa"/>
            <w:tcBorders>
              <w:top w:val="single" w:sz="4" w:space="0" w:color="000000"/>
              <w:bottom w:val="single" w:sz="4" w:space="0" w:color="000000"/>
            </w:tcBorders>
            <w:tcMar>
              <w:top w:w="0" w:type="dxa"/>
              <w:left w:w="108" w:type="dxa"/>
              <w:bottom w:w="0" w:type="dxa"/>
              <w:right w:w="108" w:type="dxa"/>
            </w:tcMar>
          </w:tcPr>
          <w:p w14:paraId="33E9C322"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1,0</w:t>
            </w:r>
          </w:p>
        </w:tc>
        <w:tc>
          <w:tcPr>
            <w:tcW w:w="1244" w:type="dxa"/>
            <w:tcBorders>
              <w:top w:val="single" w:sz="4" w:space="0" w:color="000000"/>
              <w:bottom w:val="single" w:sz="4" w:space="0" w:color="000000"/>
            </w:tcBorders>
            <w:tcMar>
              <w:top w:w="0" w:type="dxa"/>
              <w:left w:w="108" w:type="dxa"/>
              <w:bottom w:w="0" w:type="dxa"/>
              <w:right w:w="108" w:type="dxa"/>
            </w:tcMar>
          </w:tcPr>
          <w:p w14:paraId="29EFB7F5"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0,6</w:t>
            </w:r>
          </w:p>
        </w:tc>
        <w:tc>
          <w:tcPr>
            <w:tcW w:w="1245" w:type="dxa"/>
            <w:tcBorders>
              <w:top w:val="single" w:sz="4" w:space="0" w:color="000000"/>
              <w:bottom w:val="single" w:sz="4" w:space="0" w:color="000000"/>
            </w:tcBorders>
          </w:tcPr>
          <w:p w14:paraId="6C710C37"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0,6</w:t>
            </w:r>
          </w:p>
        </w:tc>
        <w:tc>
          <w:tcPr>
            <w:tcW w:w="1245" w:type="dxa"/>
            <w:tcBorders>
              <w:top w:val="single" w:sz="4" w:space="0" w:color="000000"/>
              <w:bottom w:val="single" w:sz="4" w:space="0" w:color="000000"/>
            </w:tcBorders>
          </w:tcPr>
          <w:p w14:paraId="47EE8E7E"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0,15</w:t>
            </w:r>
          </w:p>
        </w:tc>
        <w:tc>
          <w:tcPr>
            <w:tcW w:w="1245" w:type="dxa"/>
            <w:tcBorders>
              <w:top w:val="single" w:sz="4" w:space="0" w:color="000000"/>
              <w:bottom w:val="single" w:sz="4" w:space="0" w:color="000000"/>
            </w:tcBorders>
          </w:tcPr>
          <w:p w14:paraId="25DD62FF" w14:textId="77777777" w:rsidR="00EB00FA" w:rsidRDefault="00000000">
            <w:pPr>
              <w:pBdr>
                <w:top w:val="nil"/>
                <w:left w:val="nil"/>
                <w:bottom w:val="nil"/>
                <w:right w:val="nil"/>
                <w:between w:val="nil"/>
              </w:pBdr>
              <w:tabs>
                <w:tab w:val="left" w:pos="706"/>
              </w:tabs>
              <w:jc w:val="center"/>
              <w:rPr>
                <w:rFonts w:ascii="Century Gothic" w:eastAsia="Century Gothic" w:hAnsi="Century Gothic" w:cs="Century Gothic"/>
                <w:color w:val="000000"/>
                <w:sz w:val="17"/>
                <w:szCs w:val="17"/>
              </w:rPr>
            </w:pPr>
            <w:r>
              <w:rPr>
                <w:rFonts w:ascii="Century Gothic" w:eastAsia="Century Gothic" w:hAnsi="Century Gothic" w:cs="Century Gothic"/>
                <w:color w:val="000000"/>
                <w:sz w:val="17"/>
                <w:szCs w:val="17"/>
              </w:rPr>
              <w:t>0,15</w:t>
            </w:r>
          </w:p>
        </w:tc>
      </w:tr>
    </w:tbl>
    <w:p w14:paraId="5ACD80C7" w14:textId="08EEABA9" w:rsidR="00EB00FA" w:rsidRDefault="00000000">
      <w:pPr>
        <w:pBdr>
          <w:top w:val="nil"/>
          <w:left w:val="nil"/>
          <w:bottom w:val="nil"/>
          <w:right w:val="nil"/>
          <w:between w:val="nil"/>
        </w:pBdr>
        <w:jc w:val="both"/>
        <w:rPr>
          <w:rFonts w:ascii="Century Gothic" w:eastAsia="Century Gothic" w:hAnsi="Century Gothic" w:cs="Century Gothic"/>
          <w:sz w:val="16"/>
          <w:szCs w:val="16"/>
        </w:rPr>
      </w:pPr>
      <w:r>
        <w:rPr>
          <w:rFonts w:ascii="Century Gothic" w:eastAsia="Century Gothic" w:hAnsi="Century Gothic" w:cs="Century Gothic"/>
          <w:sz w:val="16"/>
          <w:szCs w:val="16"/>
        </w:rPr>
        <w:t>Fonte: elaboração própria com base em dados do IBGE (2022, 2024), MDS (2025) e FIRJAN (2025).</w:t>
      </w:r>
    </w:p>
    <w:p w14:paraId="18D22AB6" w14:textId="77777777" w:rsidR="00EB00FA" w:rsidRDefault="00EB00FA">
      <w:pPr>
        <w:pBdr>
          <w:top w:val="nil"/>
          <w:left w:val="nil"/>
          <w:bottom w:val="nil"/>
          <w:right w:val="nil"/>
          <w:between w:val="nil"/>
        </w:pBdr>
        <w:jc w:val="both"/>
        <w:rPr>
          <w:rFonts w:ascii="Century Gothic" w:eastAsia="Century Gothic" w:hAnsi="Century Gothic" w:cs="Century Gothic"/>
          <w:sz w:val="16"/>
          <w:szCs w:val="16"/>
        </w:rPr>
      </w:pPr>
    </w:p>
    <w:p w14:paraId="51BD487B" w14:textId="128751AC" w:rsidR="00EB00FA" w:rsidRDefault="00000000">
      <w:pPr>
        <w:ind w:firstLine="708"/>
        <w:jc w:val="both"/>
        <w:rPr>
          <w:rFonts w:ascii="Cambria" w:eastAsia="Cambria" w:hAnsi="Cambria" w:cs="Cambria"/>
          <w:sz w:val="21"/>
          <w:szCs w:val="21"/>
        </w:rPr>
      </w:pPr>
      <w:r>
        <w:rPr>
          <w:rFonts w:ascii="Cambria" w:eastAsia="Cambria" w:hAnsi="Cambria" w:cs="Cambria"/>
          <w:sz w:val="21"/>
          <w:szCs w:val="21"/>
        </w:rPr>
        <w:t xml:space="preserve">A análise do porte populacional (VI 1) revela uma expressiva variação entre os municípios pesquisados. No universo, a população varia de 1.227 a mais de 11,8 milhões de habitantes, com um desvio padrão bastante elástico (308.356). </w:t>
      </w:r>
      <w:r w:rsidR="00C2784D">
        <w:rPr>
          <w:rFonts w:ascii="Cambria" w:eastAsia="Cambria" w:hAnsi="Cambria" w:cs="Cambria"/>
          <w:sz w:val="21"/>
          <w:szCs w:val="21"/>
        </w:rPr>
        <w:t>A</w:t>
      </w:r>
      <w:r>
        <w:rPr>
          <w:rFonts w:ascii="Cambria" w:eastAsia="Cambria" w:hAnsi="Cambria" w:cs="Cambria"/>
          <w:sz w:val="21"/>
          <w:szCs w:val="21"/>
        </w:rPr>
        <w:t>o observar o grupo de adotantes, constata-se que a adoção da tarifa zero concentra-se em portes demográficos menores. A mediana dos adotantes (32.323 habitantes) é superior à do universo (18.933), mas a amplitude e o desvio padrão (87.099) são menores. O valor máximo entre os adotantes (836.475 habitantes) reflete um caso isolado de adoção da política em escala metropolitana no período analisado: o município de Teresina (PI). Grande parte dos casos concentra-se nas faixas de pequeno porte I e II (até 50 mil habitantes).</w:t>
      </w:r>
    </w:p>
    <w:p w14:paraId="659271A5" w14:textId="77E77297" w:rsidR="00EB00FA" w:rsidRDefault="00000000">
      <w:pPr>
        <w:ind w:firstLine="708"/>
        <w:jc w:val="both"/>
        <w:rPr>
          <w:rFonts w:ascii="Cambria" w:eastAsia="Cambria" w:hAnsi="Cambria" w:cs="Cambria"/>
          <w:sz w:val="21"/>
          <w:szCs w:val="21"/>
        </w:rPr>
      </w:pPr>
      <w:r>
        <w:rPr>
          <w:rFonts w:ascii="Cambria" w:eastAsia="Cambria" w:hAnsi="Cambria" w:cs="Cambria"/>
          <w:sz w:val="21"/>
          <w:szCs w:val="21"/>
        </w:rPr>
        <w:t>No que tange à proporção de pessoas de baixa renda (VI 2) no universo</w:t>
      </w:r>
      <w:r w:rsidR="004F4780">
        <w:rPr>
          <w:rFonts w:ascii="Cambria" w:eastAsia="Cambria" w:hAnsi="Cambria" w:cs="Cambria"/>
          <w:sz w:val="21"/>
          <w:szCs w:val="21"/>
        </w:rPr>
        <w:t>,</w:t>
      </w:r>
      <w:r>
        <w:rPr>
          <w:rFonts w:ascii="Cambria" w:eastAsia="Cambria" w:hAnsi="Cambria" w:cs="Cambria"/>
          <w:sz w:val="21"/>
          <w:szCs w:val="21"/>
        </w:rPr>
        <w:t xml:space="preserve"> a mediana da taxa é de 51,3%, com extremos indo de 3,0% a 90,7%</w:t>
      </w:r>
      <w:r w:rsidR="004F4780">
        <w:rPr>
          <w:rFonts w:ascii="Cambria" w:eastAsia="Cambria" w:hAnsi="Cambria" w:cs="Cambria"/>
          <w:sz w:val="21"/>
          <w:szCs w:val="21"/>
        </w:rPr>
        <w:t>;</w:t>
      </w:r>
      <w:r>
        <w:rPr>
          <w:rFonts w:ascii="Cambria" w:eastAsia="Cambria" w:hAnsi="Cambria" w:cs="Cambria"/>
          <w:sz w:val="21"/>
          <w:szCs w:val="21"/>
        </w:rPr>
        <w:t xml:space="preserve"> o grupo de adotantes da tarifa zero apresenta uma mediana consideravelmente menor, de 39,6%, com extremos variando entre 7,9% e 70,6%. O desvio padrão também é menor entre os adotantes (13,5% contra 21,0% no universo), com a taxa máxima não ultrapassando 70,6%. A variável PIB </w:t>
      </w:r>
      <w:r>
        <w:rPr>
          <w:rFonts w:ascii="Cambria" w:eastAsia="Cambria" w:hAnsi="Cambria" w:cs="Cambria"/>
          <w:i/>
          <w:iCs/>
          <w:sz w:val="21"/>
          <w:szCs w:val="21"/>
        </w:rPr>
        <w:t>per capita</w:t>
      </w:r>
      <w:r>
        <w:rPr>
          <w:rFonts w:ascii="Cambria" w:eastAsia="Cambria" w:hAnsi="Cambria" w:cs="Cambria"/>
          <w:sz w:val="21"/>
          <w:szCs w:val="21"/>
        </w:rPr>
        <w:t xml:space="preserve"> (VI 3) aponta uma concentração de riqueza e a presença de valores atípicos (</w:t>
      </w:r>
      <w:r w:rsidRPr="00C143AC">
        <w:rPr>
          <w:rFonts w:ascii="Cambria" w:eastAsia="Cambria" w:hAnsi="Cambria" w:cs="Cambria"/>
          <w:i/>
          <w:iCs/>
          <w:sz w:val="21"/>
          <w:szCs w:val="21"/>
        </w:rPr>
        <w:t>outliers</w:t>
      </w:r>
      <w:r>
        <w:rPr>
          <w:rFonts w:ascii="Cambria" w:eastAsia="Cambria" w:hAnsi="Cambria" w:cs="Cambria"/>
          <w:sz w:val="21"/>
          <w:szCs w:val="21"/>
        </w:rPr>
        <w:t xml:space="preserve">). O universo pesquisado apresenta uma mediana de R$15,3 e desvio padrão de R$25,5. </w:t>
      </w:r>
      <w:r w:rsidR="004F4780">
        <w:rPr>
          <w:rFonts w:ascii="Cambria" w:eastAsia="Cambria" w:hAnsi="Cambria" w:cs="Cambria"/>
          <w:sz w:val="21"/>
          <w:szCs w:val="21"/>
        </w:rPr>
        <w:t>Já o</w:t>
      </w:r>
      <w:r>
        <w:rPr>
          <w:rFonts w:ascii="Cambria" w:eastAsia="Cambria" w:hAnsi="Cambria" w:cs="Cambria"/>
          <w:sz w:val="21"/>
          <w:szCs w:val="21"/>
        </w:rPr>
        <w:t xml:space="preserve">s municípios adotantes exibem uma mediana levemente superior (R$ 20,1), mas um desvio padrão acentuado de R$67,8. Essa variação drástica é explicada pelo valor máximo de R$717,3 encontrado no grupo de adotantes. Isso ilustra que localidades com economias baseadas em </w:t>
      </w:r>
      <w:r w:rsidRPr="00C143AC">
        <w:rPr>
          <w:rFonts w:ascii="Cambria" w:eastAsia="Cambria" w:hAnsi="Cambria" w:cs="Cambria"/>
          <w:i/>
          <w:iCs/>
          <w:sz w:val="21"/>
          <w:szCs w:val="21"/>
        </w:rPr>
        <w:t>commodities</w:t>
      </w:r>
      <w:r>
        <w:rPr>
          <w:rFonts w:ascii="Cambria" w:eastAsia="Cambria" w:hAnsi="Cambria" w:cs="Cambria"/>
          <w:sz w:val="21"/>
          <w:szCs w:val="21"/>
        </w:rPr>
        <w:t xml:space="preserve"> ou receitas extraordinárias (Maricá-RJ e Sorriso-MT) possuem um PIB </w:t>
      </w:r>
      <w:r>
        <w:rPr>
          <w:rFonts w:ascii="Cambria" w:eastAsia="Cambria" w:hAnsi="Cambria" w:cs="Cambria"/>
          <w:i/>
          <w:iCs/>
          <w:sz w:val="21"/>
          <w:szCs w:val="21"/>
        </w:rPr>
        <w:t>per capita</w:t>
      </w:r>
      <w:r>
        <w:rPr>
          <w:rFonts w:ascii="Cambria" w:eastAsia="Cambria" w:hAnsi="Cambria" w:cs="Cambria"/>
          <w:sz w:val="21"/>
          <w:szCs w:val="21"/>
        </w:rPr>
        <w:t xml:space="preserve"> significativamente descolado da média, o que lhes confere folga orçamentária atípica para financiar políticas de alto custo, independentemente do porte populacional</w:t>
      </w:r>
    </w:p>
    <w:p w14:paraId="3E1EB469" w14:textId="15A7E843" w:rsidR="00EB00FA" w:rsidRDefault="00000000">
      <w:pPr>
        <w:ind w:firstLine="708"/>
        <w:jc w:val="both"/>
        <w:rPr>
          <w:rFonts w:ascii="Cambria" w:eastAsia="Cambria" w:hAnsi="Cambria" w:cs="Cambria"/>
          <w:sz w:val="21"/>
          <w:szCs w:val="21"/>
        </w:rPr>
      </w:pPr>
      <w:r>
        <w:rPr>
          <w:rFonts w:ascii="Cambria" w:eastAsia="Cambria" w:hAnsi="Cambria" w:cs="Cambria"/>
          <w:sz w:val="21"/>
          <w:szCs w:val="21"/>
        </w:rPr>
        <w:t xml:space="preserve">No que se refere à saúde fiscal (VI 4), o desempenho dos adotantes é superior ao do universo de pesquisa. Enquanto a mediana nacional do IFGF situa-se em 0,5 (com mínimo crítico de 0,01), a mediana dos municípios com tarifa zero atinge 0,6, um patamar indicativo de boa gestão fiscal. Além disso, o valor mínimo entre os adotantes (0,15) é superior ao do universo, e o desvio padrão é ligeiramente menor (0,15 contra 0,2), </w:t>
      </w:r>
      <w:r w:rsidR="004F4780">
        <w:rPr>
          <w:rFonts w:ascii="Cambria" w:eastAsia="Cambria" w:hAnsi="Cambria" w:cs="Cambria"/>
          <w:sz w:val="21"/>
          <w:szCs w:val="21"/>
        </w:rPr>
        <w:t xml:space="preserve">apontando </w:t>
      </w:r>
      <w:r>
        <w:rPr>
          <w:rFonts w:ascii="Cambria" w:eastAsia="Cambria" w:hAnsi="Cambria" w:cs="Cambria"/>
          <w:sz w:val="21"/>
          <w:szCs w:val="21"/>
        </w:rPr>
        <w:t xml:space="preserve">que a política </w:t>
      </w:r>
      <w:r w:rsidR="004F4780">
        <w:rPr>
          <w:rFonts w:ascii="Cambria" w:eastAsia="Cambria" w:hAnsi="Cambria" w:cs="Cambria"/>
          <w:sz w:val="21"/>
          <w:szCs w:val="21"/>
        </w:rPr>
        <w:t xml:space="preserve">pode </w:t>
      </w:r>
      <w:r>
        <w:rPr>
          <w:rFonts w:ascii="Cambria" w:eastAsia="Cambria" w:hAnsi="Cambria" w:cs="Cambria"/>
          <w:sz w:val="21"/>
          <w:szCs w:val="21"/>
        </w:rPr>
        <w:t>encontra</w:t>
      </w:r>
      <w:r w:rsidR="004F4780">
        <w:rPr>
          <w:rFonts w:ascii="Cambria" w:eastAsia="Cambria" w:hAnsi="Cambria" w:cs="Cambria"/>
          <w:sz w:val="21"/>
          <w:szCs w:val="21"/>
        </w:rPr>
        <w:t>r</w:t>
      </w:r>
      <w:r>
        <w:rPr>
          <w:rFonts w:ascii="Cambria" w:eastAsia="Cambria" w:hAnsi="Cambria" w:cs="Cambria"/>
          <w:sz w:val="21"/>
          <w:szCs w:val="21"/>
        </w:rPr>
        <w:t xml:space="preserve"> </w:t>
      </w:r>
      <w:r w:rsidR="004F4780">
        <w:rPr>
          <w:rFonts w:ascii="Cambria" w:eastAsia="Cambria" w:hAnsi="Cambria" w:cs="Cambria"/>
          <w:sz w:val="21"/>
          <w:szCs w:val="21"/>
        </w:rPr>
        <w:t xml:space="preserve">maior </w:t>
      </w:r>
      <w:r>
        <w:rPr>
          <w:rFonts w:ascii="Cambria" w:eastAsia="Cambria" w:hAnsi="Cambria" w:cs="Cambria"/>
          <w:sz w:val="21"/>
          <w:szCs w:val="21"/>
        </w:rPr>
        <w:t xml:space="preserve">viabilidade e terreno mais seguro </w:t>
      </w:r>
      <w:r w:rsidR="004F4780">
        <w:rPr>
          <w:rFonts w:ascii="Cambria" w:eastAsia="Cambria" w:hAnsi="Cambria" w:cs="Cambria"/>
          <w:sz w:val="21"/>
          <w:szCs w:val="21"/>
        </w:rPr>
        <w:t xml:space="preserve">para adoção </w:t>
      </w:r>
      <w:r>
        <w:rPr>
          <w:rFonts w:ascii="Cambria" w:eastAsia="Cambria" w:hAnsi="Cambria" w:cs="Cambria"/>
          <w:sz w:val="21"/>
          <w:szCs w:val="21"/>
        </w:rPr>
        <w:t>em entes com melhor capacidade de arrecadação e equilíbrio de contas.</w:t>
      </w:r>
    </w:p>
    <w:p w14:paraId="3AFC0872" w14:textId="77777777" w:rsidR="00EB00FA" w:rsidRDefault="00000000">
      <w:pPr>
        <w:ind w:firstLine="708"/>
        <w:jc w:val="both"/>
        <w:rPr>
          <w:rFonts w:ascii="Cambria" w:eastAsia="Cambria" w:hAnsi="Cambria" w:cs="Cambria"/>
          <w:sz w:val="21"/>
          <w:szCs w:val="21"/>
        </w:rPr>
      </w:pPr>
      <w:r>
        <w:rPr>
          <w:rFonts w:ascii="Cambria" w:eastAsia="Cambria" w:hAnsi="Cambria" w:cs="Cambria"/>
          <w:sz w:val="21"/>
          <w:szCs w:val="21"/>
        </w:rPr>
        <w:t>Por fim, no tocante à distribuição regional (VI 5), conforme abordado em seções anteriores, a estatística diagnóstica de frequências demonstra uma forte assimetria no território nacional. Diferenciando-se metodologicamente das variáveis contínuas apresentadas na Tabela 2, a análise categórica aponta que a expressiva maioria das adoções da tarifa zero está concentrada nas regiões Sudeste (n=85) e Sul (n=37) do país, sugerindo uma proximidade de arranjos institucionais e possíveis mecanismos de difusão regional da política nessas áreas em detrimento do restante do país.</w:t>
      </w:r>
    </w:p>
    <w:p w14:paraId="71DCD142" w14:textId="77777777" w:rsidR="00EB00FA" w:rsidRDefault="00EB00FA">
      <w:pPr>
        <w:jc w:val="both"/>
        <w:rPr>
          <w:rFonts w:ascii="Cambria" w:eastAsia="Cambria" w:hAnsi="Cambria" w:cs="Cambria"/>
          <w:sz w:val="21"/>
          <w:szCs w:val="21"/>
        </w:rPr>
      </w:pPr>
    </w:p>
    <w:p w14:paraId="3F54B4A2" w14:textId="77777777" w:rsidR="00EB00FA" w:rsidRDefault="00000000">
      <w:pPr>
        <w:jc w:val="both"/>
        <w:rPr>
          <w:rFonts w:ascii="Century Gothic" w:eastAsia="Century Gothic" w:hAnsi="Century Gothic" w:cs="Century Gothic"/>
          <w:b/>
          <w:bCs/>
          <w:sz w:val="22"/>
          <w:szCs w:val="22"/>
        </w:rPr>
      </w:pPr>
      <w:r>
        <w:rPr>
          <w:rFonts w:ascii="Century Gothic" w:eastAsia="Century Gothic" w:hAnsi="Century Gothic" w:cs="Century Gothic"/>
          <w:b/>
          <w:bCs/>
          <w:sz w:val="22"/>
          <w:szCs w:val="22"/>
        </w:rPr>
        <w:t>3.2.2 Resultados analíticos</w:t>
      </w:r>
    </w:p>
    <w:p w14:paraId="2FA274CF" w14:textId="77777777" w:rsidR="00EB00FA" w:rsidRDefault="00EB00FA">
      <w:pPr>
        <w:jc w:val="both"/>
        <w:rPr>
          <w:rFonts w:ascii="Cambria" w:eastAsia="Cambria" w:hAnsi="Cambria" w:cs="Cambria"/>
          <w:sz w:val="21"/>
          <w:szCs w:val="21"/>
        </w:rPr>
      </w:pPr>
    </w:p>
    <w:p w14:paraId="0667E765" w14:textId="77777777" w:rsidR="00EB00FA" w:rsidRDefault="00000000">
      <w:pPr>
        <w:ind w:firstLine="708"/>
        <w:jc w:val="both"/>
        <w:rPr>
          <w:rFonts w:ascii="Cambria" w:eastAsia="Cambria" w:hAnsi="Cambria" w:cs="Cambria"/>
          <w:sz w:val="21"/>
          <w:szCs w:val="21"/>
        </w:rPr>
      </w:pPr>
      <w:r>
        <w:rPr>
          <w:rFonts w:ascii="Cambria" w:eastAsia="Cambria" w:hAnsi="Cambria" w:cs="Cambria"/>
          <w:sz w:val="21"/>
          <w:szCs w:val="21"/>
        </w:rPr>
        <w:t>Para superar os desafios de interpretação inerentes aos modelos logísticos (Allison, 1999), os coeficientes da regressão penalizada de Firth foram convertidos em Efeitos Marginais Médios (AME). Os resultados da Figura 3 indicam a variação em pontos percentuais (</w:t>
      </w:r>
      <w:proofErr w:type="spellStart"/>
      <w:r>
        <w:rPr>
          <w:rFonts w:ascii="Cambria" w:eastAsia="Cambria" w:hAnsi="Cambria" w:cs="Cambria"/>
          <w:sz w:val="21"/>
          <w:szCs w:val="21"/>
        </w:rPr>
        <w:t>p.p</w:t>
      </w:r>
      <w:proofErr w:type="spellEnd"/>
      <w:r>
        <w:rPr>
          <w:rFonts w:ascii="Cambria" w:eastAsia="Cambria" w:hAnsi="Cambria" w:cs="Cambria"/>
          <w:sz w:val="21"/>
          <w:szCs w:val="21"/>
        </w:rPr>
        <w:t xml:space="preserve">.) na probabilidade de um </w:t>
      </w:r>
      <w:r>
        <w:rPr>
          <w:rFonts w:ascii="Cambria" w:eastAsia="Cambria" w:hAnsi="Cambria" w:cs="Cambria"/>
          <w:sz w:val="21"/>
          <w:szCs w:val="21"/>
        </w:rPr>
        <w:lastRenderedPageBreak/>
        <w:t>município adotar a tarifa zero em decorrência do acréscimo de um desvio-padrão no preditor, mantendo as demais variáveis constantes.</w:t>
      </w:r>
    </w:p>
    <w:p w14:paraId="2AB4B013" w14:textId="37BDB0C9" w:rsidR="00EB00FA" w:rsidRPr="00D27CB2" w:rsidRDefault="00FD4D86" w:rsidP="00F01E9A">
      <w:pPr>
        <w:keepNext/>
        <w:keepLines/>
        <w:pBdr>
          <w:top w:val="nil"/>
          <w:left w:val="nil"/>
          <w:bottom w:val="nil"/>
          <w:right w:val="nil"/>
          <w:between w:val="nil"/>
        </w:pBdr>
        <w:spacing w:line="288" w:lineRule="auto"/>
        <w:jc w:val="center"/>
        <w:rPr>
          <w:rFonts w:ascii="Century Gothic" w:eastAsia="Century Gothic" w:hAnsi="Century Gothic" w:cs="Century Gothic"/>
          <w:sz w:val="16"/>
          <w:szCs w:val="16"/>
        </w:rPr>
      </w:pPr>
      <w:r>
        <w:rPr>
          <w:rFonts w:ascii="Century Gothic" w:eastAsia="Century Gothic" w:hAnsi="Century Gothic" w:cs="Century Gothic"/>
          <w:b/>
          <w:bCs/>
          <w:noProof/>
          <w:color w:val="000000"/>
          <w:sz w:val="16"/>
          <w:szCs w:val="16"/>
        </w:rPr>
        <w:drawing>
          <wp:inline distT="0" distB="0" distL="0" distR="0" wp14:anchorId="0333E5B7" wp14:editId="1594C65B">
            <wp:extent cx="5760085" cy="2674620"/>
            <wp:effectExtent l="0" t="0" r="0" b="0"/>
            <wp:docPr id="4016686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68643" name="Imagem 401668643"/>
                    <pic:cNvPicPr/>
                  </pic:nvPicPr>
                  <pic:blipFill rotWithShape="1">
                    <a:blip r:embed="rId12" cstate="print">
                      <a:extLst>
                        <a:ext uri="{28A0092B-C50C-407E-A947-70E740481C1C}">
                          <a14:useLocalDpi xmlns:a14="http://schemas.microsoft.com/office/drawing/2010/main" val="0"/>
                        </a:ext>
                      </a:extLst>
                    </a:blip>
                    <a:srcRect t="4763" b="11649"/>
                    <a:stretch>
                      <a:fillRect/>
                    </a:stretch>
                  </pic:blipFill>
                  <pic:spPr bwMode="auto">
                    <a:xfrm>
                      <a:off x="0" y="0"/>
                      <a:ext cx="5760085" cy="2674620"/>
                    </a:xfrm>
                    <a:prstGeom prst="rect">
                      <a:avLst/>
                    </a:prstGeom>
                    <a:ln>
                      <a:noFill/>
                    </a:ln>
                    <a:extLst>
                      <a:ext uri="{53640926-AAD7-44D8-BBD7-CCE9431645EC}">
                        <a14:shadowObscured xmlns:a14="http://schemas.microsoft.com/office/drawing/2010/main"/>
                      </a:ext>
                    </a:extLst>
                  </pic:spPr>
                </pic:pic>
              </a:graphicData>
            </a:graphic>
          </wp:inline>
        </w:drawing>
      </w:r>
      <w:r w:rsidR="00D27CB2" w:rsidRPr="00870317">
        <w:rPr>
          <w:rFonts w:ascii="Century Gothic" w:eastAsia="Century Gothic" w:hAnsi="Century Gothic" w:cs="Century Gothic"/>
          <w:b/>
          <w:bCs/>
          <w:color w:val="000000"/>
          <w:sz w:val="16"/>
          <w:szCs w:val="16"/>
        </w:rPr>
        <w:t>Figura 3</w:t>
      </w:r>
      <w:r w:rsidR="00D27CB2" w:rsidRPr="00870317">
        <w:rPr>
          <w:rFonts w:ascii="Century Gothic" w:eastAsia="Century Gothic" w:hAnsi="Century Gothic" w:cs="Century Gothic"/>
          <w:color w:val="000000"/>
          <w:sz w:val="16"/>
          <w:szCs w:val="16"/>
        </w:rPr>
        <w:t xml:space="preserve"> - Resultados regressão logística penalizada de Firth</w:t>
      </w:r>
      <w:r w:rsidR="00870317">
        <w:rPr>
          <w:rFonts w:ascii="Century Gothic" w:eastAsia="Century Gothic" w:hAnsi="Century Gothic" w:cs="Century Gothic"/>
          <w:color w:val="000000"/>
          <w:sz w:val="16"/>
          <w:szCs w:val="16"/>
        </w:rPr>
        <w:t xml:space="preserve">. </w:t>
      </w:r>
      <w:r w:rsidR="00D27CB2" w:rsidRPr="00D27CB2">
        <w:rPr>
          <w:rFonts w:ascii="Century Gothic" w:eastAsia="Century Gothic" w:hAnsi="Century Gothic" w:cs="Century Gothic"/>
          <w:sz w:val="16"/>
          <w:szCs w:val="16"/>
        </w:rPr>
        <w:t>Fonte: elaboração própria.</w:t>
      </w:r>
    </w:p>
    <w:p w14:paraId="70D37FF9" w14:textId="77777777" w:rsidR="00EB00FA" w:rsidRDefault="00EB00FA">
      <w:pPr>
        <w:pBdr>
          <w:top w:val="nil"/>
          <w:left w:val="nil"/>
          <w:bottom w:val="nil"/>
          <w:right w:val="nil"/>
          <w:between w:val="nil"/>
        </w:pBdr>
        <w:jc w:val="both"/>
        <w:rPr>
          <w:rFonts w:ascii="Century Gothic" w:eastAsia="Century Gothic" w:hAnsi="Century Gothic" w:cs="Century Gothic"/>
          <w:sz w:val="16"/>
          <w:szCs w:val="16"/>
        </w:rPr>
      </w:pPr>
    </w:p>
    <w:p w14:paraId="7CE160B3" w14:textId="77777777" w:rsidR="00EB00FA" w:rsidRDefault="00000000">
      <w:pPr>
        <w:pBdr>
          <w:top w:val="nil"/>
          <w:left w:val="nil"/>
          <w:bottom w:val="nil"/>
          <w:right w:val="nil"/>
          <w:between w:val="nil"/>
        </w:pBdr>
        <w:ind w:firstLine="708"/>
        <w:jc w:val="both"/>
        <w:rPr>
          <w:rFonts w:ascii="Cambria" w:eastAsia="Cambria" w:hAnsi="Cambria" w:cs="Cambria"/>
          <w:sz w:val="21"/>
          <w:szCs w:val="21"/>
        </w:rPr>
      </w:pPr>
      <w:r>
        <w:rPr>
          <w:rFonts w:ascii="Cambria" w:eastAsia="Cambria" w:hAnsi="Cambria" w:cs="Cambria"/>
          <w:sz w:val="21"/>
          <w:szCs w:val="21"/>
        </w:rPr>
        <w:t xml:space="preserve">Para a variável População (VI 1) o Modelo 1 identificou um ponto de inflexão estatisticamente significante em 48.420 habitantes. Os resultados do Modelo 2 atestam que, para a faixa </w:t>
      </w:r>
      <w:proofErr w:type="spellStart"/>
      <w:r>
        <w:rPr>
          <w:rFonts w:ascii="Cambria" w:eastAsia="Cambria" w:hAnsi="Cambria" w:cs="Cambria"/>
          <w:sz w:val="21"/>
          <w:szCs w:val="21"/>
        </w:rPr>
        <w:t>pré</w:t>
      </w:r>
      <w:proofErr w:type="spellEnd"/>
      <w:r>
        <w:rPr>
          <w:rFonts w:ascii="Cambria" w:eastAsia="Cambria" w:hAnsi="Cambria" w:cs="Cambria"/>
          <w:sz w:val="21"/>
          <w:szCs w:val="21"/>
        </w:rPr>
        <w:t xml:space="preserve">-inflexão, </w:t>
      </w:r>
      <w:proofErr w:type="spellStart"/>
      <w:r>
        <w:rPr>
          <w:rFonts w:ascii="Cambria" w:eastAsia="Cambria" w:hAnsi="Cambria" w:cs="Cambria"/>
          <w:i/>
          <w:iCs/>
          <w:sz w:val="21"/>
          <w:szCs w:val="21"/>
        </w:rPr>
        <w:t>ceteris</w:t>
      </w:r>
      <w:proofErr w:type="spellEnd"/>
      <w:r>
        <w:rPr>
          <w:rFonts w:ascii="Cambria" w:eastAsia="Cambria" w:hAnsi="Cambria" w:cs="Cambria"/>
          <w:i/>
          <w:iCs/>
          <w:sz w:val="21"/>
          <w:szCs w:val="21"/>
        </w:rPr>
        <w:t xml:space="preserve"> </w:t>
      </w:r>
      <w:proofErr w:type="spellStart"/>
      <w:r>
        <w:rPr>
          <w:rFonts w:ascii="Cambria" w:eastAsia="Cambria" w:hAnsi="Cambria" w:cs="Cambria"/>
          <w:i/>
          <w:iCs/>
          <w:sz w:val="21"/>
          <w:szCs w:val="21"/>
        </w:rPr>
        <w:t>paribus</w:t>
      </w:r>
      <w:proofErr w:type="spellEnd"/>
      <w:r>
        <w:rPr>
          <w:rFonts w:ascii="Cambria" w:eastAsia="Cambria" w:hAnsi="Cambria" w:cs="Cambria"/>
          <w:sz w:val="21"/>
          <w:szCs w:val="21"/>
        </w:rPr>
        <w:t xml:space="preserve">, o acréscimo de 1 desvio-padrão populacional eleva em 5,8 </w:t>
      </w:r>
      <w:proofErr w:type="spellStart"/>
      <w:r>
        <w:rPr>
          <w:rFonts w:ascii="Cambria" w:eastAsia="Cambria" w:hAnsi="Cambria" w:cs="Cambria"/>
          <w:sz w:val="21"/>
          <w:szCs w:val="21"/>
        </w:rPr>
        <w:t>p.p</w:t>
      </w:r>
      <w:proofErr w:type="spellEnd"/>
      <w:r>
        <w:rPr>
          <w:rFonts w:ascii="Cambria" w:eastAsia="Cambria" w:hAnsi="Cambria" w:cs="Cambria"/>
          <w:sz w:val="21"/>
          <w:szCs w:val="21"/>
        </w:rPr>
        <w:t xml:space="preserve">. a probabilidade de adoção da política (IC 95%: 3,9 a 7,7 </w:t>
      </w:r>
      <w:proofErr w:type="spellStart"/>
      <w:r>
        <w:rPr>
          <w:rFonts w:ascii="Cambria" w:eastAsia="Cambria" w:hAnsi="Cambria" w:cs="Cambria"/>
          <w:sz w:val="21"/>
          <w:szCs w:val="21"/>
        </w:rPr>
        <w:t>p.p</w:t>
      </w:r>
      <w:proofErr w:type="spellEnd"/>
      <w:r>
        <w:rPr>
          <w:rFonts w:ascii="Cambria" w:eastAsia="Cambria" w:hAnsi="Cambria" w:cs="Cambria"/>
          <w:sz w:val="21"/>
          <w:szCs w:val="21"/>
        </w:rPr>
        <w:t xml:space="preserve">., p-valor &lt; 0,001). Para a faixa pós-inflexão, </w:t>
      </w:r>
      <w:proofErr w:type="spellStart"/>
      <w:r>
        <w:rPr>
          <w:rFonts w:ascii="Cambria" w:eastAsia="Cambria" w:hAnsi="Cambria" w:cs="Cambria"/>
          <w:i/>
          <w:iCs/>
          <w:sz w:val="21"/>
          <w:szCs w:val="21"/>
        </w:rPr>
        <w:t>ceteris</w:t>
      </w:r>
      <w:proofErr w:type="spellEnd"/>
      <w:r>
        <w:rPr>
          <w:rFonts w:ascii="Cambria" w:eastAsia="Cambria" w:hAnsi="Cambria" w:cs="Cambria"/>
          <w:i/>
          <w:iCs/>
          <w:sz w:val="21"/>
          <w:szCs w:val="21"/>
        </w:rPr>
        <w:t xml:space="preserve"> </w:t>
      </w:r>
      <w:proofErr w:type="spellStart"/>
      <w:r>
        <w:rPr>
          <w:rFonts w:ascii="Cambria" w:eastAsia="Cambria" w:hAnsi="Cambria" w:cs="Cambria"/>
          <w:i/>
          <w:iCs/>
          <w:sz w:val="21"/>
          <w:szCs w:val="21"/>
        </w:rPr>
        <w:t>paribus</w:t>
      </w:r>
      <w:proofErr w:type="spellEnd"/>
      <w:r>
        <w:rPr>
          <w:rFonts w:ascii="Cambria" w:eastAsia="Cambria" w:hAnsi="Cambria" w:cs="Cambria"/>
          <w:sz w:val="21"/>
          <w:szCs w:val="21"/>
        </w:rPr>
        <w:t xml:space="preserve">, (municípios acima de 48,4 mil habitantes), o acréscimo de 1 desvio-padrão diminui em -5,4 </w:t>
      </w:r>
      <w:proofErr w:type="spellStart"/>
      <w:r>
        <w:rPr>
          <w:rFonts w:ascii="Cambria" w:eastAsia="Cambria" w:hAnsi="Cambria" w:cs="Cambria"/>
          <w:sz w:val="21"/>
          <w:szCs w:val="21"/>
        </w:rPr>
        <w:t>p.p</w:t>
      </w:r>
      <w:proofErr w:type="spellEnd"/>
      <w:r>
        <w:rPr>
          <w:rFonts w:ascii="Cambria" w:eastAsia="Cambria" w:hAnsi="Cambria" w:cs="Cambria"/>
          <w:sz w:val="21"/>
          <w:szCs w:val="21"/>
        </w:rPr>
        <w:t xml:space="preserve">. a probabilidade de adoção (IC 95%: -8,2 a -2,7 </w:t>
      </w:r>
      <w:proofErr w:type="spellStart"/>
      <w:r>
        <w:rPr>
          <w:rFonts w:ascii="Cambria" w:eastAsia="Cambria" w:hAnsi="Cambria" w:cs="Cambria"/>
          <w:sz w:val="21"/>
          <w:szCs w:val="21"/>
        </w:rPr>
        <w:t>p.p</w:t>
      </w:r>
      <w:proofErr w:type="spellEnd"/>
      <w:r>
        <w:rPr>
          <w:rFonts w:ascii="Cambria" w:eastAsia="Cambria" w:hAnsi="Cambria" w:cs="Cambria"/>
          <w:sz w:val="21"/>
          <w:szCs w:val="21"/>
        </w:rPr>
        <w:t>., p-valor &lt; 0,001).</w:t>
      </w:r>
    </w:p>
    <w:p w14:paraId="6D47ACEF" w14:textId="77777777" w:rsidR="00EB00FA" w:rsidRDefault="00000000">
      <w:pPr>
        <w:pBdr>
          <w:top w:val="nil"/>
          <w:left w:val="nil"/>
          <w:bottom w:val="nil"/>
          <w:right w:val="nil"/>
          <w:between w:val="nil"/>
        </w:pBdr>
        <w:ind w:firstLine="708"/>
        <w:jc w:val="both"/>
        <w:rPr>
          <w:rFonts w:ascii="Cambria" w:eastAsia="Cambria" w:hAnsi="Cambria" w:cs="Cambria"/>
          <w:sz w:val="21"/>
          <w:szCs w:val="21"/>
        </w:rPr>
      </w:pPr>
      <w:r>
        <w:rPr>
          <w:rFonts w:ascii="Cambria" w:eastAsia="Cambria" w:hAnsi="Cambria" w:cs="Cambria"/>
          <w:sz w:val="21"/>
          <w:szCs w:val="21"/>
        </w:rPr>
        <w:t xml:space="preserve">A variável (VI 2), proporção de pessoas de baixa renda no </w:t>
      </w:r>
      <w:proofErr w:type="spellStart"/>
      <w:r>
        <w:rPr>
          <w:rFonts w:ascii="Cambria" w:eastAsia="Cambria" w:hAnsi="Cambria" w:cs="Cambria"/>
          <w:sz w:val="21"/>
          <w:szCs w:val="21"/>
        </w:rPr>
        <w:t>CadÚnico</w:t>
      </w:r>
      <w:proofErr w:type="spellEnd"/>
      <w:r>
        <w:rPr>
          <w:rFonts w:ascii="Cambria" w:eastAsia="Cambria" w:hAnsi="Cambria" w:cs="Cambria"/>
          <w:sz w:val="21"/>
          <w:szCs w:val="21"/>
        </w:rPr>
        <w:t xml:space="preserve">, apresentou, conforme Modelo 1, um ponto de inflexão estatisticamente significante em 52,2%. Na faixa </w:t>
      </w:r>
      <w:proofErr w:type="spellStart"/>
      <w:r>
        <w:rPr>
          <w:rFonts w:ascii="Cambria" w:eastAsia="Cambria" w:hAnsi="Cambria" w:cs="Cambria"/>
          <w:sz w:val="21"/>
          <w:szCs w:val="21"/>
        </w:rPr>
        <w:t>pré</w:t>
      </w:r>
      <w:proofErr w:type="spellEnd"/>
      <w:r>
        <w:rPr>
          <w:rFonts w:ascii="Cambria" w:eastAsia="Cambria" w:hAnsi="Cambria" w:cs="Cambria"/>
          <w:sz w:val="21"/>
          <w:szCs w:val="21"/>
        </w:rPr>
        <w:t xml:space="preserve">-inflexão, </w:t>
      </w:r>
      <w:proofErr w:type="spellStart"/>
      <w:r>
        <w:rPr>
          <w:rFonts w:ascii="Cambria" w:eastAsia="Cambria" w:hAnsi="Cambria" w:cs="Cambria"/>
          <w:i/>
          <w:iCs/>
          <w:sz w:val="21"/>
          <w:szCs w:val="21"/>
        </w:rPr>
        <w:t>ceteris</w:t>
      </w:r>
      <w:proofErr w:type="spellEnd"/>
      <w:r>
        <w:rPr>
          <w:rFonts w:ascii="Cambria" w:eastAsia="Cambria" w:hAnsi="Cambria" w:cs="Cambria"/>
          <w:i/>
          <w:iCs/>
          <w:sz w:val="21"/>
          <w:szCs w:val="21"/>
        </w:rPr>
        <w:t xml:space="preserve"> </w:t>
      </w:r>
      <w:proofErr w:type="spellStart"/>
      <w:r>
        <w:rPr>
          <w:rFonts w:ascii="Cambria" w:eastAsia="Cambria" w:hAnsi="Cambria" w:cs="Cambria"/>
          <w:i/>
          <w:iCs/>
          <w:sz w:val="21"/>
          <w:szCs w:val="21"/>
        </w:rPr>
        <w:t>paribus</w:t>
      </w:r>
      <w:proofErr w:type="spellEnd"/>
      <w:r>
        <w:rPr>
          <w:rFonts w:ascii="Cambria" w:eastAsia="Cambria" w:hAnsi="Cambria" w:cs="Cambria"/>
          <w:i/>
          <w:iCs/>
          <w:sz w:val="21"/>
          <w:szCs w:val="21"/>
        </w:rPr>
        <w:t>,</w:t>
      </w:r>
      <w:r>
        <w:rPr>
          <w:rFonts w:ascii="Cambria" w:eastAsia="Cambria" w:hAnsi="Cambria" w:cs="Cambria"/>
          <w:sz w:val="21"/>
          <w:szCs w:val="21"/>
        </w:rPr>
        <w:t xml:space="preserve"> o aumento de 1 desvio-padrão eleva em 3,5 </w:t>
      </w:r>
      <w:proofErr w:type="spellStart"/>
      <w:r>
        <w:rPr>
          <w:rFonts w:ascii="Cambria" w:eastAsia="Cambria" w:hAnsi="Cambria" w:cs="Cambria"/>
          <w:sz w:val="21"/>
          <w:szCs w:val="21"/>
        </w:rPr>
        <w:t>p.p</w:t>
      </w:r>
      <w:proofErr w:type="spellEnd"/>
      <w:r>
        <w:rPr>
          <w:rFonts w:ascii="Cambria" w:eastAsia="Cambria" w:hAnsi="Cambria" w:cs="Cambria"/>
          <w:sz w:val="21"/>
          <w:szCs w:val="21"/>
        </w:rPr>
        <w:t xml:space="preserve">. a probabilidade de adoção (IC 95%: 1,5 a 5,5 </w:t>
      </w:r>
      <w:proofErr w:type="spellStart"/>
      <w:r>
        <w:rPr>
          <w:rFonts w:ascii="Cambria" w:eastAsia="Cambria" w:hAnsi="Cambria" w:cs="Cambria"/>
          <w:sz w:val="21"/>
          <w:szCs w:val="21"/>
        </w:rPr>
        <w:t>p.p</w:t>
      </w:r>
      <w:proofErr w:type="spellEnd"/>
      <w:r>
        <w:rPr>
          <w:rFonts w:ascii="Cambria" w:eastAsia="Cambria" w:hAnsi="Cambria" w:cs="Cambria"/>
          <w:sz w:val="21"/>
          <w:szCs w:val="21"/>
        </w:rPr>
        <w:t>., p-valor &lt; 0,001). Já na faixa pós-inflexão,</w:t>
      </w:r>
      <w:r>
        <w:rPr>
          <w:rFonts w:ascii="Cambria" w:eastAsia="Cambria" w:hAnsi="Cambria" w:cs="Cambria"/>
          <w:i/>
          <w:iCs/>
          <w:sz w:val="21"/>
          <w:szCs w:val="21"/>
        </w:rPr>
        <w:t xml:space="preserve"> </w:t>
      </w:r>
      <w:proofErr w:type="spellStart"/>
      <w:r>
        <w:rPr>
          <w:rFonts w:ascii="Cambria" w:eastAsia="Cambria" w:hAnsi="Cambria" w:cs="Cambria"/>
          <w:i/>
          <w:iCs/>
          <w:sz w:val="21"/>
          <w:szCs w:val="21"/>
        </w:rPr>
        <w:t>ceteris</w:t>
      </w:r>
      <w:proofErr w:type="spellEnd"/>
      <w:r>
        <w:rPr>
          <w:rFonts w:ascii="Cambria" w:eastAsia="Cambria" w:hAnsi="Cambria" w:cs="Cambria"/>
          <w:i/>
          <w:iCs/>
          <w:sz w:val="21"/>
          <w:szCs w:val="21"/>
        </w:rPr>
        <w:t xml:space="preserve"> </w:t>
      </w:r>
      <w:proofErr w:type="spellStart"/>
      <w:r>
        <w:rPr>
          <w:rFonts w:ascii="Cambria" w:eastAsia="Cambria" w:hAnsi="Cambria" w:cs="Cambria"/>
          <w:i/>
          <w:iCs/>
          <w:sz w:val="21"/>
          <w:szCs w:val="21"/>
        </w:rPr>
        <w:t>paribus</w:t>
      </w:r>
      <w:proofErr w:type="spellEnd"/>
      <w:r>
        <w:rPr>
          <w:rFonts w:ascii="Cambria" w:eastAsia="Cambria" w:hAnsi="Cambria" w:cs="Cambria"/>
          <w:i/>
          <w:iCs/>
          <w:sz w:val="21"/>
          <w:szCs w:val="21"/>
        </w:rPr>
        <w:t>,</w:t>
      </w:r>
      <w:r>
        <w:rPr>
          <w:rFonts w:ascii="Cambria" w:eastAsia="Cambria" w:hAnsi="Cambria" w:cs="Cambria"/>
          <w:sz w:val="21"/>
          <w:szCs w:val="21"/>
        </w:rPr>
        <w:t xml:space="preserve"> o acréscimo de 1 desvio-padrão reduz a probabilidade de adoção em -8,4 </w:t>
      </w:r>
      <w:proofErr w:type="spellStart"/>
      <w:r>
        <w:rPr>
          <w:rFonts w:ascii="Cambria" w:eastAsia="Cambria" w:hAnsi="Cambria" w:cs="Cambria"/>
          <w:sz w:val="21"/>
          <w:szCs w:val="21"/>
        </w:rPr>
        <w:t>p.p</w:t>
      </w:r>
      <w:proofErr w:type="spellEnd"/>
      <w:r>
        <w:rPr>
          <w:rFonts w:ascii="Cambria" w:eastAsia="Cambria" w:hAnsi="Cambria" w:cs="Cambria"/>
          <w:sz w:val="21"/>
          <w:szCs w:val="21"/>
        </w:rPr>
        <w:t xml:space="preserve">. (IC 95%: -13,3 a -2,7 </w:t>
      </w:r>
      <w:proofErr w:type="spellStart"/>
      <w:r>
        <w:rPr>
          <w:rFonts w:ascii="Cambria" w:eastAsia="Cambria" w:hAnsi="Cambria" w:cs="Cambria"/>
          <w:sz w:val="21"/>
          <w:szCs w:val="21"/>
        </w:rPr>
        <w:t>p.p</w:t>
      </w:r>
      <w:proofErr w:type="spellEnd"/>
      <w:r>
        <w:rPr>
          <w:rFonts w:ascii="Cambria" w:eastAsia="Cambria" w:hAnsi="Cambria" w:cs="Cambria"/>
          <w:sz w:val="21"/>
          <w:szCs w:val="21"/>
        </w:rPr>
        <w:t xml:space="preserve">., p-valor &lt; 0,001). </w:t>
      </w:r>
    </w:p>
    <w:p w14:paraId="71C23B0B" w14:textId="77777777" w:rsidR="00EB00FA" w:rsidRDefault="00000000">
      <w:pPr>
        <w:pBdr>
          <w:top w:val="nil"/>
          <w:left w:val="nil"/>
          <w:bottom w:val="nil"/>
          <w:right w:val="nil"/>
          <w:between w:val="nil"/>
        </w:pBdr>
        <w:ind w:firstLine="708"/>
        <w:jc w:val="both"/>
        <w:rPr>
          <w:rFonts w:ascii="Cambria" w:eastAsia="Cambria" w:hAnsi="Cambria" w:cs="Cambria"/>
          <w:sz w:val="21"/>
          <w:szCs w:val="21"/>
        </w:rPr>
      </w:pPr>
      <w:r>
        <w:rPr>
          <w:rFonts w:ascii="Cambria" w:eastAsia="Cambria" w:hAnsi="Cambria" w:cs="Cambria"/>
          <w:sz w:val="21"/>
          <w:szCs w:val="21"/>
        </w:rPr>
        <w:t xml:space="preserve">Para a variável PIB </w:t>
      </w:r>
      <w:r>
        <w:rPr>
          <w:rFonts w:ascii="Cambria" w:eastAsia="Cambria" w:hAnsi="Cambria" w:cs="Cambria"/>
          <w:i/>
          <w:iCs/>
          <w:sz w:val="21"/>
          <w:szCs w:val="21"/>
        </w:rPr>
        <w:t>per capita</w:t>
      </w:r>
      <w:r>
        <w:rPr>
          <w:rFonts w:ascii="Cambria" w:eastAsia="Cambria" w:hAnsi="Cambria" w:cs="Cambria"/>
          <w:sz w:val="21"/>
          <w:szCs w:val="21"/>
        </w:rPr>
        <w:t xml:space="preserve"> (VI 3), os resultados mostram uma relação linear e positiva contínua. Mantendo-se as demais variáveis constantes, o acréscimo de 1 desvio-padrão na riqueza relativa do município eleva em 1,5 </w:t>
      </w:r>
      <w:proofErr w:type="spellStart"/>
      <w:r>
        <w:rPr>
          <w:rFonts w:ascii="Cambria" w:eastAsia="Cambria" w:hAnsi="Cambria" w:cs="Cambria"/>
          <w:sz w:val="21"/>
          <w:szCs w:val="21"/>
        </w:rPr>
        <w:t>p.p</w:t>
      </w:r>
      <w:proofErr w:type="spellEnd"/>
      <w:r>
        <w:rPr>
          <w:rFonts w:ascii="Cambria" w:eastAsia="Cambria" w:hAnsi="Cambria" w:cs="Cambria"/>
          <w:sz w:val="21"/>
          <w:szCs w:val="21"/>
        </w:rPr>
        <w:t xml:space="preserve">. a probabilidade de adoção da política (IC 95%: 0,5 a 2,6 </w:t>
      </w:r>
      <w:proofErr w:type="spellStart"/>
      <w:r>
        <w:rPr>
          <w:rFonts w:ascii="Cambria" w:eastAsia="Cambria" w:hAnsi="Cambria" w:cs="Cambria"/>
          <w:sz w:val="21"/>
          <w:szCs w:val="21"/>
        </w:rPr>
        <w:t>p.p</w:t>
      </w:r>
      <w:proofErr w:type="spellEnd"/>
      <w:r>
        <w:rPr>
          <w:rFonts w:ascii="Cambria" w:eastAsia="Cambria" w:hAnsi="Cambria" w:cs="Cambria"/>
          <w:sz w:val="21"/>
          <w:szCs w:val="21"/>
        </w:rPr>
        <w:t xml:space="preserve">., p-valor = 0,005). A variável de situação fiscal, </w:t>
      </w:r>
      <w:proofErr w:type="spellStart"/>
      <w:r>
        <w:rPr>
          <w:rFonts w:ascii="Cambria" w:eastAsia="Cambria" w:hAnsi="Cambria" w:cs="Cambria"/>
          <w:i/>
          <w:iCs/>
          <w:sz w:val="21"/>
          <w:szCs w:val="21"/>
        </w:rPr>
        <w:t>ceteris</w:t>
      </w:r>
      <w:proofErr w:type="spellEnd"/>
      <w:r>
        <w:rPr>
          <w:rFonts w:ascii="Cambria" w:eastAsia="Cambria" w:hAnsi="Cambria" w:cs="Cambria"/>
          <w:i/>
          <w:iCs/>
          <w:sz w:val="21"/>
          <w:szCs w:val="21"/>
        </w:rPr>
        <w:t xml:space="preserve"> </w:t>
      </w:r>
      <w:proofErr w:type="spellStart"/>
      <w:r>
        <w:rPr>
          <w:rFonts w:ascii="Cambria" w:eastAsia="Cambria" w:hAnsi="Cambria" w:cs="Cambria"/>
          <w:i/>
          <w:iCs/>
          <w:sz w:val="21"/>
          <w:szCs w:val="21"/>
        </w:rPr>
        <w:t>paribus</w:t>
      </w:r>
      <w:proofErr w:type="spellEnd"/>
      <w:r>
        <w:rPr>
          <w:rFonts w:ascii="Cambria" w:eastAsia="Cambria" w:hAnsi="Cambria" w:cs="Cambria"/>
          <w:sz w:val="21"/>
          <w:szCs w:val="21"/>
        </w:rPr>
        <w:t xml:space="preserve">, aponta que o aumento de 1 desvio-padrão no IFGF do município eleva em 1,7 </w:t>
      </w:r>
      <w:proofErr w:type="spellStart"/>
      <w:r>
        <w:rPr>
          <w:rFonts w:ascii="Cambria" w:eastAsia="Cambria" w:hAnsi="Cambria" w:cs="Cambria"/>
          <w:sz w:val="21"/>
          <w:szCs w:val="21"/>
        </w:rPr>
        <w:t>p.p</w:t>
      </w:r>
      <w:proofErr w:type="spellEnd"/>
      <w:r>
        <w:rPr>
          <w:rFonts w:ascii="Cambria" w:eastAsia="Cambria" w:hAnsi="Cambria" w:cs="Cambria"/>
          <w:sz w:val="21"/>
          <w:szCs w:val="21"/>
        </w:rPr>
        <w:t xml:space="preserve">. a probabilidade do evento (IC 95%: 0,4 a 2,9 </w:t>
      </w:r>
      <w:proofErr w:type="spellStart"/>
      <w:r>
        <w:rPr>
          <w:rFonts w:ascii="Cambria" w:eastAsia="Cambria" w:hAnsi="Cambria" w:cs="Cambria"/>
          <w:sz w:val="21"/>
          <w:szCs w:val="21"/>
        </w:rPr>
        <w:t>p.p</w:t>
      </w:r>
      <w:proofErr w:type="spellEnd"/>
      <w:r>
        <w:rPr>
          <w:rFonts w:ascii="Cambria" w:eastAsia="Cambria" w:hAnsi="Cambria" w:cs="Cambria"/>
          <w:sz w:val="21"/>
          <w:szCs w:val="21"/>
        </w:rPr>
        <w:t>., p-valor = 0,009).</w:t>
      </w:r>
    </w:p>
    <w:p w14:paraId="435FF654" w14:textId="77777777" w:rsidR="00EB00FA" w:rsidRDefault="00000000">
      <w:pPr>
        <w:pBdr>
          <w:top w:val="nil"/>
          <w:left w:val="nil"/>
          <w:bottom w:val="nil"/>
          <w:right w:val="nil"/>
          <w:between w:val="nil"/>
        </w:pBdr>
        <w:ind w:firstLine="708"/>
        <w:jc w:val="both"/>
        <w:rPr>
          <w:rFonts w:ascii="Cambria" w:eastAsia="Cambria" w:hAnsi="Cambria" w:cs="Cambria"/>
          <w:sz w:val="21"/>
          <w:szCs w:val="21"/>
        </w:rPr>
      </w:pPr>
      <w:r>
        <w:rPr>
          <w:rFonts w:ascii="Cambria" w:eastAsia="Cambria" w:hAnsi="Cambria" w:cs="Cambria"/>
          <w:sz w:val="21"/>
          <w:szCs w:val="21"/>
        </w:rPr>
        <w:t>Por fim, para a variável geográfica,</w:t>
      </w:r>
      <w:r>
        <w:rPr>
          <w:rFonts w:ascii="Cambria" w:eastAsia="Cambria" w:hAnsi="Cambria" w:cs="Cambria"/>
          <w:i/>
          <w:iCs/>
          <w:sz w:val="21"/>
          <w:szCs w:val="21"/>
        </w:rPr>
        <w:t xml:space="preserve"> </w:t>
      </w:r>
      <w:proofErr w:type="spellStart"/>
      <w:r>
        <w:rPr>
          <w:rFonts w:ascii="Cambria" w:eastAsia="Cambria" w:hAnsi="Cambria" w:cs="Cambria"/>
          <w:i/>
          <w:iCs/>
          <w:sz w:val="21"/>
          <w:szCs w:val="21"/>
        </w:rPr>
        <w:t>ceteris</w:t>
      </w:r>
      <w:proofErr w:type="spellEnd"/>
      <w:r>
        <w:rPr>
          <w:rFonts w:ascii="Cambria" w:eastAsia="Cambria" w:hAnsi="Cambria" w:cs="Cambria"/>
          <w:i/>
          <w:iCs/>
          <w:sz w:val="21"/>
          <w:szCs w:val="21"/>
        </w:rPr>
        <w:t xml:space="preserve"> </w:t>
      </w:r>
      <w:proofErr w:type="spellStart"/>
      <w:r>
        <w:rPr>
          <w:rFonts w:ascii="Cambria" w:eastAsia="Cambria" w:hAnsi="Cambria" w:cs="Cambria"/>
          <w:i/>
          <w:iCs/>
          <w:sz w:val="21"/>
          <w:szCs w:val="21"/>
        </w:rPr>
        <w:t>paribus</w:t>
      </w:r>
      <w:proofErr w:type="spellEnd"/>
      <w:r>
        <w:rPr>
          <w:rFonts w:ascii="Cambria" w:eastAsia="Cambria" w:hAnsi="Cambria" w:cs="Cambria"/>
          <w:sz w:val="21"/>
          <w:szCs w:val="21"/>
        </w:rPr>
        <w:t xml:space="preserve">, estar situado na região Sudeste (em relação à região Norte, adotada como base de referência) aumenta em 6,0 </w:t>
      </w:r>
      <w:proofErr w:type="spellStart"/>
      <w:r>
        <w:rPr>
          <w:rFonts w:ascii="Cambria" w:eastAsia="Cambria" w:hAnsi="Cambria" w:cs="Cambria"/>
          <w:sz w:val="21"/>
          <w:szCs w:val="21"/>
        </w:rPr>
        <w:t>p.p</w:t>
      </w:r>
      <w:proofErr w:type="spellEnd"/>
      <w:r>
        <w:rPr>
          <w:rFonts w:ascii="Cambria" w:eastAsia="Cambria" w:hAnsi="Cambria" w:cs="Cambria"/>
          <w:sz w:val="21"/>
          <w:szCs w:val="21"/>
        </w:rPr>
        <w:t xml:space="preserve">. a probabilidade de adoção da tarifa zero (IC 95%: 3,2 a 8,9 </w:t>
      </w:r>
      <w:proofErr w:type="spellStart"/>
      <w:r>
        <w:rPr>
          <w:rFonts w:ascii="Cambria" w:eastAsia="Cambria" w:hAnsi="Cambria" w:cs="Cambria"/>
          <w:sz w:val="21"/>
          <w:szCs w:val="21"/>
        </w:rPr>
        <w:t>p.p</w:t>
      </w:r>
      <w:proofErr w:type="spellEnd"/>
      <w:r>
        <w:rPr>
          <w:rFonts w:ascii="Cambria" w:eastAsia="Cambria" w:hAnsi="Cambria" w:cs="Cambria"/>
          <w:sz w:val="21"/>
          <w:szCs w:val="21"/>
        </w:rPr>
        <w:t>., p-valor &lt; 0,001). As estimativas para as demais macrorregiões (Nordeste, Centro-Oeste e Sul) não apresentaram significância estatística ao nível de 5%.</w:t>
      </w:r>
    </w:p>
    <w:p w14:paraId="5379CC8E" w14:textId="77777777" w:rsidR="00EB00FA" w:rsidRDefault="00EB00FA">
      <w:pPr>
        <w:pBdr>
          <w:top w:val="nil"/>
          <w:left w:val="nil"/>
          <w:bottom w:val="nil"/>
          <w:right w:val="nil"/>
          <w:between w:val="nil"/>
        </w:pBdr>
        <w:ind w:firstLine="708"/>
        <w:jc w:val="both"/>
        <w:rPr>
          <w:rFonts w:ascii="Cambria" w:eastAsia="Cambria" w:hAnsi="Cambria" w:cs="Cambria"/>
          <w:sz w:val="21"/>
          <w:szCs w:val="21"/>
        </w:rPr>
      </w:pPr>
    </w:p>
    <w:p w14:paraId="02A94DD7" w14:textId="77777777" w:rsidR="00EB00FA" w:rsidRDefault="00000000">
      <w:pPr>
        <w:jc w:val="both"/>
        <w:rPr>
          <w:rFonts w:ascii="Century Gothic" w:eastAsia="Century Gothic" w:hAnsi="Century Gothic" w:cs="Century Gothic"/>
          <w:b/>
          <w:bCs/>
          <w:sz w:val="22"/>
          <w:szCs w:val="22"/>
        </w:rPr>
      </w:pPr>
      <w:r>
        <w:rPr>
          <w:rFonts w:ascii="Century Gothic" w:eastAsia="Century Gothic" w:hAnsi="Century Gothic" w:cs="Century Gothic"/>
          <w:b/>
          <w:bCs/>
          <w:sz w:val="22"/>
          <w:szCs w:val="22"/>
        </w:rPr>
        <w:t>3.3 Discussão dos resultados</w:t>
      </w:r>
    </w:p>
    <w:p w14:paraId="341BD3F3" w14:textId="77777777" w:rsidR="00EB00FA" w:rsidRDefault="00EB00FA">
      <w:pPr>
        <w:jc w:val="both"/>
        <w:rPr>
          <w:rFonts w:ascii="Cambria" w:eastAsia="Cambria" w:hAnsi="Cambria" w:cs="Cambria"/>
          <w:sz w:val="21"/>
          <w:szCs w:val="21"/>
        </w:rPr>
      </w:pPr>
    </w:p>
    <w:p w14:paraId="2A9ED684" w14:textId="72E217D7" w:rsidR="00EB00FA" w:rsidRDefault="00000000">
      <w:pPr>
        <w:pBdr>
          <w:top w:val="nil"/>
          <w:left w:val="nil"/>
          <w:bottom w:val="nil"/>
          <w:right w:val="nil"/>
          <w:between w:val="nil"/>
        </w:pBdr>
        <w:ind w:firstLine="708"/>
        <w:jc w:val="both"/>
        <w:rPr>
          <w:rFonts w:ascii="Cambria" w:eastAsia="Cambria" w:hAnsi="Cambria" w:cs="Cambria"/>
          <w:sz w:val="21"/>
          <w:szCs w:val="21"/>
        </w:rPr>
      </w:pPr>
      <w:r>
        <w:rPr>
          <w:rFonts w:ascii="Cambria" w:eastAsia="Cambria" w:hAnsi="Cambria" w:cs="Cambria"/>
          <w:sz w:val="21"/>
          <w:szCs w:val="21"/>
        </w:rPr>
        <w:t>A literatura aponta que municípios com menores populações são os que tendem a adotar mais a política de tarifa zero (Santini, 2019), sem especificar o perfil populacional que facilita a política e realizar testes mais robustos de correlação. O artigo conseguiu avançar neste aspecto ao evidenciar uma relação quadrática entre tamanho da população e probabilidade de implementação. O ponto de inflexão estimado foi 48.420 habitantes, sendo que municípios com população inferior a esse limiar apresentam maior propensão à adoção da tarifa zero. Acima desse limiar, a relação passa a ser negativa. Com isso, a hipótese (</w:t>
      </w:r>
      <m:oMath>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H</m:t>
            </m:r>
          </m:e>
          <m:sub>
            <m:r>
              <w:rPr>
                <w:rFonts w:ascii="Cambria Math" w:eastAsia="Cambria Math" w:hAnsi="Cambria Math" w:cs="Cambria Math"/>
                <w:sz w:val="21"/>
                <w:szCs w:val="21"/>
              </w:rPr>
              <m:t>1</m:t>
            </m:r>
          </m:sub>
        </m:sSub>
      </m:oMath>
      <w:r>
        <w:rPr>
          <w:rFonts w:ascii="Cambria" w:eastAsia="Cambria" w:hAnsi="Cambria" w:cs="Cambria"/>
          <w:sz w:val="21"/>
          <w:szCs w:val="21"/>
        </w:rPr>
        <w:t xml:space="preserve">) foi reforçada parcialmente, já que ter menor população diminui a probabilidade de adoção da política </w:t>
      </w:r>
      <w:r w:rsidR="0019534C">
        <w:rPr>
          <w:rFonts w:ascii="Cambria" w:eastAsia="Cambria" w:hAnsi="Cambria" w:cs="Cambria"/>
          <w:sz w:val="21"/>
          <w:szCs w:val="21"/>
        </w:rPr>
        <w:t xml:space="preserve">somente </w:t>
      </w:r>
      <w:r>
        <w:rPr>
          <w:rFonts w:ascii="Cambria" w:eastAsia="Cambria" w:hAnsi="Cambria" w:cs="Cambria"/>
          <w:sz w:val="21"/>
          <w:szCs w:val="21"/>
        </w:rPr>
        <w:t>abaixo do ponto de inflexão identificado.</w:t>
      </w:r>
    </w:p>
    <w:p w14:paraId="2A984A24" w14:textId="0307DF7B" w:rsidR="00EB00FA" w:rsidRDefault="00000000">
      <w:pPr>
        <w:pBdr>
          <w:top w:val="nil"/>
          <w:left w:val="nil"/>
          <w:bottom w:val="nil"/>
          <w:right w:val="nil"/>
          <w:between w:val="nil"/>
        </w:pBdr>
        <w:ind w:firstLine="708"/>
        <w:jc w:val="both"/>
        <w:rPr>
          <w:rFonts w:ascii="Cambria" w:eastAsia="Cambria" w:hAnsi="Cambria" w:cs="Cambria"/>
          <w:sz w:val="21"/>
          <w:szCs w:val="21"/>
        </w:rPr>
      </w:pPr>
      <w:r>
        <w:rPr>
          <w:rFonts w:ascii="Cambria" w:eastAsia="Cambria" w:hAnsi="Cambria" w:cs="Cambria"/>
          <w:sz w:val="21"/>
          <w:szCs w:val="21"/>
        </w:rPr>
        <w:t>Sobre a proporção de pessoas de baixa renda nos municípios (VI 2), de forma análoga ao perfil populacional, obteve-se maior precisão no entendimento dos efeitos dessa variação sobre a adoção. Observou-se um ponto de inflexão em 52,2%. Com isso, a hipótese (</w:t>
      </w:r>
      <m:oMath>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H</m:t>
            </m:r>
          </m:e>
          <m:sub>
            <m:r>
              <w:rPr>
                <w:rFonts w:ascii="Cambria Math" w:eastAsia="Cambria Math" w:hAnsi="Cambria Math" w:cs="Cambria Math"/>
                <w:sz w:val="21"/>
                <w:szCs w:val="21"/>
              </w:rPr>
              <m:t>2</m:t>
            </m:r>
          </m:sub>
        </m:sSub>
      </m:oMath>
      <w:r>
        <w:rPr>
          <w:rFonts w:ascii="Cambria" w:eastAsia="Cambria" w:hAnsi="Cambria" w:cs="Cambria"/>
          <w:sz w:val="21"/>
          <w:szCs w:val="21"/>
        </w:rPr>
        <w:t xml:space="preserve">) é reforçada de forma parcial. </w:t>
      </w:r>
      <w:r w:rsidR="00CF4E3F">
        <w:rPr>
          <w:rFonts w:ascii="Cambria" w:eastAsia="Cambria" w:hAnsi="Cambria" w:cs="Cambria"/>
          <w:sz w:val="21"/>
          <w:szCs w:val="21"/>
        </w:rPr>
        <w:t xml:space="preserve">No ponto </w:t>
      </w:r>
      <w:proofErr w:type="spellStart"/>
      <w:r w:rsidR="00CF4E3F">
        <w:rPr>
          <w:rFonts w:ascii="Cambria" w:eastAsia="Cambria" w:hAnsi="Cambria" w:cs="Cambria"/>
          <w:sz w:val="21"/>
          <w:szCs w:val="21"/>
        </w:rPr>
        <w:t>pré</w:t>
      </w:r>
      <w:proofErr w:type="spellEnd"/>
      <w:r w:rsidR="00CF4E3F">
        <w:rPr>
          <w:rFonts w:ascii="Cambria" w:eastAsia="Cambria" w:hAnsi="Cambria" w:cs="Cambria"/>
          <w:sz w:val="21"/>
          <w:szCs w:val="21"/>
        </w:rPr>
        <w:t>-inflexão o</w:t>
      </w:r>
      <w:r>
        <w:rPr>
          <w:rFonts w:ascii="Cambria" w:eastAsia="Cambria" w:hAnsi="Cambria" w:cs="Cambria"/>
          <w:sz w:val="21"/>
          <w:szCs w:val="21"/>
        </w:rPr>
        <w:t xml:space="preserve"> aumento da proporção de baixa renda eleva em 3,5 </w:t>
      </w:r>
      <w:proofErr w:type="spellStart"/>
      <w:r>
        <w:rPr>
          <w:rFonts w:ascii="Cambria" w:eastAsia="Cambria" w:hAnsi="Cambria" w:cs="Cambria"/>
          <w:sz w:val="21"/>
          <w:szCs w:val="21"/>
        </w:rPr>
        <w:t>p.p</w:t>
      </w:r>
      <w:proofErr w:type="spellEnd"/>
      <w:r>
        <w:rPr>
          <w:rFonts w:ascii="Cambria" w:eastAsia="Cambria" w:hAnsi="Cambria" w:cs="Cambria"/>
          <w:sz w:val="21"/>
          <w:szCs w:val="21"/>
        </w:rPr>
        <w:t xml:space="preserve">. a probabilidade de adoção, o que pode indicar, segundo a literatura, uma resposta a pressões sociais e democráticas por mobilidade redistributiva (Domingues et al., 2025). Não obstante, ao ultrapassar o limiar de 52,2%, o </w:t>
      </w:r>
      <w:r>
        <w:rPr>
          <w:rFonts w:ascii="Cambria" w:eastAsia="Cambria" w:hAnsi="Cambria" w:cs="Cambria"/>
          <w:sz w:val="21"/>
          <w:szCs w:val="21"/>
        </w:rPr>
        <w:lastRenderedPageBreak/>
        <w:t xml:space="preserve">efeito se inverte (-8,4 </w:t>
      </w:r>
      <w:proofErr w:type="spellStart"/>
      <w:r>
        <w:rPr>
          <w:rFonts w:ascii="Cambria" w:eastAsia="Cambria" w:hAnsi="Cambria" w:cs="Cambria"/>
          <w:sz w:val="21"/>
          <w:szCs w:val="21"/>
        </w:rPr>
        <w:t>p.p</w:t>
      </w:r>
      <w:proofErr w:type="spellEnd"/>
      <w:r>
        <w:rPr>
          <w:rFonts w:ascii="Cambria" w:eastAsia="Cambria" w:hAnsi="Cambria" w:cs="Cambria"/>
          <w:sz w:val="21"/>
          <w:szCs w:val="21"/>
        </w:rPr>
        <w:t>.). Esse achado sugere, em linha com estudos sobre capacidade estatal (Anônimo, 2018), que contextos de extrema fragilidade social local podem coincidir com uma escassez de base tributária própria, dificultando o suporte material necessário para o financiamento de políticas de subsídio integral.</w:t>
      </w:r>
    </w:p>
    <w:p w14:paraId="2F6105CB" w14:textId="77777777" w:rsidR="00EB00FA" w:rsidRDefault="00000000">
      <w:pPr>
        <w:pBdr>
          <w:top w:val="nil"/>
          <w:left w:val="nil"/>
          <w:bottom w:val="nil"/>
          <w:right w:val="nil"/>
          <w:between w:val="nil"/>
        </w:pBdr>
        <w:ind w:firstLine="708"/>
        <w:jc w:val="both"/>
        <w:rPr>
          <w:rFonts w:ascii="Cambria" w:eastAsia="Cambria" w:hAnsi="Cambria" w:cs="Cambria"/>
          <w:sz w:val="21"/>
          <w:szCs w:val="21"/>
        </w:rPr>
      </w:pPr>
      <w:r>
        <w:rPr>
          <w:rFonts w:ascii="Cambria" w:eastAsia="Cambria" w:hAnsi="Cambria" w:cs="Cambria"/>
          <w:sz w:val="21"/>
          <w:szCs w:val="21"/>
        </w:rPr>
        <w:t xml:space="preserve">A riqueza econômica (VI 3) atua como um preditor linear. O modelo evidenciou que o acréscimo de um desvio-padrão no PIB </w:t>
      </w:r>
      <w:r>
        <w:rPr>
          <w:rFonts w:ascii="Cambria" w:eastAsia="Cambria" w:hAnsi="Cambria" w:cs="Cambria"/>
          <w:i/>
          <w:iCs/>
          <w:sz w:val="21"/>
          <w:szCs w:val="21"/>
        </w:rPr>
        <w:t>per capita</w:t>
      </w:r>
      <w:r>
        <w:rPr>
          <w:rFonts w:ascii="Cambria" w:eastAsia="Cambria" w:hAnsi="Cambria" w:cs="Cambria"/>
          <w:sz w:val="21"/>
          <w:szCs w:val="21"/>
        </w:rPr>
        <w:t xml:space="preserve"> eleva em 1,5 </w:t>
      </w:r>
      <w:proofErr w:type="spellStart"/>
      <w:r>
        <w:rPr>
          <w:rFonts w:ascii="Cambria" w:eastAsia="Cambria" w:hAnsi="Cambria" w:cs="Cambria"/>
          <w:sz w:val="21"/>
          <w:szCs w:val="21"/>
        </w:rPr>
        <w:t>p.p</w:t>
      </w:r>
      <w:proofErr w:type="spellEnd"/>
      <w:r>
        <w:rPr>
          <w:rFonts w:ascii="Cambria" w:eastAsia="Cambria" w:hAnsi="Cambria" w:cs="Cambria"/>
          <w:sz w:val="21"/>
          <w:szCs w:val="21"/>
        </w:rPr>
        <w:t>. a probabilidade de um município adotar a política, apoiando a hipótese de pesquisa (</w:t>
      </w:r>
      <m:oMath>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H</m:t>
            </m:r>
          </m:e>
          <m:sub>
            <m:r>
              <w:rPr>
                <w:rFonts w:ascii="Cambria Math" w:eastAsia="Cambria Math" w:hAnsi="Cambria Math" w:cs="Cambria Math"/>
                <w:sz w:val="21"/>
                <w:szCs w:val="21"/>
              </w:rPr>
              <m:t>3</m:t>
            </m:r>
          </m:sub>
        </m:sSub>
      </m:oMath>
      <w:r>
        <w:rPr>
          <w:rFonts w:ascii="Cambria" w:eastAsia="Cambria" w:hAnsi="Cambria" w:cs="Cambria"/>
          <w:sz w:val="21"/>
          <w:szCs w:val="21"/>
        </w:rPr>
        <w:t xml:space="preserve">). Tal achado vai ao encontro de Pereira (2024), que defende a relação teórica entre maior PIB </w:t>
      </w:r>
      <w:r>
        <w:rPr>
          <w:rFonts w:ascii="Cambria" w:eastAsia="Cambria" w:hAnsi="Cambria" w:cs="Cambria"/>
          <w:i/>
          <w:iCs/>
          <w:sz w:val="21"/>
          <w:szCs w:val="21"/>
        </w:rPr>
        <w:t>per capita</w:t>
      </w:r>
      <w:r>
        <w:rPr>
          <w:rFonts w:ascii="Cambria" w:eastAsia="Cambria" w:hAnsi="Cambria" w:cs="Cambria"/>
          <w:sz w:val="21"/>
          <w:szCs w:val="21"/>
        </w:rPr>
        <w:t xml:space="preserve"> e maior disponibilidade financeira para assumir novos gastos públicos de impacto contínuo.</w:t>
      </w:r>
    </w:p>
    <w:p w14:paraId="382817DC" w14:textId="77777777" w:rsidR="00EB00FA" w:rsidRDefault="00000000">
      <w:pPr>
        <w:ind w:firstLine="708"/>
        <w:jc w:val="both"/>
        <w:rPr>
          <w:rFonts w:ascii="Cambria" w:eastAsia="Cambria" w:hAnsi="Cambria" w:cs="Cambria"/>
          <w:sz w:val="21"/>
          <w:szCs w:val="21"/>
        </w:rPr>
      </w:pPr>
      <w:r>
        <w:rPr>
          <w:rFonts w:ascii="Cambria" w:eastAsia="Cambria" w:hAnsi="Cambria" w:cs="Cambria"/>
          <w:sz w:val="21"/>
          <w:szCs w:val="21"/>
        </w:rPr>
        <w:t xml:space="preserve">Em relação à saúde fiscal (VI 4), a pesquisa evidenciou que um melhor desempenho no IFGF está associado a uma maior viabilidade da política, elevando em 1,7 </w:t>
      </w:r>
      <w:proofErr w:type="spellStart"/>
      <w:r>
        <w:rPr>
          <w:rFonts w:ascii="Cambria" w:eastAsia="Cambria" w:hAnsi="Cambria" w:cs="Cambria"/>
          <w:sz w:val="21"/>
          <w:szCs w:val="21"/>
        </w:rPr>
        <w:t>p.p</w:t>
      </w:r>
      <w:proofErr w:type="spellEnd"/>
      <w:r>
        <w:rPr>
          <w:rFonts w:ascii="Cambria" w:eastAsia="Cambria" w:hAnsi="Cambria" w:cs="Cambria"/>
          <w:sz w:val="21"/>
          <w:szCs w:val="21"/>
        </w:rPr>
        <w:t>. a probabilidade de adoção. A hipótese (</w:t>
      </w:r>
      <m:oMath>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H</m:t>
            </m:r>
          </m:e>
          <m:sub>
            <m:r>
              <w:rPr>
                <w:rFonts w:ascii="Cambria Math" w:eastAsia="Cambria Math" w:hAnsi="Cambria Math" w:cs="Cambria Math"/>
                <w:sz w:val="21"/>
                <w:szCs w:val="21"/>
              </w:rPr>
              <m:t>4</m:t>
            </m:r>
          </m:sub>
        </m:sSub>
      </m:oMath>
      <w:r>
        <w:rPr>
          <w:rFonts w:ascii="Cambria" w:eastAsia="Cambria" w:hAnsi="Cambria" w:cs="Cambria"/>
          <w:sz w:val="21"/>
          <w:szCs w:val="21"/>
        </w:rPr>
        <w:t>) de pesquisa foi reforçada neste caso, indicando que a transição de um regime de financiamento tarifário (usuário-pagador) para a subsidiação pública correlaciona-se com melhor capacidade fiscal.</w:t>
      </w:r>
    </w:p>
    <w:p w14:paraId="752827F6" w14:textId="77777777" w:rsidR="00EB00FA" w:rsidRDefault="00000000">
      <w:pPr>
        <w:pBdr>
          <w:top w:val="nil"/>
          <w:left w:val="nil"/>
          <w:bottom w:val="nil"/>
          <w:right w:val="nil"/>
          <w:between w:val="nil"/>
        </w:pBdr>
        <w:ind w:firstLine="708"/>
        <w:jc w:val="both"/>
        <w:rPr>
          <w:rFonts w:ascii="Cambria" w:eastAsia="Cambria" w:hAnsi="Cambria" w:cs="Cambria"/>
          <w:sz w:val="21"/>
          <w:szCs w:val="21"/>
        </w:rPr>
      </w:pPr>
      <w:r>
        <w:rPr>
          <w:rFonts w:ascii="Cambria" w:eastAsia="Cambria" w:hAnsi="Cambria" w:cs="Cambria"/>
          <w:sz w:val="21"/>
          <w:szCs w:val="21"/>
        </w:rPr>
        <w:t xml:space="preserve">O estudo encontrou ainda que a inserção do município na região Sudeste (VI 5) eleva a probabilidade de adoção da política (aumento de 6,0 </w:t>
      </w:r>
      <w:proofErr w:type="spellStart"/>
      <w:r>
        <w:rPr>
          <w:rFonts w:ascii="Cambria" w:eastAsia="Cambria" w:hAnsi="Cambria" w:cs="Cambria"/>
          <w:sz w:val="21"/>
          <w:szCs w:val="21"/>
        </w:rPr>
        <w:t>p.p</w:t>
      </w:r>
      <w:proofErr w:type="spellEnd"/>
      <w:r>
        <w:rPr>
          <w:rFonts w:ascii="Cambria" w:eastAsia="Cambria" w:hAnsi="Cambria" w:cs="Cambria"/>
          <w:sz w:val="21"/>
          <w:szCs w:val="21"/>
        </w:rPr>
        <w:t>. em relação à região Norte, utilizada como base), apoiando parcialmente a hipótese de pesquisa, já que pertencer à região Sul não se mostrou estatisticamente significativo ao nível de 5%. Esse achado encontra respaldo em autores como Shipan e Volden (2008), que apontam a difusão de políticas públicas como uma possível explicação para a concentração geográfica, sugerindo que a proximidade territorial pode criar um ambiente propício para que gestores locais repliquem inovações institucionais de administrações vizinhas.</w:t>
      </w:r>
    </w:p>
    <w:p w14:paraId="20920ECA" w14:textId="052414E1" w:rsidR="00EB00FA" w:rsidRDefault="00000000">
      <w:pPr>
        <w:pBdr>
          <w:top w:val="nil"/>
          <w:left w:val="nil"/>
          <w:bottom w:val="nil"/>
          <w:right w:val="nil"/>
          <w:between w:val="nil"/>
        </w:pBdr>
        <w:ind w:firstLine="708"/>
        <w:jc w:val="both"/>
        <w:rPr>
          <w:rFonts w:ascii="Century Gothic" w:eastAsia="Century Gothic" w:hAnsi="Century Gothic" w:cs="Century Gothic"/>
          <w:sz w:val="18"/>
          <w:szCs w:val="18"/>
        </w:rPr>
      </w:pPr>
      <w:r>
        <w:rPr>
          <w:rFonts w:ascii="Cambria" w:eastAsia="Cambria" w:hAnsi="Cambria" w:cs="Cambria"/>
          <w:sz w:val="21"/>
          <w:szCs w:val="21"/>
        </w:rPr>
        <w:t xml:space="preserve">No geral, os resultados apontam que a adoção da tarifa zero é facilitada ou restringida por um conjunto de características </w:t>
      </w:r>
      <w:r w:rsidR="003137B8">
        <w:rPr>
          <w:rFonts w:ascii="Cambria" w:eastAsia="Cambria" w:hAnsi="Cambria" w:cs="Cambria"/>
          <w:sz w:val="21"/>
          <w:szCs w:val="21"/>
        </w:rPr>
        <w:t>que se apresenta na</w:t>
      </w:r>
      <w:r>
        <w:rPr>
          <w:rFonts w:ascii="Cambria" w:eastAsia="Cambria" w:hAnsi="Cambria" w:cs="Cambria"/>
          <w:sz w:val="21"/>
          <w:szCs w:val="21"/>
        </w:rPr>
        <w:t xml:space="preserve"> realidade municipal brasileira </w:t>
      </w:r>
      <w:r w:rsidR="003137B8">
        <w:rPr>
          <w:rFonts w:ascii="Cambria" w:eastAsia="Cambria" w:hAnsi="Cambria" w:cs="Cambria"/>
          <w:sz w:val="21"/>
          <w:szCs w:val="21"/>
        </w:rPr>
        <w:t xml:space="preserve">de forma </w:t>
      </w:r>
      <w:r>
        <w:rPr>
          <w:rFonts w:ascii="Cambria" w:eastAsia="Cambria" w:hAnsi="Cambria" w:cs="Cambria"/>
          <w:sz w:val="21"/>
          <w:szCs w:val="21"/>
        </w:rPr>
        <w:t>heterogênea. Ao contrastar a magnitude dos efeitos marginais médios (</w:t>
      </w:r>
      <w:proofErr w:type="spellStart"/>
      <w:r>
        <w:rPr>
          <w:rFonts w:ascii="Cambria" w:eastAsia="Cambria" w:hAnsi="Cambria" w:cs="Cambria"/>
          <w:sz w:val="21"/>
          <w:szCs w:val="21"/>
        </w:rPr>
        <w:t>p.p</w:t>
      </w:r>
      <w:proofErr w:type="spellEnd"/>
      <w:r>
        <w:rPr>
          <w:rFonts w:ascii="Cambria" w:eastAsia="Cambria" w:hAnsi="Cambria" w:cs="Cambria"/>
          <w:sz w:val="21"/>
          <w:szCs w:val="21"/>
        </w:rPr>
        <w:t xml:space="preserve">.), a localização na região Sudeste, em relação à região base, apresentou o maior efeito positivo estimado pelo modelo (+6,0 </w:t>
      </w:r>
      <w:proofErr w:type="spellStart"/>
      <w:r>
        <w:rPr>
          <w:rFonts w:ascii="Cambria" w:eastAsia="Cambria" w:hAnsi="Cambria" w:cs="Cambria"/>
          <w:sz w:val="21"/>
          <w:szCs w:val="21"/>
        </w:rPr>
        <w:t>p.p</w:t>
      </w:r>
      <w:proofErr w:type="spellEnd"/>
      <w:r>
        <w:rPr>
          <w:rFonts w:ascii="Cambria" w:eastAsia="Cambria" w:hAnsi="Cambria" w:cs="Cambria"/>
          <w:sz w:val="21"/>
          <w:szCs w:val="21"/>
        </w:rPr>
        <w:t xml:space="preserve">.). O tamanho da população configurou-se como o segundo preditor positivo mais expressivo: na faixa </w:t>
      </w:r>
      <w:proofErr w:type="spellStart"/>
      <w:r>
        <w:rPr>
          <w:rFonts w:ascii="Cambria" w:eastAsia="Cambria" w:hAnsi="Cambria" w:cs="Cambria"/>
          <w:sz w:val="21"/>
          <w:szCs w:val="21"/>
        </w:rPr>
        <w:t>pré</w:t>
      </w:r>
      <w:proofErr w:type="spellEnd"/>
      <w:r>
        <w:rPr>
          <w:rFonts w:ascii="Cambria" w:eastAsia="Cambria" w:hAnsi="Cambria" w:cs="Cambria"/>
          <w:sz w:val="21"/>
          <w:szCs w:val="21"/>
        </w:rPr>
        <w:t xml:space="preserve">-inflexão (até 48.420 habitantes), o acréscimo de um desvio-padrão associa-se a uma elevação de 5,8 </w:t>
      </w:r>
      <w:proofErr w:type="spellStart"/>
      <w:r>
        <w:rPr>
          <w:rFonts w:ascii="Cambria" w:eastAsia="Cambria" w:hAnsi="Cambria" w:cs="Cambria"/>
          <w:sz w:val="21"/>
          <w:szCs w:val="21"/>
        </w:rPr>
        <w:t>p.p</w:t>
      </w:r>
      <w:proofErr w:type="spellEnd"/>
      <w:r>
        <w:rPr>
          <w:rFonts w:ascii="Cambria" w:eastAsia="Cambria" w:hAnsi="Cambria" w:cs="Cambria"/>
          <w:sz w:val="21"/>
          <w:szCs w:val="21"/>
        </w:rPr>
        <w:t xml:space="preserve">. na probabilidade de adoção. Contudo, ao ultrapassar esse limiar, o modelo estima uma associação negativa (-5,4 </w:t>
      </w:r>
      <w:proofErr w:type="spellStart"/>
      <w:r>
        <w:rPr>
          <w:rFonts w:ascii="Cambria" w:eastAsia="Cambria" w:hAnsi="Cambria" w:cs="Cambria"/>
          <w:sz w:val="21"/>
          <w:szCs w:val="21"/>
        </w:rPr>
        <w:t>p.p</w:t>
      </w:r>
      <w:proofErr w:type="spellEnd"/>
      <w:r>
        <w:rPr>
          <w:rFonts w:ascii="Cambria" w:eastAsia="Cambria" w:hAnsi="Cambria" w:cs="Cambria"/>
          <w:sz w:val="21"/>
          <w:szCs w:val="21"/>
        </w:rPr>
        <w:t>.). Comportamento análogo foi observado na proporção de pessoas de baixa renda</w:t>
      </w:r>
      <w:r w:rsidR="00D601D5">
        <w:rPr>
          <w:rFonts w:ascii="Cambria" w:eastAsia="Cambria" w:hAnsi="Cambria" w:cs="Cambria"/>
          <w:sz w:val="21"/>
          <w:szCs w:val="21"/>
        </w:rPr>
        <w:t>,</w:t>
      </w:r>
      <w:r>
        <w:rPr>
          <w:rFonts w:ascii="Cambria" w:eastAsia="Cambria" w:hAnsi="Cambria" w:cs="Cambria"/>
          <w:sz w:val="21"/>
          <w:szCs w:val="21"/>
        </w:rPr>
        <w:t xml:space="preserve"> o modelo aponta um efeito positivo inicial (+3,5 </w:t>
      </w:r>
      <w:proofErr w:type="spellStart"/>
      <w:r>
        <w:rPr>
          <w:rFonts w:ascii="Cambria" w:eastAsia="Cambria" w:hAnsi="Cambria" w:cs="Cambria"/>
          <w:sz w:val="21"/>
          <w:szCs w:val="21"/>
        </w:rPr>
        <w:t>p.p</w:t>
      </w:r>
      <w:proofErr w:type="spellEnd"/>
      <w:r>
        <w:rPr>
          <w:rFonts w:ascii="Cambria" w:eastAsia="Cambria" w:hAnsi="Cambria" w:cs="Cambria"/>
          <w:sz w:val="21"/>
          <w:szCs w:val="21"/>
        </w:rPr>
        <w:t xml:space="preserve">.) que se inverte ao cruzar o limiar de 52,2%, registrando o maior efeito marginal negativo estimado pela regressão (-8,4 </w:t>
      </w:r>
      <w:proofErr w:type="spellStart"/>
      <w:r>
        <w:rPr>
          <w:rFonts w:ascii="Cambria" w:eastAsia="Cambria" w:hAnsi="Cambria" w:cs="Cambria"/>
          <w:sz w:val="21"/>
          <w:szCs w:val="21"/>
        </w:rPr>
        <w:t>p.p</w:t>
      </w:r>
      <w:proofErr w:type="spellEnd"/>
      <w:r>
        <w:rPr>
          <w:rFonts w:ascii="Cambria" w:eastAsia="Cambria" w:hAnsi="Cambria" w:cs="Cambria"/>
          <w:sz w:val="21"/>
          <w:szCs w:val="21"/>
        </w:rPr>
        <w:t xml:space="preserve">.). Por fim, as variáveis situação fiscal (+1,7 </w:t>
      </w:r>
      <w:proofErr w:type="spellStart"/>
      <w:r>
        <w:rPr>
          <w:rFonts w:ascii="Cambria" w:eastAsia="Cambria" w:hAnsi="Cambria" w:cs="Cambria"/>
          <w:sz w:val="21"/>
          <w:szCs w:val="21"/>
        </w:rPr>
        <w:t>p.p</w:t>
      </w:r>
      <w:proofErr w:type="spellEnd"/>
      <w:r>
        <w:rPr>
          <w:rFonts w:ascii="Cambria" w:eastAsia="Cambria" w:hAnsi="Cambria" w:cs="Cambria"/>
          <w:sz w:val="21"/>
          <w:szCs w:val="21"/>
        </w:rPr>
        <w:t xml:space="preserve">.) e PIB </w:t>
      </w:r>
      <w:r>
        <w:rPr>
          <w:rFonts w:ascii="Cambria" w:eastAsia="Cambria" w:hAnsi="Cambria" w:cs="Cambria"/>
          <w:i/>
          <w:iCs/>
          <w:sz w:val="21"/>
          <w:szCs w:val="21"/>
        </w:rPr>
        <w:t>per capita</w:t>
      </w:r>
      <w:r>
        <w:rPr>
          <w:rFonts w:ascii="Cambria" w:eastAsia="Cambria" w:hAnsi="Cambria" w:cs="Cambria"/>
          <w:sz w:val="21"/>
          <w:szCs w:val="21"/>
        </w:rPr>
        <w:t xml:space="preserve"> (+1,5 </w:t>
      </w:r>
      <w:proofErr w:type="spellStart"/>
      <w:r>
        <w:rPr>
          <w:rFonts w:ascii="Cambria" w:eastAsia="Cambria" w:hAnsi="Cambria" w:cs="Cambria"/>
          <w:sz w:val="21"/>
          <w:szCs w:val="21"/>
        </w:rPr>
        <w:t>p.p</w:t>
      </w:r>
      <w:proofErr w:type="spellEnd"/>
      <w:r>
        <w:rPr>
          <w:rFonts w:ascii="Cambria" w:eastAsia="Cambria" w:hAnsi="Cambria" w:cs="Cambria"/>
          <w:sz w:val="21"/>
          <w:szCs w:val="21"/>
        </w:rPr>
        <w:t>.) apresentaram coeficientes positivos e estatisticamente significantes, indicando que incrementos nessas áreas estão correlacionados à maior probabilidade de adoção da política, embora demonstrem uma magnitude de correlação inferior à observada nas variáveis demográficas e de localização regional.</w:t>
      </w:r>
    </w:p>
    <w:p w14:paraId="1E4E3021" w14:textId="77777777" w:rsidR="00EB00FA" w:rsidRDefault="00000000">
      <w:pPr>
        <w:keepNext/>
        <w:keepLines/>
        <w:pBdr>
          <w:top w:val="nil"/>
          <w:left w:val="nil"/>
          <w:bottom w:val="nil"/>
          <w:right w:val="nil"/>
          <w:between w:val="nil"/>
        </w:pBdr>
        <w:spacing w:before="510" w:after="283" w:line="288" w:lineRule="auto"/>
        <w:rPr>
          <w:rFonts w:ascii="Century Gothic" w:eastAsia="Century Gothic" w:hAnsi="Century Gothic" w:cs="Century Gothic"/>
          <w:b/>
          <w:bCs/>
          <w:color w:val="000000"/>
          <w:sz w:val="22"/>
          <w:szCs w:val="22"/>
        </w:rPr>
      </w:pPr>
      <w:r>
        <w:rPr>
          <w:rFonts w:ascii="Century Gothic" w:eastAsia="Century Gothic" w:hAnsi="Century Gothic" w:cs="Century Gothic"/>
          <w:b/>
          <w:bCs/>
          <w:color w:val="000000"/>
          <w:sz w:val="22"/>
          <w:szCs w:val="22"/>
        </w:rPr>
        <w:t>Conclusões</w:t>
      </w:r>
    </w:p>
    <w:p w14:paraId="3899262C" w14:textId="26002080" w:rsidR="00EB00FA" w:rsidRDefault="00000000">
      <w:pPr>
        <w:ind w:firstLine="708"/>
        <w:jc w:val="both"/>
        <w:rPr>
          <w:rFonts w:ascii="Cambria" w:eastAsia="Cambria" w:hAnsi="Cambria" w:cs="Cambria"/>
          <w:sz w:val="21"/>
          <w:szCs w:val="21"/>
        </w:rPr>
      </w:pPr>
      <w:r>
        <w:rPr>
          <w:rFonts w:ascii="Cambria" w:eastAsia="Cambria" w:hAnsi="Cambria" w:cs="Cambria"/>
          <w:sz w:val="21"/>
          <w:szCs w:val="21"/>
        </w:rPr>
        <w:t xml:space="preserve">O artigo apresenta uma pesquisa empírica sobre a adoção da tarifa zero nos municípios brasileiros, explicando qual perfil tende a facilitar sua implementação. O ponto de partida foi entender a política como meio de garantir o direito social ao transporte (EC 90/2015). A literatura e dados secundários mostram prevalência do modelo tarifário puro (85,6%) nos 2.529 municípios com transporte por ônibus, sendo a tarifa zero presente em apenas 5,4%. Assim, conclui-se que o direito social ao transporte está distante, revelando exclusão de setores sociais do direito à cidade e da mobilidade para acessar </w:t>
      </w:r>
      <w:r w:rsidR="0038202C">
        <w:rPr>
          <w:rFonts w:ascii="Cambria" w:eastAsia="Cambria" w:hAnsi="Cambria" w:cs="Cambria"/>
          <w:sz w:val="21"/>
          <w:szCs w:val="21"/>
        </w:rPr>
        <w:t xml:space="preserve">outros direitos sociais como </w:t>
      </w:r>
      <w:r>
        <w:rPr>
          <w:rFonts w:ascii="Cambria" w:eastAsia="Cambria" w:hAnsi="Cambria" w:cs="Cambria"/>
          <w:sz w:val="21"/>
          <w:szCs w:val="21"/>
        </w:rPr>
        <w:t>saúde, educação e assistência.</w:t>
      </w:r>
    </w:p>
    <w:p w14:paraId="665A4B10" w14:textId="54419F54" w:rsidR="00EB00FA" w:rsidRDefault="0038202C">
      <w:pPr>
        <w:ind w:firstLine="708"/>
        <w:jc w:val="both"/>
        <w:rPr>
          <w:rFonts w:ascii="Cambria" w:eastAsia="Cambria" w:hAnsi="Cambria" w:cs="Cambria"/>
          <w:sz w:val="21"/>
          <w:szCs w:val="21"/>
        </w:rPr>
      </w:pPr>
      <w:r>
        <w:rPr>
          <w:rFonts w:ascii="Cambria" w:eastAsia="Cambria" w:hAnsi="Cambria" w:cs="Cambria"/>
          <w:sz w:val="21"/>
          <w:szCs w:val="21"/>
        </w:rPr>
        <w:t xml:space="preserve">Contudo, houve crescimento da gratuidade integral desde 2013, intensificado após a Pandemia de Covid-19. A expansão abre agenda de pesquisa, para a qual o artigo contribui ao apresentar perfis dos municípios que adotaram a política e analisar características que aumentam sua probabilidade. Municípios de menor porte, no Sudeste e Sul foram os que mais adotaram. Modelos descritivos apontaram que estar no Sudeste, ter até 48,4 mil habitantes, ter até 52,5% da população de baixa renda, ter melhor situação fiscal e ter maior riqueza aumentam a probabilidade de </w:t>
      </w:r>
      <w:r w:rsidR="002330F3">
        <w:rPr>
          <w:rFonts w:ascii="Cambria" w:eastAsia="Cambria" w:hAnsi="Cambria" w:cs="Cambria"/>
          <w:sz w:val="21"/>
          <w:szCs w:val="21"/>
        </w:rPr>
        <w:t>adoção</w:t>
      </w:r>
      <w:r>
        <w:rPr>
          <w:rFonts w:ascii="Cambria" w:eastAsia="Cambria" w:hAnsi="Cambria" w:cs="Cambria"/>
          <w:sz w:val="21"/>
          <w:szCs w:val="21"/>
        </w:rPr>
        <w:t xml:space="preserve"> da tarifa zero.</w:t>
      </w:r>
    </w:p>
    <w:p w14:paraId="30FE7FED" w14:textId="088C0E6D" w:rsidR="00EB00FA" w:rsidRDefault="00000000">
      <w:pPr>
        <w:ind w:firstLine="708"/>
        <w:jc w:val="both"/>
        <w:rPr>
          <w:rFonts w:ascii="Cambria" w:eastAsia="Cambria" w:hAnsi="Cambria" w:cs="Cambria"/>
          <w:sz w:val="21"/>
          <w:szCs w:val="21"/>
        </w:rPr>
      </w:pPr>
      <w:r>
        <w:rPr>
          <w:rFonts w:ascii="Cambria" w:eastAsia="Cambria" w:hAnsi="Cambria" w:cs="Cambria"/>
          <w:sz w:val="21"/>
          <w:szCs w:val="21"/>
        </w:rPr>
        <w:t xml:space="preserve">Os resultados, diagnósticos e analíticos, apontam limitações para expansão da tarifa zero e para garantia do transporte como direito social. Superar tais limites requer coordenação nacional ou estadual para regulamentar e </w:t>
      </w:r>
      <w:proofErr w:type="spellStart"/>
      <w:r w:rsidR="002330F3">
        <w:rPr>
          <w:rFonts w:ascii="Cambria" w:eastAsia="Cambria" w:hAnsi="Cambria" w:cs="Cambria"/>
          <w:sz w:val="21"/>
          <w:szCs w:val="21"/>
        </w:rPr>
        <w:t>cofinanciar</w:t>
      </w:r>
      <w:proofErr w:type="spellEnd"/>
      <w:r w:rsidR="00EA6845">
        <w:rPr>
          <w:rFonts w:ascii="Cambria" w:eastAsia="Cambria" w:hAnsi="Cambria" w:cs="Cambria"/>
          <w:sz w:val="21"/>
          <w:szCs w:val="21"/>
        </w:rPr>
        <w:t xml:space="preserve"> a política</w:t>
      </w:r>
      <w:r>
        <w:rPr>
          <w:rFonts w:ascii="Cambria" w:eastAsia="Cambria" w:hAnsi="Cambria" w:cs="Cambria"/>
          <w:sz w:val="21"/>
          <w:szCs w:val="21"/>
        </w:rPr>
        <w:t>. Outra contribuição é trazer novas indagações</w:t>
      </w:r>
      <w:r w:rsidR="00EA6845">
        <w:rPr>
          <w:rFonts w:ascii="Cambria" w:eastAsia="Cambria" w:hAnsi="Cambria" w:cs="Cambria"/>
          <w:sz w:val="21"/>
          <w:szCs w:val="21"/>
        </w:rPr>
        <w:t xml:space="preserve"> para estudo futuros</w:t>
      </w:r>
      <w:r>
        <w:rPr>
          <w:rFonts w:ascii="Cambria" w:eastAsia="Cambria" w:hAnsi="Cambria" w:cs="Cambria"/>
          <w:sz w:val="21"/>
          <w:szCs w:val="21"/>
        </w:rPr>
        <w:t>: por qual motivo o Sudeste importa para a adoção</w:t>
      </w:r>
      <w:r w:rsidR="00EA6845">
        <w:rPr>
          <w:rFonts w:ascii="Cambria" w:eastAsia="Cambria" w:hAnsi="Cambria" w:cs="Cambria"/>
          <w:sz w:val="21"/>
          <w:szCs w:val="21"/>
        </w:rPr>
        <w:t xml:space="preserve">? Nesta região estariam atuando fatores de </w:t>
      </w:r>
      <w:r>
        <w:rPr>
          <w:rFonts w:ascii="Cambria" w:eastAsia="Cambria" w:hAnsi="Cambria" w:cs="Cambria"/>
          <w:sz w:val="21"/>
          <w:szCs w:val="21"/>
        </w:rPr>
        <w:t>conurbação e difusão de políticas influem? Outro aspecto que se apresenta para estudo</w:t>
      </w:r>
      <w:r w:rsidR="00EA6845">
        <w:rPr>
          <w:rFonts w:ascii="Cambria" w:eastAsia="Cambria" w:hAnsi="Cambria" w:cs="Cambria"/>
          <w:sz w:val="21"/>
          <w:szCs w:val="21"/>
        </w:rPr>
        <w:t>s</w:t>
      </w:r>
      <w:r>
        <w:rPr>
          <w:rFonts w:ascii="Cambria" w:eastAsia="Cambria" w:hAnsi="Cambria" w:cs="Cambria"/>
          <w:sz w:val="21"/>
          <w:szCs w:val="21"/>
        </w:rPr>
        <w:t xml:space="preserve"> </w:t>
      </w:r>
      <w:r w:rsidR="002330F3">
        <w:rPr>
          <w:rFonts w:ascii="Cambria" w:eastAsia="Cambria" w:hAnsi="Cambria" w:cs="Cambria"/>
          <w:sz w:val="21"/>
          <w:szCs w:val="21"/>
        </w:rPr>
        <w:t>futuros é</w:t>
      </w:r>
      <w:r>
        <w:rPr>
          <w:rFonts w:ascii="Cambria" w:eastAsia="Cambria" w:hAnsi="Cambria" w:cs="Cambria"/>
          <w:sz w:val="21"/>
          <w:szCs w:val="21"/>
        </w:rPr>
        <w:t xml:space="preserve"> a implementação e sustentabilidade da tarifa zero nos municípios que a adotaram. O </w:t>
      </w:r>
      <w:r>
        <w:rPr>
          <w:rFonts w:ascii="Cambria" w:eastAsia="Cambria" w:hAnsi="Cambria" w:cs="Cambria"/>
          <w:sz w:val="21"/>
          <w:szCs w:val="21"/>
        </w:rPr>
        <w:lastRenderedPageBreak/>
        <w:t xml:space="preserve">problema do desmonte da política é apresentado por Santini (2024), quando aponta a reversão dessa política em 7 municípios. </w:t>
      </w:r>
    </w:p>
    <w:p w14:paraId="2E7E7C25" w14:textId="77777777" w:rsidR="00EB00FA" w:rsidRDefault="00000000">
      <w:pPr>
        <w:ind w:firstLine="708"/>
        <w:jc w:val="both"/>
        <w:rPr>
          <w:rFonts w:ascii="Cambria" w:eastAsia="Cambria" w:hAnsi="Cambria" w:cs="Cambria"/>
          <w:sz w:val="21"/>
          <w:szCs w:val="21"/>
        </w:rPr>
      </w:pPr>
      <w:r>
        <w:rPr>
          <w:rFonts w:ascii="Cambria" w:eastAsia="Cambria" w:hAnsi="Cambria" w:cs="Cambria"/>
          <w:sz w:val="21"/>
          <w:szCs w:val="21"/>
        </w:rPr>
        <w:t>Sobre a implementação da política, também importa saber os efeitos sobre a demanda e sobre a qualidade do transporte coletivo urbano. Sem viabilidade financeira, pode haver redução e degradação da frota de transporte coletivo (Domingues et al., 2025). Do lado positivo, há os impactos a serem verificados sobre a preservação ambiental (Keblowski, 2020), sobre o bem-estar dos mais pobres (Mota, 2023), inclusive no acesso a outros direitos sociais (Rodrigues &amp; Carvalho, 2025). Por fim, cabe analisar outras dimensões explicativas para a adoção da tarifa zero. O presente artigo se concentrou em características demográficas, socioeconômicas, fiscais e regionais dos municípios, aspectos mais destacados na literatura sobre o tema. Estudos futuros podem incorporar a dinâmica política local e verificar se partidos e processos eleitorais influenciam a adoção.</w:t>
      </w:r>
    </w:p>
    <w:p w14:paraId="456D5123" w14:textId="77777777" w:rsidR="00EB00FA" w:rsidRPr="00F01E9A" w:rsidRDefault="00000000">
      <w:pPr>
        <w:keepNext/>
        <w:keepLines/>
        <w:pBdr>
          <w:top w:val="nil"/>
          <w:left w:val="nil"/>
          <w:bottom w:val="nil"/>
          <w:right w:val="nil"/>
          <w:between w:val="nil"/>
        </w:pBdr>
        <w:spacing w:before="510" w:after="283" w:line="288" w:lineRule="auto"/>
        <w:rPr>
          <w:rFonts w:ascii="Century Gothic" w:eastAsia="Century Gothic" w:hAnsi="Century Gothic" w:cs="Century Gothic"/>
          <w:b/>
          <w:bCs/>
          <w:color w:val="000000"/>
          <w:sz w:val="22"/>
          <w:szCs w:val="22"/>
          <w:lang w:val="en-US"/>
        </w:rPr>
      </w:pPr>
      <w:proofErr w:type="spellStart"/>
      <w:r w:rsidRPr="00F01E9A">
        <w:rPr>
          <w:rFonts w:ascii="Century Gothic" w:eastAsia="Century Gothic" w:hAnsi="Century Gothic" w:cs="Century Gothic"/>
          <w:b/>
          <w:bCs/>
          <w:color w:val="000000"/>
          <w:sz w:val="22"/>
          <w:szCs w:val="22"/>
          <w:lang w:val="en-US"/>
        </w:rPr>
        <w:lastRenderedPageBreak/>
        <w:t>Referências</w:t>
      </w:r>
      <w:proofErr w:type="spellEnd"/>
    </w:p>
    <w:p w14:paraId="0DCE8050" w14:textId="77777777" w:rsidR="00EB00FA" w:rsidRPr="00F01E9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lang w:val="en-US"/>
        </w:rPr>
      </w:pPr>
      <w:r w:rsidRPr="00F01E9A">
        <w:rPr>
          <w:rFonts w:ascii="Cambria" w:eastAsia="Cambria" w:hAnsi="Cambria" w:cs="Cambria"/>
          <w:color w:val="000000"/>
          <w:sz w:val="21"/>
          <w:szCs w:val="21"/>
          <w:lang w:val="en-US"/>
        </w:rPr>
        <w:t xml:space="preserve">Allison, P. D. (1999). Comparing logit and probit coefficients across groups. Sociological Methods and Research, 28(2), 186-208. </w:t>
      </w:r>
      <w:r w:rsidRPr="00F01E9A">
        <w:rPr>
          <w:rFonts w:ascii="Cambria" w:eastAsia="Cambria" w:hAnsi="Cambria" w:cs="Cambria"/>
          <w:color w:val="000000"/>
          <w:sz w:val="21"/>
          <w:szCs w:val="21"/>
          <w:u w:val="single"/>
          <w:lang w:val="en-US"/>
        </w:rPr>
        <w:t>https://doi.org/10.1177/0049124199028002003</w:t>
      </w:r>
      <w:r w:rsidRPr="00F01E9A">
        <w:rPr>
          <w:rFonts w:ascii="Cambria" w:eastAsia="Cambria" w:hAnsi="Cambria" w:cs="Cambria"/>
          <w:color w:val="000000"/>
          <w:sz w:val="21"/>
          <w:szCs w:val="21"/>
          <w:lang w:val="en-US"/>
        </w:rPr>
        <w:t>.</w:t>
      </w:r>
    </w:p>
    <w:p w14:paraId="461D334F" w14:textId="77777777" w:rsidR="00EB00FA" w:rsidRPr="00F01E9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lang w:val="en-US"/>
        </w:rPr>
      </w:pPr>
    </w:p>
    <w:p w14:paraId="69464B04" w14:textId="77777777" w:rsidR="00EB00FA" w:rsidRPr="00F01E9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lang w:val="en-US"/>
        </w:rPr>
      </w:pPr>
      <w:proofErr w:type="spellStart"/>
      <w:r w:rsidRPr="00F01E9A">
        <w:rPr>
          <w:rFonts w:ascii="Cambria" w:eastAsia="Cambria" w:hAnsi="Cambria" w:cs="Cambria"/>
          <w:color w:val="000000"/>
          <w:sz w:val="21"/>
          <w:szCs w:val="21"/>
          <w:lang w:val="en-US"/>
        </w:rPr>
        <w:t>Anônimo</w:t>
      </w:r>
      <w:proofErr w:type="spellEnd"/>
      <w:r w:rsidRPr="00F01E9A">
        <w:rPr>
          <w:rFonts w:ascii="Cambria" w:eastAsia="Cambria" w:hAnsi="Cambria" w:cs="Cambria"/>
          <w:color w:val="000000"/>
          <w:sz w:val="21"/>
          <w:szCs w:val="21"/>
          <w:lang w:val="en-US"/>
        </w:rPr>
        <w:t>, 2018.</w:t>
      </w:r>
    </w:p>
    <w:p w14:paraId="48B8D92E" w14:textId="77777777" w:rsidR="00EB00FA" w:rsidRPr="00F01E9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lang w:val="en-US"/>
        </w:rPr>
      </w:pPr>
    </w:p>
    <w:p w14:paraId="767095CB"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r w:rsidRPr="00F01E9A">
        <w:rPr>
          <w:rFonts w:ascii="Cambria" w:eastAsia="Cambria" w:hAnsi="Cambria" w:cs="Cambria"/>
          <w:color w:val="000000"/>
          <w:sz w:val="21"/>
          <w:szCs w:val="21"/>
          <w:lang w:val="en-US"/>
        </w:rPr>
        <w:t xml:space="preserve">Arretche, M. (2012). </w:t>
      </w:r>
      <w:r>
        <w:rPr>
          <w:rFonts w:ascii="Cambria" w:eastAsia="Cambria" w:hAnsi="Cambria" w:cs="Cambria"/>
          <w:color w:val="000000"/>
          <w:sz w:val="21"/>
          <w:szCs w:val="21"/>
        </w:rPr>
        <w:t>Democracia, federalismo e centralização no Brasil. Rio de Janeiro: Editora FGV/Editora Fiocruz.</w:t>
      </w:r>
    </w:p>
    <w:p w14:paraId="582F9603"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349AE84D"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r>
        <w:rPr>
          <w:rFonts w:ascii="Cambria" w:eastAsia="Cambria" w:hAnsi="Cambria" w:cs="Cambria"/>
          <w:color w:val="000000"/>
          <w:sz w:val="21"/>
          <w:szCs w:val="21"/>
        </w:rPr>
        <w:t>Associação Nacional das Empresas de Transportes Urbanos - NTU. (2024). Anuário NTU 2023–2024: desempenho operacional e financeiro do setor de transporte público por ônibus no Brasil. Brasília: NTU.</w:t>
      </w:r>
    </w:p>
    <w:p w14:paraId="35CEAB70"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5493BCE1"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r>
        <w:rPr>
          <w:rFonts w:ascii="Cambria" w:eastAsia="Cambria" w:hAnsi="Cambria" w:cs="Cambria"/>
          <w:color w:val="000000"/>
          <w:sz w:val="21"/>
          <w:szCs w:val="21"/>
        </w:rPr>
        <w:t>Brasil (1988). Constituição da República Federativa do Brasil de 1988. Brasília, DF: Presidência da República.</w:t>
      </w:r>
    </w:p>
    <w:p w14:paraId="42C1F1BC"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256385A7"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r>
        <w:rPr>
          <w:rFonts w:ascii="Cambria" w:eastAsia="Cambria" w:hAnsi="Cambria" w:cs="Cambria"/>
          <w:color w:val="000000"/>
          <w:sz w:val="21"/>
          <w:szCs w:val="21"/>
        </w:rPr>
        <w:t>Brasil (2012, 4 de janeiro). Lei n. 12.587, de 3 de janeiro de 2012. Institui as diretrizes da Política Nacional de Mobilidade Urbana. Brasília: Diário Oficial da União, seção 1.</w:t>
      </w:r>
    </w:p>
    <w:p w14:paraId="760B0EAA"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213E760A"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r>
        <w:rPr>
          <w:rFonts w:ascii="Cambria" w:eastAsia="Cambria" w:hAnsi="Cambria" w:cs="Cambria"/>
          <w:color w:val="000000"/>
          <w:sz w:val="21"/>
          <w:szCs w:val="21"/>
        </w:rPr>
        <w:t>Brasil (2015, 16 de setembro). Emenda Constitucional n. 90, de 15 de setembro de 2015. Dá nova redação ao art. 6º da Constituição Federal, para introduzir o transporte como direito social. Brasília: Diário Oficial da União, seção 1.</w:t>
      </w:r>
    </w:p>
    <w:p w14:paraId="74430EDC"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4B9DF4B9"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r>
        <w:rPr>
          <w:rFonts w:ascii="Cambria" w:eastAsia="Cambria" w:hAnsi="Cambria" w:cs="Cambria"/>
          <w:color w:val="000000"/>
          <w:sz w:val="21"/>
          <w:szCs w:val="21"/>
        </w:rPr>
        <w:t>Brito, T. N. M. (2025). Tarifa Zero: uma análise de viabilidade para o município de Natal/RN. Natal.</w:t>
      </w:r>
    </w:p>
    <w:p w14:paraId="05C23F24"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07FD0B11"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r>
        <w:rPr>
          <w:rFonts w:ascii="Cambria" w:eastAsia="Cambria" w:hAnsi="Cambria" w:cs="Cambria"/>
          <w:color w:val="000000"/>
          <w:sz w:val="21"/>
          <w:szCs w:val="21"/>
        </w:rPr>
        <w:t>Confederação Nacional de Municípios - CNM. (2024). Panorama geral de transporte público coletivo nos municípios (Estudos Técnicos, Vol. 15). Brasília: CNM.</w:t>
      </w:r>
    </w:p>
    <w:p w14:paraId="119E4D7E"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010F84BD"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r>
        <w:rPr>
          <w:rFonts w:ascii="Cambria" w:eastAsia="Cambria" w:hAnsi="Cambria" w:cs="Cambria"/>
          <w:color w:val="000000"/>
          <w:sz w:val="21"/>
          <w:szCs w:val="21"/>
        </w:rPr>
        <w:t xml:space="preserve">Costa, M. G., &amp; Sampaio, J. O. U. (2024). Análise da viabilidade financeira da implementação da política de tarifa zero no transporte público urbano por ônibus em grandes municípios brasileiros. DELOS: </w:t>
      </w:r>
      <w:proofErr w:type="spellStart"/>
      <w:r>
        <w:rPr>
          <w:rFonts w:ascii="Cambria" w:eastAsia="Cambria" w:hAnsi="Cambria" w:cs="Cambria"/>
          <w:color w:val="000000"/>
          <w:sz w:val="21"/>
          <w:szCs w:val="21"/>
        </w:rPr>
        <w:t>Desarrollo</w:t>
      </w:r>
      <w:proofErr w:type="spellEnd"/>
      <w:r>
        <w:rPr>
          <w:rFonts w:ascii="Cambria" w:eastAsia="Cambria" w:hAnsi="Cambria" w:cs="Cambria"/>
          <w:color w:val="000000"/>
          <w:sz w:val="21"/>
          <w:szCs w:val="21"/>
        </w:rPr>
        <w:t xml:space="preserve"> Local </w:t>
      </w:r>
      <w:proofErr w:type="spellStart"/>
      <w:r>
        <w:rPr>
          <w:rFonts w:ascii="Cambria" w:eastAsia="Cambria" w:hAnsi="Cambria" w:cs="Cambria"/>
          <w:color w:val="000000"/>
          <w:sz w:val="21"/>
          <w:szCs w:val="21"/>
        </w:rPr>
        <w:t>Sostenible</w:t>
      </w:r>
      <w:proofErr w:type="spellEnd"/>
      <w:r>
        <w:rPr>
          <w:rFonts w:ascii="Cambria" w:eastAsia="Cambria" w:hAnsi="Cambria" w:cs="Cambria"/>
          <w:color w:val="000000"/>
          <w:sz w:val="21"/>
          <w:szCs w:val="21"/>
        </w:rPr>
        <w:t>, 17(61), e2597.</w:t>
      </w:r>
    </w:p>
    <w:p w14:paraId="4B63EF59"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53E1F503"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r>
        <w:rPr>
          <w:rFonts w:ascii="Cambria" w:eastAsia="Cambria" w:hAnsi="Cambria" w:cs="Cambria"/>
          <w:color w:val="000000"/>
          <w:sz w:val="21"/>
          <w:szCs w:val="21"/>
        </w:rPr>
        <w:t>Domingues, L. B., Santini, D., &amp; Trindade, T. (2025). Da realidade à disputa da Tarifa Zero. Diálogos Socioambientais, 8(23), 12-17.</w:t>
      </w:r>
    </w:p>
    <w:p w14:paraId="1E814491"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6030254C"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roofErr w:type="spellStart"/>
      <w:r>
        <w:rPr>
          <w:rFonts w:ascii="Cambria" w:eastAsia="Cambria" w:hAnsi="Cambria" w:cs="Cambria"/>
          <w:color w:val="000000"/>
          <w:sz w:val="21"/>
          <w:szCs w:val="21"/>
        </w:rPr>
        <w:t>Esping</w:t>
      </w:r>
      <w:proofErr w:type="spellEnd"/>
      <w:r>
        <w:rPr>
          <w:rFonts w:ascii="Cambria" w:eastAsia="Cambria" w:hAnsi="Cambria" w:cs="Cambria"/>
          <w:color w:val="000000"/>
          <w:sz w:val="21"/>
          <w:szCs w:val="21"/>
        </w:rPr>
        <w:t xml:space="preserve">-Andersen, G. (1991). As três economias políticas do Welfare </w:t>
      </w:r>
      <w:proofErr w:type="spellStart"/>
      <w:r>
        <w:rPr>
          <w:rFonts w:ascii="Cambria" w:eastAsia="Cambria" w:hAnsi="Cambria" w:cs="Cambria"/>
          <w:color w:val="000000"/>
          <w:sz w:val="21"/>
          <w:szCs w:val="21"/>
        </w:rPr>
        <w:t>State</w:t>
      </w:r>
      <w:proofErr w:type="spellEnd"/>
      <w:r>
        <w:rPr>
          <w:rFonts w:ascii="Cambria" w:eastAsia="Cambria" w:hAnsi="Cambria" w:cs="Cambria"/>
          <w:color w:val="000000"/>
          <w:sz w:val="21"/>
          <w:szCs w:val="21"/>
        </w:rPr>
        <w:t>. Lua Nova: Revista de Cultura e Política, (24), 85-116.</w:t>
      </w:r>
    </w:p>
    <w:p w14:paraId="3213BE69"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3A7C87E7"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r>
        <w:rPr>
          <w:rFonts w:ascii="Cambria" w:eastAsia="Cambria" w:hAnsi="Cambria" w:cs="Cambria"/>
          <w:color w:val="000000"/>
          <w:sz w:val="21"/>
          <w:szCs w:val="21"/>
        </w:rPr>
        <w:t>Federação das Indústrias do Estado de Minas Gerais - FIEMG. (2025). Impactos econômicos decorrentes dos custos com a Tarifa Zero em Belo Horizonte. Belo Horizonte: FIEMG.</w:t>
      </w:r>
    </w:p>
    <w:p w14:paraId="567686E1"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1C21370A" w14:textId="77777777" w:rsidR="00EB00FA" w:rsidRPr="00F01E9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lang w:val="en-US"/>
        </w:rPr>
      </w:pPr>
      <w:r>
        <w:rPr>
          <w:rFonts w:ascii="Cambria" w:eastAsia="Cambria" w:hAnsi="Cambria" w:cs="Cambria"/>
          <w:color w:val="000000"/>
          <w:sz w:val="21"/>
          <w:szCs w:val="21"/>
        </w:rPr>
        <w:t xml:space="preserve">Federação das Indústrias do Estado do Rio de Janeiro - FIRJAN. (2025). Índice Firjan de Gestão Fiscal (IFGF). </w:t>
      </w:r>
      <w:r w:rsidRPr="00F01E9A">
        <w:rPr>
          <w:rFonts w:ascii="Cambria" w:eastAsia="Cambria" w:hAnsi="Cambria" w:cs="Cambria"/>
          <w:color w:val="000000"/>
          <w:sz w:val="21"/>
          <w:szCs w:val="21"/>
          <w:lang w:val="en-US"/>
        </w:rPr>
        <w:t>Rio de Janeiro: FIRJAN.</w:t>
      </w:r>
    </w:p>
    <w:p w14:paraId="4149312E" w14:textId="77777777" w:rsidR="00EB00FA" w:rsidRPr="00F01E9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lang w:val="en-US"/>
        </w:rPr>
      </w:pPr>
    </w:p>
    <w:p w14:paraId="2FF0948B"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r w:rsidRPr="00F01E9A">
        <w:rPr>
          <w:rFonts w:ascii="Cambria" w:eastAsia="Cambria" w:hAnsi="Cambria" w:cs="Cambria"/>
          <w:color w:val="000000"/>
          <w:sz w:val="21"/>
          <w:szCs w:val="21"/>
          <w:lang w:val="en-US"/>
        </w:rPr>
        <w:t xml:space="preserve">Firth, D. (1993). Bias reduction of maximum likelihood estimates. </w:t>
      </w:r>
      <w:proofErr w:type="spellStart"/>
      <w:r>
        <w:rPr>
          <w:rFonts w:ascii="Cambria" w:eastAsia="Cambria" w:hAnsi="Cambria" w:cs="Cambria"/>
          <w:color w:val="000000"/>
          <w:sz w:val="21"/>
          <w:szCs w:val="21"/>
        </w:rPr>
        <w:t>Biometrika</w:t>
      </w:r>
      <w:proofErr w:type="spellEnd"/>
      <w:r>
        <w:rPr>
          <w:rFonts w:ascii="Cambria" w:eastAsia="Cambria" w:hAnsi="Cambria" w:cs="Cambria"/>
          <w:color w:val="000000"/>
          <w:sz w:val="21"/>
          <w:szCs w:val="21"/>
        </w:rPr>
        <w:t xml:space="preserve">, 80(1), 27-38. </w:t>
      </w:r>
      <w:r>
        <w:rPr>
          <w:rFonts w:ascii="Cambria" w:eastAsia="Cambria" w:hAnsi="Cambria" w:cs="Cambria"/>
          <w:color w:val="000000"/>
          <w:sz w:val="21"/>
          <w:szCs w:val="21"/>
          <w:u w:val="single"/>
        </w:rPr>
        <w:t>https://doi.org/10.1093/biomet/80.1.27.</w:t>
      </w:r>
    </w:p>
    <w:p w14:paraId="3B7F6260"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20EDDA76"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r>
        <w:rPr>
          <w:rFonts w:ascii="Cambria" w:eastAsia="Cambria" w:hAnsi="Cambria" w:cs="Cambria"/>
          <w:color w:val="000000"/>
          <w:sz w:val="21"/>
          <w:szCs w:val="21"/>
        </w:rPr>
        <w:lastRenderedPageBreak/>
        <w:t>Gomes Filho, A. (2025). A difusão da Tarifa Zero nos municípios brasileiros: uma análise espacial e política. Revista de Administração Pública, 59.</w:t>
      </w:r>
    </w:p>
    <w:p w14:paraId="5FE2B5AF"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1760EC18"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r>
        <w:rPr>
          <w:rFonts w:ascii="Cambria" w:eastAsia="Cambria" w:hAnsi="Cambria" w:cs="Cambria"/>
          <w:color w:val="000000"/>
          <w:sz w:val="21"/>
          <w:szCs w:val="21"/>
        </w:rPr>
        <w:t>Guimarães, G. L. S. (2019). Comentários à Lei de Mobilidade Urbana: Lei nº 12.587/12 e atualizações (2a ed.). Belo Horizonte: Fórum.</w:t>
      </w:r>
    </w:p>
    <w:p w14:paraId="7C4E0F4F"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59AE4B8C" w14:textId="2C28E354"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r>
        <w:rPr>
          <w:rFonts w:ascii="Cambria" w:eastAsia="Cambria" w:hAnsi="Cambria" w:cs="Cambria"/>
          <w:color w:val="000000"/>
          <w:sz w:val="21"/>
          <w:szCs w:val="21"/>
        </w:rPr>
        <w:t xml:space="preserve">HARTIG, Florian. </w:t>
      </w:r>
      <w:r w:rsidRPr="00FD4D86">
        <w:rPr>
          <w:rFonts w:ascii="Cambria" w:eastAsia="Cambria" w:hAnsi="Cambria" w:cs="Cambria"/>
          <w:color w:val="000000"/>
          <w:sz w:val="21"/>
          <w:szCs w:val="21"/>
        </w:rPr>
        <w:t>DHARM</w:t>
      </w:r>
      <w:r w:rsidR="00BB187C" w:rsidRPr="00FD4D86">
        <w:rPr>
          <w:rFonts w:ascii="Cambria" w:eastAsia="Cambria" w:hAnsi="Cambria" w:cs="Cambria"/>
          <w:color w:val="000000"/>
          <w:sz w:val="21"/>
          <w:szCs w:val="21"/>
        </w:rPr>
        <w:t>A</w:t>
      </w:r>
      <w:r w:rsidRPr="00FD4D86">
        <w:rPr>
          <w:rFonts w:ascii="Cambria" w:eastAsia="Cambria" w:hAnsi="Cambria" w:cs="Cambria"/>
          <w:color w:val="000000"/>
          <w:sz w:val="21"/>
          <w:szCs w:val="21"/>
        </w:rPr>
        <w:t xml:space="preserve">: Residual </w:t>
      </w:r>
      <w:proofErr w:type="spellStart"/>
      <w:r w:rsidRPr="00FD4D86">
        <w:rPr>
          <w:rFonts w:ascii="Cambria" w:eastAsia="Cambria" w:hAnsi="Cambria" w:cs="Cambria"/>
          <w:color w:val="000000"/>
          <w:sz w:val="21"/>
          <w:szCs w:val="21"/>
        </w:rPr>
        <w:t>Diagnostics</w:t>
      </w:r>
      <w:proofErr w:type="spellEnd"/>
      <w:r w:rsidRPr="00FD4D86">
        <w:rPr>
          <w:rFonts w:ascii="Cambria" w:eastAsia="Cambria" w:hAnsi="Cambria" w:cs="Cambria"/>
          <w:color w:val="000000"/>
          <w:sz w:val="21"/>
          <w:szCs w:val="21"/>
        </w:rPr>
        <w:t xml:space="preserve"> for </w:t>
      </w:r>
      <w:proofErr w:type="spellStart"/>
      <w:r w:rsidRPr="00FD4D86">
        <w:rPr>
          <w:rFonts w:ascii="Cambria" w:eastAsia="Cambria" w:hAnsi="Cambria" w:cs="Cambria"/>
          <w:color w:val="000000"/>
          <w:sz w:val="21"/>
          <w:szCs w:val="21"/>
        </w:rPr>
        <w:t>Hierarchical</w:t>
      </w:r>
      <w:proofErr w:type="spellEnd"/>
      <w:r w:rsidRPr="00FD4D86">
        <w:rPr>
          <w:rFonts w:ascii="Cambria" w:eastAsia="Cambria" w:hAnsi="Cambria" w:cs="Cambria"/>
          <w:color w:val="000000"/>
          <w:sz w:val="21"/>
          <w:szCs w:val="21"/>
        </w:rPr>
        <w:t xml:space="preserve"> (</w:t>
      </w:r>
      <w:proofErr w:type="spellStart"/>
      <w:r w:rsidRPr="00FD4D86">
        <w:rPr>
          <w:rFonts w:ascii="Cambria" w:eastAsia="Cambria" w:hAnsi="Cambria" w:cs="Cambria"/>
          <w:color w:val="000000"/>
          <w:sz w:val="21"/>
          <w:szCs w:val="21"/>
        </w:rPr>
        <w:t>Multi-Level</w:t>
      </w:r>
      <w:proofErr w:type="spellEnd"/>
      <w:r w:rsidRPr="00FD4D86">
        <w:rPr>
          <w:rFonts w:ascii="Cambria" w:eastAsia="Cambria" w:hAnsi="Cambria" w:cs="Cambria"/>
          <w:color w:val="000000"/>
          <w:sz w:val="21"/>
          <w:szCs w:val="21"/>
        </w:rPr>
        <w:t xml:space="preserve"> / </w:t>
      </w:r>
      <w:proofErr w:type="spellStart"/>
      <w:r w:rsidRPr="00FD4D86">
        <w:rPr>
          <w:rFonts w:ascii="Cambria" w:eastAsia="Cambria" w:hAnsi="Cambria" w:cs="Cambria"/>
          <w:color w:val="000000"/>
          <w:sz w:val="21"/>
          <w:szCs w:val="21"/>
        </w:rPr>
        <w:t>Mixed</w:t>
      </w:r>
      <w:proofErr w:type="spellEnd"/>
      <w:r w:rsidRPr="00FD4D86">
        <w:rPr>
          <w:rFonts w:ascii="Cambria" w:eastAsia="Cambria" w:hAnsi="Cambria" w:cs="Cambria"/>
          <w:color w:val="000000"/>
          <w:sz w:val="21"/>
          <w:szCs w:val="21"/>
        </w:rPr>
        <w:t xml:space="preserve">) </w:t>
      </w:r>
      <w:proofErr w:type="spellStart"/>
      <w:r w:rsidRPr="00FD4D86">
        <w:rPr>
          <w:rFonts w:ascii="Cambria" w:eastAsia="Cambria" w:hAnsi="Cambria" w:cs="Cambria"/>
          <w:color w:val="000000"/>
          <w:sz w:val="21"/>
          <w:szCs w:val="21"/>
        </w:rPr>
        <w:t>Regression</w:t>
      </w:r>
      <w:proofErr w:type="spellEnd"/>
      <w:r w:rsidRPr="00FD4D86">
        <w:rPr>
          <w:rFonts w:ascii="Cambria" w:eastAsia="Cambria" w:hAnsi="Cambria" w:cs="Cambria"/>
          <w:color w:val="000000"/>
          <w:sz w:val="21"/>
          <w:szCs w:val="21"/>
        </w:rPr>
        <w:t xml:space="preserve"> Models. </w:t>
      </w:r>
      <w:r>
        <w:rPr>
          <w:rFonts w:ascii="Cambria" w:eastAsia="Cambria" w:hAnsi="Cambria" w:cs="Cambria"/>
          <w:color w:val="000000"/>
          <w:sz w:val="21"/>
          <w:szCs w:val="21"/>
        </w:rPr>
        <w:t xml:space="preserve">R </w:t>
      </w:r>
      <w:proofErr w:type="spellStart"/>
      <w:r>
        <w:rPr>
          <w:rFonts w:ascii="Cambria" w:eastAsia="Cambria" w:hAnsi="Cambria" w:cs="Cambria"/>
          <w:color w:val="000000"/>
          <w:sz w:val="21"/>
          <w:szCs w:val="21"/>
        </w:rPr>
        <w:t>package</w:t>
      </w:r>
      <w:proofErr w:type="spellEnd"/>
      <w:r>
        <w:rPr>
          <w:rFonts w:ascii="Cambria" w:eastAsia="Cambria" w:hAnsi="Cambria" w:cs="Cambria"/>
          <w:color w:val="000000"/>
          <w:sz w:val="21"/>
          <w:szCs w:val="21"/>
        </w:rPr>
        <w:t xml:space="preserve"> </w:t>
      </w:r>
      <w:proofErr w:type="spellStart"/>
      <w:r>
        <w:rPr>
          <w:rFonts w:ascii="Cambria" w:eastAsia="Cambria" w:hAnsi="Cambria" w:cs="Cambria"/>
          <w:color w:val="000000"/>
          <w:sz w:val="21"/>
          <w:szCs w:val="21"/>
        </w:rPr>
        <w:t>version</w:t>
      </w:r>
      <w:proofErr w:type="spellEnd"/>
      <w:r>
        <w:rPr>
          <w:rFonts w:ascii="Cambria" w:eastAsia="Cambria" w:hAnsi="Cambria" w:cs="Cambria"/>
          <w:color w:val="000000"/>
          <w:sz w:val="21"/>
          <w:szCs w:val="21"/>
        </w:rPr>
        <w:t xml:space="preserve"> 0.4.6. 2022. Disponível em: https://CRAN.R-project.org/package=DHARMa.</w:t>
      </w:r>
    </w:p>
    <w:p w14:paraId="0E9531D3"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0CA517B7"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r>
        <w:rPr>
          <w:rFonts w:ascii="Cambria" w:eastAsia="Cambria" w:hAnsi="Cambria" w:cs="Cambria"/>
          <w:color w:val="000000"/>
          <w:sz w:val="21"/>
          <w:szCs w:val="21"/>
        </w:rPr>
        <w:t>Harvey, D. (2014). Cidades rebeldes: do direito à cidade à revolução urbana. São Paulo: Martins Fontes.</w:t>
      </w:r>
    </w:p>
    <w:p w14:paraId="348B7377"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64D9679B"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r>
        <w:rPr>
          <w:rFonts w:ascii="Cambria" w:eastAsia="Cambria" w:hAnsi="Cambria" w:cs="Cambria"/>
          <w:color w:val="000000"/>
          <w:sz w:val="21"/>
          <w:szCs w:val="21"/>
        </w:rPr>
        <w:t xml:space="preserve">Hosmer, D. W., Lemeshow, S., &amp; </w:t>
      </w:r>
      <w:proofErr w:type="spellStart"/>
      <w:r>
        <w:rPr>
          <w:rFonts w:ascii="Cambria" w:eastAsia="Cambria" w:hAnsi="Cambria" w:cs="Cambria"/>
          <w:color w:val="000000"/>
          <w:sz w:val="21"/>
          <w:szCs w:val="21"/>
        </w:rPr>
        <w:t>Sturdivant</w:t>
      </w:r>
      <w:proofErr w:type="spellEnd"/>
      <w:r>
        <w:rPr>
          <w:rFonts w:ascii="Cambria" w:eastAsia="Cambria" w:hAnsi="Cambria" w:cs="Cambria"/>
          <w:color w:val="000000"/>
          <w:sz w:val="21"/>
          <w:szCs w:val="21"/>
        </w:rPr>
        <w:t xml:space="preserve">, R. X. (2013). </w:t>
      </w:r>
      <w:r w:rsidRPr="00F01E9A">
        <w:rPr>
          <w:rFonts w:ascii="Cambria" w:eastAsia="Cambria" w:hAnsi="Cambria" w:cs="Cambria"/>
          <w:color w:val="000000"/>
          <w:sz w:val="21"/>
          <w:szCs w:val="21"/>
          <w:lang w:val="en-US"/>
        </w:rPr>
        <w:t xml:space="preserve">Applied logistic regression (3a ed.). </w:t>
      </w:r>
      <w:proofErr w:type="spellStart"/>
      <w:r>
        <w:rPr>
          <w:rFonts w:ascii="Cambria" w:eastAsia="Cambria" w:hAnsi="Cambria" w:cs="Cambria"/>
          <w:color w:val="000000"/>
          <w:sz w:val="21"/>
          <w:szCs w:val="21"/>
        </w:rPr>
        <w:t>Hoboken</w:t>
      </w:r>
      <w:proofErr w:type="spellEnd"/>
      <w:r>
        <w:rPr>
          <w:rFonts w:ascii="Cambria" w:eastAsia="Cambria" w:hAnsi="Cambria" w:cs="Cambria"/>
          <w:color w:val="000000"/>
          <w:sz w:val="21"/>
          <w:szCs w:val="21"/>
        </w:rPr>
        <w:t>: Wiley.</w:t>
      </w:r>
    </w:p>
    <w:p w14:paraId="03689B2D"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5F15B61B"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r>
        <w:rPr>
          <w:rFonts w:ascii="Cambria" w:eastAsia="Cambria" w:hAnsi="Cambria" w:cs="Cambria"/>
          <w:color w:val="000000"/>
          <w:sz w:val="21"/>
          <w:szCs w:val="21"/>
        </w:rPr>
        <w:t>Instituto Brasileiro de Geografia e Estatística - IBGE. (2022). Censo Demográfico 2022. Rio de Janeiro: IBGE.</w:t>
      </w:r>
    </w:p>
    <w:p w14:paraId="5EF822D1"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705C932D"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r>
        <w:rPr>
          <w:rFonts w:ascii="Cambria" w:eastAsia="Cambria" w:hAnsi="Cambria" w:cs="Cambria"/>
          <w:color w:val="000000"/>
          <w:sz w:val="21"/>
          <w:szCs w:val="21"/>
        </w:rPr>
        <w:t>Instituto Brasileiro de Geografia e Estatística - IBGE. (2024). Produto Interno Bruto dos Municípios. Rio de Janeiro: IBGE.</w:t>
      </w:r>
    </w:p>
    <w:p w14:paraId="2A870ABA"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19B35245" w14:textId="77777777" w:rsidR="00EB00FA" w:rsidRPr="00F01E9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lang w:val="en-US"/>
        </w:rPr>
      </w:pPr>
      <w:r>
        <w:rPr>
          <w:rFonts w:ascii="Cambria" w:eastAsia="Cambria" w:hAnsi="Cambria" w:cs="Cambria"/>
          <w:color w:val="000000"/>
          <w:sz w:val="21"/>
          <w:szCs w:val="21"/>
        </w:rPr>
        <w:t xml:space="preserve">Instituto Brasileiro de Geografia e Estatística - IBGE. (2025). Pesquisa de Informações Básicas Municipais (MUNIC). </w:t>
      </w:r>
      <w:r w:rsidRPr="00F01E9A">
        <w:rPr>
          <w:rFonts w:ascii="Cambria" w:eastAsia="Cambria" w:hAnsi="Cambria" w:cs="Cambria"/>
          <w:color w:val="000000"/>
          <w:sz w:val="21"/>
          <w:szCs w:val="21"/>
          <w:lang w:val="en-US"/>
        </w:rPr>
        <w:t>Rio de Janeiro: IBGE.</w:t>
      </w:r>
    </w:p>
    <w:p w14:paraId="0F67EC99" w14:textId="77777777" w:rsidR="00EB00FA" w:rsidRPr="00F01E9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lang w:val="en-US"/>
        </w:rPr>
      </w:pPr>
    </w:p>
    <w:p w14:paraId="20EC60A8"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u w:val="single"/>
        </w:rPr>
      </w:pPr>
      <w:r w:rsidRPr="00F01E9A">
        <w:rPr>
          <w:rFonts w:ascii="Cambria" w:eastAsia="Cambria" w:hAnsi="Cambria" w:cs="Cambria"/>
          <w:color w:val="000000"/>
          <w:sz w:val="21"/>
          <w:szCs w:val="21"/>
          <w:lang w:val="en-US"/>
        </w:rPr>
        <w:t xml:space="preserve">Keblowski, W. (2020). Why (not) abolish fares? Exploring the global geography of fare-free public transport. </w:t>
      </w:r>
      <w:r>
        <w:rPr>
          <w:rFonts w:ascii="Cambria" w:eastAsia="Cambria" w:hAnsi="Cambria" w:cs="Cambria"/>
          <w:color w:val="000000"/>
          <w:sz w:val="21"/>
          <w:szCs w:val="21"/>
        </w:rPr>
        <w:t xml:space="preserve">Transportation, 47(6), 2807-2835. </w:t>
      </w:r>
      <w:r>
        <w:rPr>
          <w:rFonts w:ascii="Cambria" w:eastAsia="Cambria" w:hAnsi="Cambria" w:cs="Cambria"/>
          <w:color w:val="000000"/>
          <w:sz w:val="21"/>
          <w:szCs w:val="21"/>
          <w:u w:val="single"/>
        </w:rPr>
        <w:t>https://doi.org/10.1007/s11116-019-09986-4</w:t>
      </w:r>
    </w:p>
    <w:p w14:paraId="2744D3EA"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16828B68"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r>
        <w:rPr>
          <w:rFonts w:ascii="Cambria" w:eastAsia="Cambria" w:hAnsi="Cambria" w:cs="Cambria"/>
          <w:color w:val="000000"/>
          <w:sz w:val="21"/>
          <w:szCs w:val="21"/>
        </w:rPr>
        <w:t>Lefebvre, H. (2008). O direito à cidade (5a ed.). São Paulo: Centauro.</w:t>
      </w:r>
    </w:p>
    <w:p w14:paraId="292ACEA1"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6A45B2A7"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r>
        <w:rPr>
          <w:rFonts w:ascii="Cambria" w:eastAsia="Cambria" w:hAnsi="Cambria" w:cs="Cambria"/>
          <w:color w:val="000000"/>
          <w:sz w:val="21"/>
          <w:szCs w:val="21"/>
        </w:rPr>
        <w:t>Marshall, T. H. (2002). Cidadania e classe social (2a ed.). Brasília: Senado Federal, Centro de Estudos Estratégicos.</w:t>
      </w:r>
    </w:p>
    <w:p w14:paraId="0EE3AB67"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4F335620"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r>
        <w:rPr>
          <w:rFonts w:ascii="Cambria" w:eastAsia="Cambria" w:hAnsi="Cambria" w:cs="Cambria"/>
          <w:color w:val="000000"/>
          <w:sz w:val="21"/>
          <w:szCs w:val="21"/>
        </w:rPr>
        <w:t>Menezes, N. G. (2025). Financiamento da Mobilidade Urbana e Tarifa Zero: reflexões a partir do caso de Maricá. Rio de Janeiro.</w:t>
      </w:r>
    </w:p>
    <w:p w14:paraId="7F7BDCF1"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4DD80927"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r>
        <w:rPr>
          <w:rFonts w:ascii="Cambria" w:eastAsia="Cambria" w:hAnsi="Cambria" w:cs="Cambria"/>
          <w:color w:val="000000"/>
          <w:sz w:val="21"/>
          <w:szCs w:val="21"/>
        </w:rPr>
        <w:t xml:space="preserve">Ministério do Desenvolvimento Social - MDS – </w:t>
      </w:r>
      <w:proofErr w:type="spellStart"/>
      <w:r>
        <w:rPr>
          <w:rFonts w:ascii="Cambria" w:eastAsia="Cambria" w:hAnsi="Cambria" w:cs="Cambria"/>
          <w:color w:val="000000"/>
          <w:sz w:val="21"/>
          <w:szCs w:val="21"/>
        </w:rPr>
        <w:t>VisData</w:t>
      </w:r>
      <w:proofErr w:type="spellEnd"/>
      <w:r>
        <w:rPr>
          <w:rFonts w:ascii="Cambria" w:eastAsia="Cambria" w:hAnsi="Cambria" w:cs="Cambria"/>
          <w:color w:val="000000"/>
          <w:sz w:val="21"/>
          <w:szCs w:val="21"/>
        </w:rPr>
        <w:t>. (2025). Painel de Indicadores de Vulnerabilidade Social. Brasília: MDS.</w:t>
      </w:r>
    </w:p>
    <w:p w14:paraId="73E403E4"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0D764328"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r>
        <w:rPr>
          <w:rFonts w:ascii="Cambria" w:eastAsia="Cambria" w:hAnsi="Cambria" w:cs="Cambria"/>
          <w:color w:val="000000"/>
          <w:sz w:val="21"/>
          <w:szCs w:val="21"/>
        </w:rPr>
        <w:t xml:space="preserve">Mota, J. L. do N. (2023). Propostas de reforma tributária sobre o consumo e seus impactos distributivos e na eficiência econômica (Dissertação de Mestrado Profissional em Economia). Fundação </w:t>
      </w:r>
      <w:proofErr w:type="spellStart"/>
      <w:r>
        <w:rPr>
          <w:rFonts w:ascii="Cambria" w:eastAsia="Cambria" w:hAnsi="Cambria" w:cs="Cambria"/>
          <w:color w:val="000000"/>
          <w:sz w:val="21"/>
          <w:szCs w:val="21"/>
        </w:rPr>
        <w:t>Getulio</w:t>
      </w:r>
      <w:proofErr w:type="spellEnd"/>
      <w:r>
        <w:rPr>
          <w:rFonts w:ascii="Cambria" w:eastAsia="Cambria" w:hAnsi="Cambria" w:cs="Cambria"/>
          <w:color w:val="000000"/>
          <w:sz w:val="21"/>
          <w:szCs w:val="21"/>
        </w:rPr>
        <w:t xml:space="preserve"> Vargas, São Paulo.</w:t>
      </w:r>
    </w:p>
    <w:p w14:paraId="0CFB1CCB"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188C4142"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r>
        <w:rPr>
          <w:rFonts w:ascii="Cambria" w:eastAsia="Cambria" w:hAnsi="Cambria" w:cs="Cambria"/>
          <w:color w:val="000000"/>
          <w:sz w:val="21"/>
          <w:szCs w:val="21"/>
        </w:rPr>
        <w:t>Pereira, T. F. (2024). A Política de Isenção de Tarifa no Transporte Público: uma análise política dos casos brasileiros (Dissertação de Mestrado em Ciência Política). Universidade de São Paulo, São Paulo.</w:t>
      </w:r>
    </w:p>
    <w:p w14:paraId="57B04C94"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2176AE2C"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r>
        <w:rPr>
          <w:rFonts w:ascii="Cambria" w:eastAsia="Cambria" w:hAnsi="Cambria" w:cs="Cambria"/>
          <w:color w:val="000000"/>
          <w:sz w:val="21"/>
          <w:szCs w:val="21"/>
        </w:rPr>
        <w:t>Rodrigues, B. de G., &amp; Carvalho, C. O. de. (2025). Direito à cidade e mobilidade urbana: reflexões sobre a implementação da tarifa zero universal no transporte público coletivo. Revista Políticas Públicas e Cidades, 14(5), e2179. https://doi.org/10.23900/2359-1552v14n5-2-2025</w:t>
      </w:r>
    </w:p>
    <w:p w14:paraId="610490BE"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0731C329"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r>
        <w:rPr>
          <w:rFonts w:ascii="Cambria" w:eastAsia="Cambria" w:hAnsi="Cambria" w:cs="Cambria"/>
          <w:color w:val="000000"/>
          <w:sz w:val="21"/>
          <w:szCs w:val="21"/>
        </w:rPr>
        <w:lastRenderedPageBreak/>
        <w:t>Santini, D. (2019). Passe livre: as possibilidades da tarifa zero contra a distopia da uberização. São Paulo: Autonomia Literária.</w:t>
      </w:r>
    </w:p>
    <w:p w14:paraId="1B18B238"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1D79DC46"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r>
        <w:rPr>
          <w:rFonts w:ascii="Cambria" w:eastAsia="Cambria" w:hAnsi="Cambria" w:cs="Cambria"/>
          <w:color w:val="000000"/>
          <w:sz w:val="21"/>
          <w:szCs w:val="21"/>
        </w:rPr>
        <w:t xml:space="preserve">Santini, D. (2024). </w:t>
      </w:r>
      <w:proofErr w:type="spellStart"/>
      <w:r>
        <w:rPr>
          <w:rFonts w:ascii="Cambria" w:eastAsia="Cambria" w:hAnsi="Cambria" w:cs="Cambria"/>
          <w:color w:val="000000"/>
          <w:sz w:val="21"/>
          <w:szCs w:val="21"/>
        </w:rPr>
        <w:t>Brazilian</w:t>
      </w:r>
      <w:proofErr w:type="spellEnd"/>
      <w:r>
        <w:rPr>
          <w:rFonts w:ascii="Cambria" w:eastAsia="Cambria" w:hAnsi="Cambria" w:cs="Cambria"/>
          <w:color w:val="000000"/>
          <w:sz w:val="21"/>
          <w:szCs w:val="21"/>
        </w:rPr>
        <w:t xml:space="preserve"> </w:t>
      </w:r>
      <w:proofErr w:type="spellStart"/>
      <w:r>
        <w:rPr>
          <w:rFonts w:ascii="Cambria" w:eastAsia="Cambria" w:hAnsi="Cambria" w:cs="Cambria"/>
          <w:color w:val="000000"/>
          <w:sz w:val="21"/>
          <w:szCs w:val="21"/>
        </w:rPr>
        <w:t>municipalities</w:t>
      </w:r>
      <w:proofErr w:type="spellEnd"/>
      <w:r>
        <w:rPr>
          <w:rFonts w:ascii="Cambria" w:eastAsia="Cambria" w:hAnsi="Cambria" w:cs="Cambria"/>
          <w:color w:val="000000"/>
          <w:sz w:val="21"/>
          <w:szCs w:val="21"/>
        </w:rPr>
        <w:t xml:space="preserve"> </w:t>
      </w:r>
      <w:proofErr w:type="spellStart"/>
      <w:r>
        <w:rPr>
          <w:rFonts w:ascii="Cambria" w:eastAsia="Cambria" w:hAnsi="Cambria" w:cs="Cambria"/>
          <w:color w:val="000000"/>
          <w:sz w:val="21"/>
          <w:szCs w:val="21"/>
        </w:rPr>
        <w:t>with</w:t>
      </w:r>
      <w:proofErr w:type="spellEnd"/>
      <w:r>
        <w:rPr>
          <w:rFonts w:ascii="Cambria" w:eastAsia="Cambria" w:hAnsi="Cambria" w:cs="Cambria"/>
          <w:color w:val="000000"/>
          <w:sz w:val="21"/>
          <w:szCs w:val="21"/>
        </w:rPr>
        <w:t xml:space="preserve"> full Fare-Free </w:t>
      </w:r>
      <w:proofErr w:type="spellStart"/>
      <w:r>
        <w:rPr>
          <w:rFonts w:ascii="Cambria" w:eastAsia="Cambria" w:hAnsi="Cambria" w:cs="Cambria"/>
          <w:color w:val="000000"/>
          <w:sz w:val="21"/>
          <w:szCs w:val="21"/>
        </w:rPr>
        <w:t>Public</w:t>
      </w:r>
      <w:proofErr w:type="spellEnd"/>
      <w:r>
        <w:rPr>
          <w:rFonts w:ascii="Cambria" w:eastAsia="Cambria" w:hAnsi="Cambria" w:cs="Cambria"/>
          <w:color w:val="000000"/>
          <w:sz w:val="21"/>
          <w:szCs w:val="21"/>
        </w:rPr>
        <w:t xml:space="preserve"> </w:t>
      </w:r>
      <w:proofErr w:type="spellStart"/>
      <w:r>
        <w:rPr>
          <w:rFonts w:ascii="Cambria" w:eastAsia="Cambria" w:hAnsi="Cambria" w:cs="Cambria"/>
          <w:color w:val="000000"/>
          <w:sz w:val="21"/>
          <w:szCs w:val="21"/>
        </w:rPr>
        <w:t>Transport</w:t>
      </w:r>
      <w:proofErr w:type="spellEnd"/>
      <w:r>
        <w:rPr>
          <w:rFonts w:ascii="Cambria" w:eastAsia="Cambria" w:hAnsi="Cambria" w:cs="Cambria"/>
          <w:color w:val="000000"/>
          <w:sz w:val="21"/>
          <w:szCs w:val="21"/>
        </w:rPr>
        <w:t xml:space="preserve"> policies (v. 4). Harvard </w:t>
      </w:r>
      <w:proofErr w:type="spellStart"/>
      <w:r>
        <w:rPr>
          <w:rFonts w:ascii="Cambria" w:eastAsia="Cambria" w:hAnsi="Cambria" w:cs="Cambria"/>
          <w:color w:val="000000"/>
          <w:sz w:val="21"/>
          <w:szCs w:val="21"/>
        </w:rPr>
        <w:t>Dataverse</w:t>
      </w:r>
      <w:proofErr w:type="spellEnd"/>
      <w:r>
        <w:rPr>
          <w:rFonts w:ascii="Cambria" w:eastAsia="Cambria" w:hAnsi="Cambria" w:cs="Cambria"/>
          <w:color w:val="000000"/>
          <w:sz w:val="21"/>
          <w:szCs w:val="21"/>
        </w:rPr>
        <w:t>.</w:t>
      </w:r>
    </w:p>
    <w:p w14:paraId="6704194F" w14:textId="77777777" w:rsidR="00EB00F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p>
    <w:p w14:paraId="234BC82A" w14:textId="77777777" w:rsidR="00EB00FA" w:rsidRPr="00F01E9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lang w:val="en-US"/>
        </w:rPr>
      </w:pPr>
      <w:r>
        <w:rPr>
          <w:rFonts w:ascii="Cambria" w:eastAsia="Cambria" w:hAnsi="Cambria" w:cs="Cambria"/>
          <w:color w:val="000000"/>
          <w:sz w:val="21"/>
          <w:szCs w:val="21"/>
        </w:rPr>
        <w:t xml:space="preserve">Santini, D. (2025). </w:t>
      </w:r>
      <w:r w:rsidRPr="00F01E9A">
        <w:rPr>
          <w:rFonts w:ascii="Cambria" w:eastAsia="Cambria" w:hAnsi="Cambria" w:cs="Cambria"/>
          <w:color w:val="000000"/>
          <w:sz w:val="21"/>
          <w:szCs w:val="21"/>
          <w:lang w:val="en-US"/>
        </w:rPr>
        <w:t>Brazilian municipalities with full Fare-Free Public Transport policies [Conjunto de dados]. Harvard Dataverse. https://doi.org/10.7910/DVN/K2OQ0I</w:t>
      </w:r>
    </w:p>
    <w:p w14:paraId="2D4AAC48" w14:textId="77777777" w:rsidR="00EB00FA" w:rsidRPr="00F01E9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lang w:val="en-US"/>
        </w:rPr>
      </w:pPr>
    </w:p>
    <w:p w14:paraId="24C00267" w14:textId="77777777" w:rsidR="00EB00FA" w:rsidRPr="00F01E9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lang w:val="en-US"/>
        </w:rPr>
      </w:pPr>
      <w:r w:rsidRPr="00F01E9A">
        <w:rPr>
          <w:rFonts w:ascii="Cambria" w:eastAsia="Cambria" w:hAnsi="Cambria" w:cs="Cambria"/>
          <w:color w:val="000000"/>
          <w:sz w:val="21"/>
          <w:szCs w:val="21"/>
          <w:lang w:val="en-US"/>
        </w:rPr>
        <w:t>Shipan, C. R., &amp; Volden, C. (2008). The mechanisms of policy diffusion. American Journal of Political Science, 52(4), 840-857.</w:t>
      </w:r>
    </w:p>
    <w:p w14:paraId="7528DE64" w14:textId="77777777" w:rsidR="00EB00FA" w:rsidRPr="00F01E9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lang w:val="en-US"/>
        </w:rPr>
      </w:pPr>
    </w:p>
    <w:p w14:paraId="3BE88C47" w14:textId="77777777" w:rsidR="00EB00FA" w:rsidRPr="00F01E9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lang w:val="en-US"/>
        </w:rPr>
      </w:pPr>
      <w:r w:rsidRPr="00F01E9A">
        <w:rPr>
          <w:rFonts w:ascii="Cambria" w:eastAsia="Cambria" w:hAnsi="Cambria" w:cs="Cambria"/>
          <w:color w:val="000000"/>
          <w:sz w:val="21"/>
          <w:szCs w:val="21"/>
          <w:lang w:val="en-US"/>
        </w:rPr>
        <w:t>Souza, C. (2020). Local governments in Brazil: Are they the hub of the Brazilian "Welfare State?”. In N. Kersting, &amp; E. Grin (Eds.), Handbook of research on comparative politics and reformation in local governments (p. 1-20). Hershey: IGI Global.</w:t>
      </w:r>
    </w:p>
    <w:p w14:paraId="635A53A3" w14:textId="77777777" w:rsidR="00EB00FA" w:rsidRPr="00F01E9A" w:rsidRDefault="00EB00FA">
      <w:pPr>
        <w:keepNext/>
        <w:keepLines/>
        <w:pBdr>
          <w:top w:val="nil"/>
          <w:left w:val="nil"/>
          <w:bottom w:val="nil"/>
          <w:right w:val="nil"/>
          <w:between w:val="nil"/>
        </w:pBdr>
        <w:spacing w:line="288" w:lineRule="auto"/>
        <w:jc w:val="both"/>
        <w:rPr>
          <w:rFonts w:ascii="Cambria" w:eastAsia="Cambria" w:hAnsi="Cambria" w:cs="Cambria"/>
          <w:color w:val="000000"/>
          <w:sz w:val="21"/>
          <w:szCs w:val="21"/>
          <w:lang w:val="en-US"/>
        </w:rPr>
      </w:pPr>
    </w:p>
    <w:p w14:paraId="1B4777DF" w14:textId="77777777" w:rsidR="00EB00FA" w:rsidRDefault="00000000">
      <w:pPr>
        <w:keepNext/>
        <w:keepLines/>
        <w:pBdr>
          <w:top w:val="nil"/>
          <w:left w:val="nil"/>
          <w:bottom w:val="nil"/>
          <w:right w:val="nil"/>
          <w:between w:val="nil"/>
        </w:pBdr>
        <w:spacing w:line="288" w:lineRule="auto"/>
        <w:jc w:val="both"/>
        <w:rPr>
          <w:rFonts w:ascii="Cambria" w:eastAsia="Cambria" w:hAnsi="Cambria" w:cs="Cambria"/>
          <w:color w:val="000000"/>
          <w:sz w:val="21"/>
          <w:szCs w:val="21"/>
        </w:rPr>
      </w:pPr>
      <w:r w:rsidRPr="00F01E9A">
        <w:rPr>
          <w:rFonts w:ascii="Cambria" w:eastAsia="Cambria" w:hAnsi="Cambria" w:cs="Cambria"/>
          <w:color w:val="000000"/>
          <w:sz w:val="21"/>
          <w:szCs w:val="21"/>
          <w:lang w:val="en-US"/>
        </w:rPr>
        <w:t xml:space="preserve">Wooldridge, J. M. (2010). Econometric analysis of cross section and panel data (2a ed.). </w:t>
      </w:r>
      <w:r>
        <w:rPr>
          <w:rFonts w:ascii="Cambria" w:eastAsia="Cambria" w:hAnsi="Cambria" w:cs="Cambria"/>
          <w:color w:val="000000"/>
          <w:sz w:val="21"/>
          <w:szCs w:val="21"/>
        </w:rPr>
        <w:t>Cambridge: MIT Press.</w:t>
      </w:r>
    </w:p>
    <w:sectPr w:rsidR="00EB00FA">
      <w:footerReference w:type="default" r:id="rId13"/>
      <w:pgSz w:w="11906" w:h="16838"/>
      <w:pgMar w:top="1021"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97FCD" w14:textId="77777777" w:rsidR="005901FF" w:rsidRDefault="005901FF">
      <w:r>
        <w:separator/>
      </w:r>
    </w:p>
  </w:endnote>
  <w:endnote w:type="continuationSeparator" w:id="0">
    <w:p w14:paraId="6C77A394" w14:textId="77777777" w:rsidR="005901FF" w:rsidRDefault="00590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33A41BD-0AA3-4182-BC15-C4B223FF229B}"/>
    <w:embedBold r:id="rId2" w:fontKey="{7E2FC7C4-C1DF-4D7C-A454-7374A6D28E1A}"/>
    <w:embedItalic r:id="rId3" w:fontKey="{BCB0F65B-1BF1-4034-ABC7-758D7970128A}"/>
  </w:font>
  <w:font w:name="Play">
    <w:charset w:val="00"/>
    <w:family w:val="auto"/>
    <w:pitch w:val="default"/>
    <w:embedRegular r:id="rId4" w:fontKey="{AB92ABE1-DF4B-441B-B980-4F0FFAEEEE0F}"/>
  </w:font>
  <w:font w:name="Segoe UI">
    <w:panose1 w:val="020B0502040204020203"/>
    <w:charset w:val="00"/>
    <w:family w:val="swiss"/>
    <w:pitch w:val="variable"/>
    <w:sig w:usb0="E4002EFF" w:usb1="C000E47F" w:usb2="00000009" w:usb3="00000000" w:csb0="000001FF" w:csb1="00000000"/>
    <w:embedRegular r:id="rId5" w:fontKey="{895361A6-0C3F-4A32-A660-4E89D63D6FA2}"/>
  </w:font>
  <w:font w:name="Calibri Light">
    <w:panose1 w:val="020F0302020204030204"/>
    <w:charset w:val="00"/>
    <w:family w:val="swiss"/>
    <w:pitch w:val="variable"/>
    <w:sig w:usb0="E4002EFF" w:usb1="C200247B" w:usb2="00000009" w:usb3="00000000" w:csb0="000001FF" w:csb1="00000000"/>
    <w:embedRegular r:id="rId6" w:fontKey="{D153AD35-093D-460E-AD00-A14D58C0347B}"/>
    <w:embedBold r:id="rId7" w:fontKey="{D7C348A2-08F9-414A-BA3B-750235D4DD98}"/>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8" w:fontKey="{4CE09345-465B-489D-9B85-AE5572DA59D0}"/>
    <w:embedBold r:id="rId9" w:fontKey="{9FAA89B9-FE75-4FD7-A4FC-3374BEBAC81F}"/>
    <w:embedItalic r:id="rId10" w:fontKey="{0443E8C1-1130-490D-95B5-C4622017414E}"/>
    <w:embedBoldItalic r:id="rId11" w:fontKey="{27F7F699-E92F-48B1-81AB-396C7B73B613}"/>
  </w:font>
  <w:font w:name="Futura Std Condensed Light">
    <w:charset w:val="00"/>
    <w:family w:val="swiss"/>
    <w:pitch w:val="variable"/>
  </w:font>
  <w:font w:name="Cambria">
    <w:panose1 w:val="02040503050406030204"/>
    <w:charset w:val="00"/>
    <w:family w:val="roman"/>
    <w:pitch w:val="variable"/>
    <w:sig w:usb0="E00006FF" w:usb1="420024FF" w:usb2="02000000" w:usb3="00000000" w:csb0="0000019F" w:csb1="00000000"/>
    <w:embedRegular r:id="rId12" w:fontKey="{C6B2F0AB-A14F-4A39-AACC-533F7094ED5E}"/>
    <w:embedBold r:id="rId13" w:fontKey="{2687E498-D492-439B-BC83-7968A187019F}"/>
    <w:embedItalic r:id="rId14" w:fontKey="{56A48D06-AD46-40BB-B0E6-C1321A177C84}"/>
    <w:embedBoldItalic r:id="rId15" w:fontKey="{9C42DC61-09AE-4999-B0E8-49F3C2541CD4}"/>
  </w:font>
  <w:font w:name="Futura Std Medium">
    <w:charset w:val="00"/>
    <w:family w:val="swiss"/>
    <w:pitch w:val="variable"/>
  </w:font>
  <w:font w:name="Futura Std Book">
    <w:charset w:val="00"/>
    <w:family w:val="swiss"/>
    <w:pitch w:val="variable"/>
  </w:font>
  <w:font w:name="CMU Serif">
    <w:charset w:val="00"/>
    <w:family w:val="auto"/>
    <w:pitch w:val="variable"/>
  </w:font>
  <w:font w:name="Futura Std Condensed">
    <w:charset w:val="00"/>
    <w:family w:val="swiss"/>
    <w:pitch w:val="variable"/>
  </w:font>
  <w:font w:name="MinionPro-Regular">
    <w:charset w:val="00"/>
    <w:family w:val="auto"/>
    <w:pitch w:val="default"/>
  </w:font>
  <w:font w:name="Aptos Display">
    <w:charset w:val="00"/>
    <w:family w:val="swiss"/>
    <w:pitch w:val="variable"/>
    <w:sig w:usb0="20000287" w:usb1="00000003" w:usb2="00000000" w:usb3="00000000" w:csb0="0000019F" w:csb1="00000000"/>
    <w:embedRegular r:id="rId16" w:fontKey="{681E1A01-75E6-42EE-AE3C-ABD2BB953E33}"/>
  </w:font>
  <w:font w:name="Georgia">
    <w:panose1 w:val="02040502050405020303"/>
    <w:charset w:val="00"/>
    <w:family w:val="roman"/>
    <w:pitch w:val="variable"/>
    <w:sig w:usb0="00000287" w:usb1="00000000" w:usb2="00000000" w:usb3="00000000" w:csb0="0000009F" w:csb1="00000000"/>
    <w:embedItalic r:id="rId17" w:fontKey="{4FBDE8CD-8FA5-4521-B604-12403621549B}"/>
  </w:font>
  <w:font w:name="Cambria Math">
    <w:panose1 w:val="02040503050406030204"/>
    <w:charset w:val="00"/>
    <w:family w:val="roman"/>
    <w:pitch w:val="variable"/>
    <w:sig w:usb0="E00006FF" w:usb1="420024FF" w:usb2="02000000" w:usb3="00000000" w:csb0="0000019F" w:csb1="00000000"/>
    <w:embedRegular r:id="rId18" w:fontKey="{9C010FCB-3A0B-4AC4-8D6B-8196BB357A29}"/>
    <w:embedItalic r:id="rId19" w:fontKey="{231B6AF2-4560-4D66-8BED-5DD69F74C137}"/>
  </w:font>
  <w:font w:name="Aptos">
    <w:charset w:val="00"/>
    <w:family w:val="swiss"/>
    <w:pitch w:val="variable"/>
    <w:sig w:usb0="20000287" w:usb1="00000003" w:usb2="00000000" w:usb3="00000000" w:csb0="0000019F" w:csb1="00000000"/>
    <w:embedRegular r:id="rId20" w:fontKey="{EAACBD8F-B1CE-4D5E-960E-2443313CD58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A8102" w14:textId="77777777" w:rsidR="00EB00FA" w:rsidRDefault="00000000">
    <w:pPr>
      <w:pBdr>
        <w:top w:val="nil"/>
        <w:left w:val="nil"/>
        <w:bottom w:val="nil"/>
        <w:right w:val="nil"/>
        <w:between w:val="nil"/>
      </w:pBdr>
      <w:tabs>
        <w:tab w:val="left" w:pos="120"/>
      </w:tabs>
      <w:spacing w:line="288" w:lineRule="auto"/>
      <w:ind w:left="85" w:hanging="85"/>
      <w:jc w:val="both"/>
      <w:rPr>
        <w:rFonts w:ascii="Cambria" w:eastAsia="Cambria" w:hAnsi="Cambria" w:cs="Cambria"/>
        <w:color w:val="000000"/>
        <w:sz w:val="16"/>
        <w:szCs w:val="16"/>
      </w:rPr>
    </w:pPr>
    <w:r>
      <w:rPr>
        <w:rFonts w:ascii="Cambria" w:eastAsia="Cambria" w:hAnsi="Cambria" w:cs="Cambria"/>
        <w:color w:val="000000"/>
        <w:sz w:val="16"/>
        <w:szCs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09E11" w14:textId="77777777" w:rsidR="00EB00FA" w:rsidRDefault="00EB00FA">
    <w:pPr>
      <w:pBdr>
        <w:top w:val="nil"/>
        <w:left w:val="nil"/>
        <w:bottom w:val="nil"/>
        <w:right w:val="nil"/>
        <w:between w:val="nil"/>
      </w:pBdr>
      <w:tabs>
        <w:tab w:val="left" w:pos="120"/>
      </w:tabs>
      <w:spacing w:line="288" w:lineRule="auto"/>
      <w:ind w:left="85" w:hanging="85"/>
      <w:jc w:val="both"/>
      <w:rPr>
        <w:rFonts w:ascii="Cambria" w:eastAsia="Cambria" w:hAnsi="Cambria" w:cs="Cambria"/>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49B75" w14:textId="77777777" w:rsidR="005901FF" w:rsidRDefault="005901FF">
      <w:r>
        <w:separator/>
      </w:r>
    </w:p>
  </w:footnote>
  <w:footnote w:type="continuationSeparator" w:id="0">
    <w:p w14:paraId="3620F090" w14:textId="77777777" w:rsidR="005901FF" w:rsidRDefault="005901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73DEC"/>
    <w:multiLevelType w:val="multilevel"/>
    <w:tmpl w:val="076AAC7A"/>
    <w:lvl w:ilvl="0">
      <w:start w:val="1"/>
      <w:numFmt w:val="decimal"/>
      <w:pStyle w:val="BulletList1Al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19523509">
    <w:abstractNumId w:val="0"/>
  </w:num>
  <w:num w:numId="2" w16cid:durableId="15270632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254215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33111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0FA"/>
    <w:rsid w:val="000D0AE3"/>
    <w:rsid w:val="00110B4F"/>
    <w:rsid w:val="00110C03"/>
    <w:rsid w:val="0019534C"/>
    <w:rsid w:val="001C2CF6"/>
    <w:rsid w:val="001D519F"/>
    <w:rsid w:val="002060FA"/>
    <w:rsid w:val="00216940"/>
    <w:rsid w:val="002330F3"/>
    <w:rsid w:val="00252AD9"/>
    <w:rsid w:val="002611AC"/>
    <w:rsid w:val="003137B8"/>
    <w:rsid w:val="00376284"/>
    <w:rsid w:val="0038202C"/>
    <w:rsid w:val="003A02C0"/>
    <w:rsid w:val="003C0838"/>
    <w:rsid w:val="003D3EBB"/>
    <w:rsid w:val="003F41B1"/>
    <w:rsid w:val="0040073F"/>
    <w:rsid w:val="00425F0D"/>
    <w:rsid w:val="00435EA2"/>
    <w:rsid w:val="004411C9"/>
    <w:rsid w:val="004B1A08"/>
    <w:rsid w:val="004B4370"/>
    <w:rsid w:val="004F4780"/>
    <w:rsid w:val="005634FD"/>
    <w:rsid w:val="00582903"/>
    <w:rsid w:val="005901FF"/>
    <w:rsid w:val="00594529"/>
    <w:rsid w:val="005E2C06"/>
    <w:rsid w:val="005E529A"/>
    <w:rsid w:val="00642A14"/>
    <w:rsid w:val="00660949"/>
    <w:rsid w:val="00662F20"/>
    <w:rsid w:val="00694739"/>
    <w:rsid w:val="006A66F5"/>
    <w:rsid w:val="006A74F1"/>
    <w:rsid w:val="006B6E32"/>
    <w:rsid w:val="007743A3"/>
    <w:rsid w:val="007B2654"/>
    <w:rsid w:val="00870317"/>
    <w:rsid w:val="008A4012"/>
    <w:rsid w:val="00935041"/>
    <w:rsid w:val="009A73D1"/>
    <w:rsid w:val="009A7CE0"/>
    <w:rsid w:val="009D7D56"/>
    <w:rsid w:val="009E5461"/>
    <w:rsid w:val="00B83141"/>
    <w:rsid w:val="00B84BAF"/>
    <w:rsid w:val="00BB187C"/>
    <w:rsid w:val="00BC36EE"/>
    <w:rsid w:val="00C143AC"/>
    <w:rsid w:val="00C2784D"/>
    <w:rsid w:val="00CC0D0D"/>
    <w:rsid w:val="00CC42AE"/>
    <w:rsid w:val="00CF4E3F"/>
    <w:rsid w:val="00D238CD"/>
    <w:rsid w:val="00D27CB2"/>
    <w:rsid w:val="00D601D5"/>
    <w:rsid w:val="00E14144"/>
    <w:rsid w:val="00E21327"/>
    <w:rsid w:val="00EA6845"/>
    <w:rsid w:val="00EB00FA"/>
    <w:rsid w:val="00EF5FD9"/>
    <w:rsid w:val="00F01E9A"/>
    <w:rsid w:val="00F056D8"/>
    <w:rsid w:val="00F16EF0"/>
    <w:rsid w:val="00F278F4"/>
    <w:rsid w:val="00F34186"/>
    <w:rsid w:val="00F707D4"/>
    <w:rsid w:val="00F83D0D"/>
    <w:rsid w:val="00FD4D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C5CAD"/>
  <w15:docId w15:val="{67871C98-3187-46F9-9860-2B15E9406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after="60"/>
      <w:outlineLvl w:val="0"/>
    </w:pPr>
    <w:rPr>
      <w:rFonts w:ascii="Calibri" w:eastAsia="Calibri" w:hAnsi="Calibri" w:cs="Calibri"/>
      <w:b/>
      <w:bCs/>
      <w:sz w:val="32"/>
      <w:szCs w:val="32"/>
    </w:rPr>
  </w:style>
  <w:style w:type="paragraph" w:styleId="Ttulo2">
    <w:name w:val="heading 2"/>
    <w:basedOn w:val="Normal"/>
    <w:next w:val="Normal"/>
    <w:uiPriority w:val="9"/>
    <w:semiHidden/>
    <w:unhideWhenUsed/>
    <w:qFormat/>
    <w:pPr>
      <w:keepNext/>
      <w:keepLines/>
      <w:spacing w:before="40"/>
      <w:outlineLvl w:val="1"/>
    </w:pPr>
    <w:rPr>
      <w:rFonts w:ascii="Play" w:eastAsia="Play" w:hAnsi="Play" w:cs="Play"/>
      <w:color w:val="0F4761"/>
      <w:sz w:val="26"/>
      <w:szCs w:val="26"/>
    </w:rPr>
  </w:style>
  <w:style w:type="paragraph" w:styleId="Ttulo3">
    <w:name w:val="heading 3"/>
    <w:basedOn w:val="Normal"/>
    <w:next w:val="Normal"/>
    <w:uiPriority w:val="9"/>
    <w:semiHidden/>
    <w:unhideWhenUsed/>
    <w:qFormat/>
    <w:pPr>
      <w:keepNext/>
      <w:keepLines/>
      <w:spacing w:before="40"/>
      <w:outlineLvl w:val="2"/>
    </w:pPr>
    <w:rPr>
      <w:rFonts w:ascii="Play" w:eastAsia="Play" w:hAnsi="Play" w:cs="Play"/>
      <w:color w:val="0A2F40"/>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Cabealho">
    <w:name w:val="header"/>
    <w:basedOn w:val="Normal"/>
    <w:pPr>
      <w:tabs>
        <w:tab w:val="center" w:pos="4252"/>
        <w:tab w:val="right" w:pos="8504"/>
      </w:tabs>
    </w:pPr>
    <w:rPr>
      <w:vanish/>
      <w:sz w:val="2"/>
    </w:rPr>
  </w:style>
  <w:style w:type="character" w:customStyle="1" w:styleId="CabealhoChar">
    <w:name w:val="Cabeçalho Char"/>
    <w:rPr>
      <w:rFonts w:ascii="Times New Roman" w:eastAsia="Times New Roman" w:hAnsi="Times New Roman" w:cs="Times New Roman"/>
      <w:vanish/>
      <w:sz w:val="2"/>
      <w:szCs w:val="24"/>
    </w:rPr>
  </w:style>
  <w:style w:type="paragraph" w:styleId="Rodap">
    <w:name w:val="footer"/>
    <w:basedOn w:val="Normal"/>
    <w:pPr>
      <w:tabs>
        <w:tab w:val="center" w:pos="4252"/>
        <w:tab w:val="right" w:pos="8504"/>
      </w:tabs>
    </w:pPr>
    <w:rPr>
      <w:vanish/>
      <w:sz w:val="2"/>
    </w:rPr>
  </w:style>
  <w:style w:type="character" w:customStyle="1" w:styleId="RodapChar">
    <w:name w:val="Rodapé Char"/>
    <w:rPr>
      <w:rFonts w:ascii="Times New Roman" w:eastAsia="Times New Roman" w:hAnsi="Times New Roman" w:cs="Times New Roman"/>
      <w:vanish/>
      <w:sz w:val="2"/>
      <w:szCs w:val="24"/>
    </w:rPr>
  </w:style>
  <w:style w:type="paragraph" w:customStyle="1" w:styleId="Quadros">
    <w:name w:val="Quadros"/>
    <w:basedOn w:val="Normal"/>
    <w:pPr>
      <w:tabs>
        <w:tab w:val="left" w:pos="709"/>
      </w:tabs>
      <w:jc w:val="center"/>
    </w:pPr>
    <w:rPr>
      <w:b/>
      <w:shd w:val="clear" w:color="auto" w:fill="FFFFFF"/>
    </w:rPr>
  </w:style>
  <w:style w:type="paragraph" w:styleId="NormalWeb">
    <w:name w:val="Normal (Web)"/>
    <w:basedOn w:val="Normal"/>
    <w:pPr>
      <w:spacing w:before="100" w:after="100"/>
    </w:pPr>
  </w:style>
  <w:style w:type="character" w:styleId="Hyperlink">
    <w:name w:val="Hyperlink"/>
    <w:rPr>
      <w:color w:val="0563C1"/>
      <w:u w:val="single"/>
    </w:rPr>
  </w:style>
  <w:style w:type="character" w:styleId="HiperlinkVisitado">
    <w:name w:val="FollowedHyperlink"/>
    <w:basedOn w:val="Fontepargpadro"/>
    <w:rPr>
      <w:color w:val="800080"/>
      <w:u w:val="single"/>
    </w:rPr>
  </w:style>
  <w:style w:type="paragraph" w:styleId="Legenda">
    <w:name w:val="caption"/>
    <w:basedOn w:val="Normal"/>
    <w:next w:val="Normal"/>
    <w:rPr>
      <w:i/>
      <w:iCs/>
      <w:color w:val="1F497D"/>
      <w:sz w:val="18"/>
      <w:szCs w:val="18"/>
    </w:rPr>
  </w:style>
  <w:style w:type="paragraph" w:styleId="Corpodetexto">
    <w:name w:val="Body Text"/>
    <w:basedOn w:val="Normal"/>
    <w:autoRedefine/>
    <w:pPr>
      <w:ind w:firstLine="567"/>
      <w:jc w:val="center"/>
    </w:pPr>
  </w:style>
  <w:style w:type="character" w:customStyle="1" w:styleId="CorpodetextoChar">
    <w:name w:val="Corpo de texto Char"/>
    <w:basedOn w:val="Fontepargpadro"/>
    <w:rPr>
      <w:rFonts w:ascii="Times New Roman" w:eastAsia="Times New Roman" w:hAnsi="Times New Roman" w:cs="Times New Roman"/>
      <w:sz w:val="24"/>
      <w:szCs w:val="24"/>
      <w:lang w:eastAsia="pt-BR"/>
    </w:rPr>
  </w:style>
  <w:style w:type="character" w:styleId="Refdecomentrio">
    <w:name w:val="annotation reference"/>
    <w:basedOn w:val="Fontepargpadro"/>
    <w:rPr>
      <w:sz w:val="16"/>
      <w:szCs w:val="16"/>
    </w:rPr>
  </w:style>
  <w:style w:type="paragraph" w:styleId="Textodecomentrio">
    <w:name w:val="annotation text"/>
    <w:basedOn w:val="Normal"/>
    <w:rPr>
      <w:sz w:val="20"/>
      <w:szCs w:val="20"/>
    </w:rPr>
  </w:style>
  <w:style w:type="character" w:customStyle="1" w:styleId="TextodecomentrioChar">
    <w:name w:val="Texto de comentário Char"/>
    <w:basedOn w:val="Fontepargpadro"/>
    <w:rPr>
      <w:sz w:val="20"/>
      <w:szCs w:val="20"/>
    </w:rPr>
  </w:style>
  <w:style w:type="paragraph" w:styleId="Textodebalo">
    <w:name w:val="Balloon Text"/>
    <w:basedOn w:val="Normal"/>
    <w:rPr>
      <w:rFonts w:ascii="Segoe UI" w:hAnsi="Segoe UI" w:cs="Segoe UI"/>
      <w:sz w:val="18"/>
      <w:szCs w:val="18"/>
    </w:rPr>
  </w:style>
  <w:style w:type="character" w:customStyle="1" w:styleId="TextodebaloChar">
    <w:name w:val="Texto de balão Char"/>
    <w:rPr>
      <w:rFonts w:ascii="Segoe UI" w:eastAsia="Times New Roman" w:hAnsi="Segoe UI" w:cs="Segoe UI"/>
      <w:sz w:val="18"/>
      <w:szCs w:val="18"/>
    </w:rPr>
  </w:style>
  <w:style w:type="paragraph" w:styleId="Assuntodocomentrio">
    <w:name w:val="annotation subject"/>
    <w:basedOn w:val="Textodecomentrio"/>
    <w:next w:val="Textodecomentrio"/>
    <w:rPr>
      <w:b/>
      <w:bCs/>
    </w:rPr>
  </w:style>
  <w:style w:type="character" w:customStyle="1" w:styleId="AssuntodocomentrioChar">
    <w:name w:val="Assunto do comentário Char"/>
    <w:basedOn w:val="TextodecomentrioChar"/>
    <w:rPr>
      <w:b/>
      <w:bCs/>
      <w:sz w:val="20"/>
      <w:szCs w:val="20"/>
    </w:rPr>
  </w:style>
  <w:style w:type="character" w:styleId="Forte">
    <w:name w:val="Strong"/>
    <w:basedOn w:val="Fontepargpadro"/>
    <w:rPr>
      <w:b/>
      <w:bCs/>
    </w:rPr>
  </w:style>
  <w:style w:type="paragraph" w:styleId="SemEspaamento">
    <w:name w:val="No Spacing"/>
    <w:pPr>
      <w:suppressAutoHyphens/>
    </w:pPr>
  </w:style>
  <w:style w:type="character" w:customStyle="1" w:styleId="Ttulo1Char">
    <w:name w:val="Título 1 Char"/>
    <w:rPr>
      <w:rFonts w:ascii="Calibri Light" w:eastAsia="Times New Roman" w:hAnsi="Calibri Light" w:cs="Times New Roman"/>
      <w:b/>
      <w:bCs/>
      <w:kern w:val="3"/>
      <w:sz w:val="32"/>
      <w:szCs w:val="32"/>
    </w:rPr>
  </w:style>
  <w:style w:type="paragraph" w:styleId="PargrafodaLista">
    <w:name w:val="List Paragraph"/>
    <w:basedOn w:val="Normal"/>
    <w:pPr>
      <w:ind w:left="720"/>
    </w:pPr>
  </w:style>
  <w:style w:type="paragraph" w:styleId="Reviso">
    <w:name w:val="Revision"/>
    <w:pPr>
      <w:suppressAutoHyphens/>
    </w:pPr>
    <w:rPr>
      <w:rFonts w:ascii="Arial" w:hAnsi="Arial"/>
    </w:rPr>
  </w:style>
  <w:style w:type="character" w:customStyle="1" w:styleId="MenoPendente1">
    <w:name w:val="Menção Pendente1"/>
    <w:basedOn w:val="Fontepargpadro"/>
    <w:rPr>
      <w:color w:val="605E5C"/>
      <w:shd w:val="clear" w:color="auto" w:fill="E1DFDD"/>
    </w:rPr>
  </w:style>
  <w:style w:type="character" w:customStyle="1" w:styleId="MTConvertedEquation">
    <w:name w:val="MTConvertedEquation"/>
    <w:basedOn w:val="Fontepargpadro"/>
  </w:style>
  <w:style w:type="paragraph" w:styleId="Pr-formataoHTML">
    <w:name w:val="HTML Preformatted"/>
    <w:basedOn w:val="Normal"/>
    <w:rPr>
      <w:rFonts w:ascii="Courier New" w:hAnsi="Courier New" w:cs="Courier New"/>
      <w:sz w:val="20"/>
      <w:szCs w:val="20"/>
    </w:rPr>
  </w:style>
  <w:style w:type="character" w:customStyle="1" w:styleId="Pr-formataoHTMLChar">
    <w:name w:val="Pré-formatação HTML Char"/>
    <w:rPr>
      <w:rFonts w:ascii="Courier New" w:eastAsia="Times New Roman" w:hAnsi="Courier New" w:cs="Courier New"/>
      <w:sz w:val="20"/>
      <w:szCs w:val="20"/>
      <w:lang w:val="en-US"/>
    </w:rPr>
  </w:style>
  <w:style w:type="character" w:customStyle="1" w:styleId="aubase">
    <w:name w:val="au_base"/>
    <w:rPr>
      <w:b w:val="0"/>
      <w:i w:val="0"/>
      <w:caps w:val="0"/>
      <w:smallCaps w:val="0"/>
      <w:strike w:val="0"/>
      <w:dstrike w:val="0"/>
      <w:vanish w:val="0"/>
      <w:color w:val="auto"/>
      <w:kern w:val="0"/>
      <w:position w:val="0"/>
      <w:u w:val="none"/>
      <w:vertAlign w:val="baseline"/>
    </w:rPr>
  </w:style>
  <w:style w:type="character" w:customStyle="1" w:styleId="aucollab">
    <w:name w:val="au_collab"/>
    <w:rPr>
      <w:b w:val="0"/>
      <w:i w:val="0"/>
      <w:caps w:val="0"/>
      <w:smallCaps w:val="0"/>
      <w:strike w:val="0"/>
      <w:dstrike w:val="0"/>
      <w:vanish w:val="0"/>
      <w:color w:val="auto"/>
      <w:kern w:val="0"/>
      <w:position w:val="0"/>
      <w:u w:val="none"/>
      <w:shd w:val="clear" w:color="auto" w:fill="C0C0C0"/>
      <w:vertAlign w:val="baseline"/>
    </w:rPr>
  </w:style>
  <w:style w:type="character" w:customStyle="1" w:styleId="audeg">
    <w:name w:val="au_deg"/>
    <w:rPr>
      <w:b w:val="0"/>
      <w:i w:val="0"/>
      <w:caps w:val="0"/>
      <w:smallCaps w:val="0"/>
      <w:strike w:val="0"/>
      <w:dstrike w:val="0"/>
      <w:vanish w:val="0"/>
      <w:color w:val="auto"/>
      <w:kern w:val="0"/>
      <w:position w:val="0"/>
      <w:u w:val="none"/>
      <w:shd w:val="clear" w:color="auto" w:fill="FFFF00"/>
      <w:vertAlign w:val="baseline"/>
    </w:rPr>
  </w:style>
  <w:style w:type="character" w:customStyle="1" w:styleId="aufname">
    <w:name w:val="au_fname"/>
    <w:rPr>
      <w:b w:val="0"/>
      <w:i w:val="0"/>
      <w:caps w:val="0"/>
      <w:smallCaps w:val="0"/>
      <w:strike w:val="0"/>
      <w:dstrike w:val="0"/>
      <w:vanish w:val="0"/>
      <w:color w:val="auto"/>
      <w:kern w:val="0"/>
      <w:position w:val="0"/>
      <w:u w:val="none"/>
      <w:shd w:val="clear" w:color="auto" w:fill="FFFFCC"/>
      <w:vertAlign w:val="baseline"/>
    </w:rPr>
  </w:style>
  <w:style w:type="character" w:customStyle="1" w:styleId="aurole">
    <w:name w:val="au_role"/>
    <w:rPr>
      <w:b w:val="0"/>
      <w:i w:val="0"/>
      <w:caps w:val="0"/>
      <w:smallCaps w:val="0"/>
      <w:strike w:val="0"/>
      <w:dstrike w:val="0"/>
      <w:vanish w:val="0"/>
      <w:color w:val="auto"/>
      <w:kern w:val="0"/>
      <w:position w:val="0"/>
      <w:u w:val="none"/>
      <w:shd w:val="clear" w:color="auto" w:fill="808000"/>
      <w:vertAlign w:val="baseline"/>
    </w:rPr>
  </w:style>
  <w:style w:type="character" w:customStyle="1" w:styleId="ausuffix">
    <w:name w:val="au_suffix"/>
    <w:rPr>
      <w:b w:val="0"/>
      <w:i w:val="0"/>
      <w:caps w:val="0"/>
      <w:smallCaps w:val="0"/>
      <w:strike w:val="0"/>
      <w:dstrike w:val="0"/>
      <w:vanish w:val="0"/>
      <w:color w:val="auto"/>
      <w:kern w:val="0"/>
      <w:position w:val="0"/>
      <w:u w:val="none"/>
      <w:shd w:val="clear" w:color="auto" w:fill="FF00FF"/>
      <w:vertAlign w:val="baseline"/>
    </w:rPr>
  </w:style>
  <w:style w:type="character" w:customStyle="1" w:styleId="ausurname">
    <w:name w:val="au_surname"/>
    <w:rPr>
      <w:b w:val="0"/>
      <w:i w:val="0"/>
      <w:caps w:val="0"/>
      <w:smallCaps w:val="0"/>
      <w:strike w:val="0"/>
      <w:dstrike w:val="0"/>
      <w:vanish w:val="0"/>
      <w:color w:val="auto"/>
      <w:kern w:val="0"/>
      <w:position w:val="0"/>
      <w:u w:val="none"/>
      <w:shd w:val="clear" w:color="auto" w:fill="CCFF99"/>
      <w:vertAlign w:val="baseline"/>
    </w:rPr>
  </w:style>
  <w:style w:type="character" w:customStyle="1" w:styleId="bibbase">
    <w:name w:val="bib_base"/>
    <w:rPr>
      <w:caps w:val="0"/>
      <w:smallCaps w:val="0"/>
      <w:strike w:val="0"/>
      <w:dstrike w:val="0"/>
      <w:vanish w:val="0"/>
      <w:color w:val="auto"/>
      <w:kern w:val="0"/>
      <w:position w:val="0"/>
      <w:u w:val="none"/>
      <w:vertAlign w:val="baseline"/>
    </w:rPr>
  </w:style>
  <w:style w:type="character" w:customStyle="1" w:styleId="bibarticle">
    <w:name w:val="bib_article"/>
    <w:rPr>
      <w:caps w:val="0"/>
      <w:smallCaps w:val="0"/>
      <w:strike w:val="0"/>
      <w:dstrike w:val="0"/>
      <w:vanish w:val="0"/>
      <w:color w:val="auto"/>
      <w:kern w:val="0"/>
      <w:position w:val="0"/>
      <w:u w:val="none"/>
      <w:shd w:val="clear" w:color="auto" w:fill="CCFFFF"/>
      <w:vertAlign w:val="baseline"/>
    </w:rPr>
  </w:style>
  <w:style w:type="character" w:customStyle="1" w:styleId="bibcomment">
    <w:name w:val="bib_comment"/>
    <w:rPr>
      <w:caps w:val="0"/>
      <w:smallCaps w:val="0"/>
      <w:strike w:val="0"/>
      <w:dstrike w:val="0"/>
      <w:vanish w:val="0"/>
      <w:color w:val="auto"/>
      <w:kern w:val="0"/>
      <w:position w:val="0"/>
      <w:u w:val="none"/>
      <w:shd w:val="clear" w:color="auto" w:fill="D1A8FE"/>
      <w:vertAlign w:val="baseline"/>
    </w:rPr>
  </w:style>
  <w:style w:type="character" w:customStyle="1" w:styleId="bibdeg">
    <w:name w:val="bib_deg"/>
    <w:rPr>
      <w:caps w:val="0"/>
      <w:smallCaps w:val="0"/>
      <w:strike w:val="0"/>
      <w:dstrike w:val="0"/>
      <w:vanish w:val="0"/>
      <w:color w:val="auto"/>
      <w:kern w:val="0"/>
      <w:position w:val="0"/>
      <w:u w:val="none"/>
      <w:vertAlign w:val="baseline"/>
    </w:rPr>
  </w:style>
  <w:style w:type="character" w:customStyle="1" w:styleId="bibdoi">
    <w:name w:val="bib_doi"/>
    <w:rPr>
      <w:caps w:val="0"/>
      <w:smallCaps w:val="0"/>
      <w:strike w:val="0"/>
      <w:dstrike w:val="0"/>
      <w:vanish w:val="0"/>
      <w:color w:val="auto"/>
      <w:kern w:val="0"/>
      <w:position w:val="0"/>
      <w:u w:val="none"/>
      <w:shd w:val="clear" w:color="auto" w:fill="CCFFCC"/>
      <w:vertAlign w:val="baseline"/>
    </w:rPr>
  </w:style>
  <w:style w:type="character" w:customStyle="1" w:styleId="bibetal">
    <w:name w:val="bib_etal"/>
    <w:rPr>
      <w:caps w:val="0"/>
      <w:smallCaps w:val="0"/>
      <w:strike w:val="0"/>
      <w:dstrike w:val="0"/>
      <w:vanish w:val="0"/>
      <w:color w:val="auto"/>
      <w:kern w:val="0"/>
      <w:position w:val="0"/>
      <w:u w:val="none"/>
      <w:shd w:val="clear" w:color="auto" w:fill="FFCC99"/>
      <w:vertAlign w:val="baseline"/>
    </w:rPr>
  </w:style>
  <w:style w:type="character" w:customStyle="1" w:styleId="bibfname">
    <w:name w:val="bib_fname"/>
    <w:rPr>
      <w:caps w:val="0"/>
      <w:smallCaps w:val="0"/>
      <w:strike w:val="0"/>
      <w:dstrike w:val="0"/>
      <w:vanish w:val="0"/>
      <w:color w:val="auto"/>
      <w:kern w:val="0"/>
      <w:position w:val="0"/>
      <w:u w:val="none"/>
      <w:shd w:val="clear" w:color="auto" w:fill="FFFF00"/>
      <w:vertAlign w:val="baseline"/>
    </w:rPr>
  </w:style>
  <w:style w:type="character" w:customStyle="1" w:styleId="bibfpage">
    <w:name w:val="bib_fpage"/>
    <w:rPr>
      <w:caps w:val="0"/>
      <w:smallCaps w:val="0"/>
      <w:strike w:val="0"/>
      <w:dstrike w:val="0"/>
      <w:vanish w:val="0"/>
      <w:color w:val="auto"/>
      <w:kern w:val="0"/>
      <w:position w:val="0"/>
      <w:u w:val="none"/>
      <w:shd w:val="clear" w:color="auto" w:fill="D9D9D9"/>
      <w:vertAlign w:val="baseline"/>
    </w:rPr>
  </w:style>
  <w:style w:type="character" w:customStyle="1" w:styleId="bibissue">
    <w:name w:val="bib_issue"/>
    <w:rPr>
      <w:caps w:val="0"/>
      <w:smallCaps w:val="0"/>
      <w:strike w:val="0"/>
      <w:dstrike w:val="0"/>
      <w:vanish w:val="0"/>
      <w:color w:val="auto"/>
      <w:kern w:val="0"/>
      <w:position w:val="0"/>
      <w:u w:val="none"/>
      <w:shd w:val="clear" w:color="auto" w:fill="FFFFAB"/>
      <w:vertAlign w:val="baseline"/>
    </w:rPr>
  </w:style>
  <w:style w:type="character" w:customStyle="1" w:styleId="bibjournal">
    <w:name w:val="bib_journal"/>
    <w:rPr>
      <w:caps w:val="0"/>
      <w:smallCaps w:val="0"/>
      <w:strike w:val="0"/>
      <w:dstrike w:val="0"/>
      <w:vanish w:val="0"/>
      <w:color w:val="auto"/>
      <w:kern w:val="0"/>
      <w:position w:val="0"/>
      <w:u w:val="none"/>
      <w:shd w:val="clear" w:color="auto" w:fill="F9DECF"/>
      <w:vertAlign w:val="baseline"/>
    </w:rPr>
  </w:style>
  <w:style w:type="character" w:customStyle="1" w:styleId="biblpage">
    <w:name w:val="bib_lpage"/>
    <w:rPr>
      <w:caps w:val="0"/>
      <w:smallCaps w:val="0"/>
      <w:strike w:val="0"/>
      <w:dstrike w:val="0"/>
      <w:vanish w:val="0"/>
      <w:color w:val="auto"/>
      <w:kern w:val="0"/>
      <w:position w:val="0"/>
      <w:u w:val="none"/>
      <w:shd w:val="clear" w:color="auto" w:fill="A6A6A6"/>
      <w:vertAlign w:val="baseline"/>
    </w:rPr>
  </w:style>
  <w:style w:type="character" w:customStyle="1" w:styleId="bibnumber">
    <w:name w:val="bib_number"/>
    <w:rPr>
      <w:caps w:val="0"/>
      <w:smallCaps w:val="0"/>
      <w:strike w:val="0"/>
      <w:dstrike w:val="0"/>
      <w:vanish w:val="0"/>
      <w:color w:val="auto"/>
      <w:kern w:val="0"/>
      <w:position w:val="0"/>
      <w:u w:val="none"/>
      <w:shd w:val="clear" w:color="auto" w:fill="CCCCFF"/>
      <w:vertAlign w:val="baseline"/>
    </w:rPr>
  </w:style>
  <w:style w:type="character" w:customStyle="1" w:styleId="biborganization">
    <w:name w:val="bib_organization"/>
    <w:rPr>
      <w:caps w:val="0"/>
      <w:smallCaps w:val="0"/>
      <w:strike w:val="0"/>
      <w:dstrike w:val="0"/>
      <w:vanish w:val="0"/>
      <w:color w:val="auto"/>
      <w:kern w:val="0"/>
      <w:position w:val="0"/>
      <w:u w:val="none"/>
      <w:shd w:val="clear" w:color="auto" w:fill="00B050"/>
      <w:vertAlign w:val="baseline"/>
    </w:rPr>
  </w:style>
  <w:style w:type="character" w:customStyle="1" w:styleId="bibsuffix">
    <w:name w:val="bib_suffix"/>
    <w:rPr>
      <w:caps w:val="0"/>
      <w:smallCaps w:val="0"/>
      <w:strike w:val="0"/>
      <w:dstrike w:val="0"/>
      <w:vanish w:val="0"/>
      <w:color w:val="auto"/>
      <w:kern w:val="0"/>
      <w:position w:val="0"/>
      <w:u w:val="none"/>
      <w:shd w:val="clear" w:color="auto" w:fill="33CCCC"/>
      <w:vertAlign w:val="baseline"/>
    </w:rPr>
  </w:style>
  <w:style w:type="character" w:customStyle="1" w:styleId="bibsuppl">
    <w:name w:val="bib_suppl"/>
    <w:rPr>
      <w:caps w:val="0"/>
      <w:smallCaps w:val="0"/>
      <w:strike w:val="0"/>
      <w:dstrike w:val="0"/>
      <w:vanish w:val="0"/>
      <w:color w:val="auto"/>
      <w:kern w:val="0"/>
      <w:position w:val="0"/>
      <w:u w:val="none"/>
      <w:shd w:val="clear" w:color="auto" w:fill="FFCC66"/>
      <w:vertAlign w:val="baseline"/>
    </w:rPr>
  </w:style>
  <w:style w:type="character" w:customStyle="1" w:styleId="bibsurname">
    <w:name w:val="bib_surname"/>
    <w:rPr>
      <w:caps w:val="0"/>
      <w:smallCaps w:val="0"/>
      <w:strike w:val="0"/>
      <w:dstrike w:val="0"/>
      <w:vanish w:val="0"/>
      <w:color w:val="auto"/>
      <w:kern w:val="0"/>
      <w:position w:val="0"/>
      <w:u w:val="none"/>
      <w:shd w:val="clear" w:color="auto" w:fill="CCFF99"/>
      <w:vertAlign w:val="baseline"/>
    </w:rPr>
  </w:style>
  <w:style w:type="character" w:customStyle="1" w:styleId="bibunpubl">
    <w:name w:val="bib_unpubl"/>
    <w:rPr>
      <w:caps w:val="0"/>
      <w:smallCaps w:val="0"/>
      <w:strike w:val="0"/>
      <w:dstrike w:val="0"/>
      <w:vanish w:val="0"/>
      <w:color w:val="auto"/>
      <w:kern w:val="0"/>
      <w:position w:val="0"/>
      <w:u w:val="none"/>
      <w:vertAlign w:val="baseline"/>
    </w:rPr>
  </w:style>
  <w:style w:type="character" w:customStyle="1" w:styleId="biburl">
    <w:name w:val="bib_url"/>
    <w:rPr>
      <w:caps w:val="0"/>
      <w:smallCaps w:val="0"/>
      <w:strike w:val="0"/>
      <w:dstrike w:val="0"/>
      <w:vanish w:val="0"/>
      <w:color w:val="auto"/>
      <w:kern w:val="0"/>
      <w:position w:val="0"/>
      <w:u w:val="none"/>
      <w:shd w:val="clear" w:color="auto" w:fill="CCFF66"/>
      <w:vertAlign w:val="baseline"/>
    </w:rPr>
  </w:style>
  <w:style w:type="character" w:customStyle="1" w:styleId="bibvolume">
    <w:name w:val="bib_volume"/>
    <w:rPr>
      <w:caps w:val="0"/>
      <w:smallCaps w:val="0"/>
      <w:strike w:val="0"/>
      <w:dstrike w:val="0"/>
      <w:vanish w:val="0"/>
      <w:color w:val="auto"/>
      <w:kern w:val="0"/>
      <w:position w:val="0"/>
      <w:u w:val="none"/>
      <w:shd w:val="clear" w:color="auto" w:fill="CCECFF"/>
      <w:vertAlign w:val="baseline"/>
    </w:rPr>
  </w:style>
  <w:style w:type="character" w:customStyle="1" w:styleId="bibyear">
    <w:name w:val="bib_year"/>
    <w:rPr>
      <w:caps w:val="0"/>
      <w:smallCaps w:val="0"/>
      <w:strike w:val="0"/>
      <w:dstrike w:val="0"/>
      <w:vanish w:val="0"/>
      <w:color w:val="auto"/>
      <w:kern w:val="0"/>
      <w:position w:val="0"/>
      <w:u w:val="none"/>
      <w:shd w:val="clear" w:color="auto" w:fill="FFCCFF"/>
      <w:vertAlign w:val="baseline"/>
    </w:rPr>
  </w:style>
  <w:style w:type="character" w:customStyle="1" w:styleId="citebase">
    <w:name w:val="cite_base"/>
    <w:rPr>
      <w:b w:val="0"/>
      <w:i w:val="0"/>
      <w:caps w:val="0"/>
      <w:smallCaps w:val="0"/>
      <w:strike w:val="0"/>
      <w:dstrike w:val="0"/>
      <w:vanish w:val="0"/>
      <w:color w:val="auto"/>
      <w:kern w:val="0"/>
      <w:position w:val="0"/>
      <w:u w:val="none"/>
      <w:vertAlign w:val="baseline"/>
    </w:rPr>
  </w:style>
  <w:style w:type="character" w:customStyle="1" w:styleId="citebib">
    <w:name w:val="cite_bib"/>
    <w:rPr>
      <w:b w:val="0"/>
      <w:i w:val="0"/>
      <w:caps w:val="0"/>
      <w:smallCaps w:val="0"/>
      <w:strike w:val="0"/>
      <w:dstrike w:val="0"/>
      <w:vanish w:val="0"/>
      <w:color w:val="auto"/>
      <w:kern w:val="0"/>
      <w:position w:val="0"/>
      <w:u w:val="none"/>
      <w:shd w:val="clear" w:color="auto" w:fill="CCFFFF"/>
      <w:vertAlign w:val="baseline"/>
    </w:rPr>
  </w:style>
  <w:style w:type="character" w:customStyle="1" w:styleId="citebox">
    <w:name w:val="cite_box"/>
    <w:rPr>
      <w:b w:val="0"/>
      <w:i w:val="0"/>
      <w:caps w:val="0"/>
      <w:smallCaps w:val="0"/>
      <w:strike w:val="0"/>
      <w:dstrike w:val="0"/>
      <w:vanish w:val="0"/>
      <w:color w:val="auto"/>
      <w:kern w:val="0"/>
      <w:position w:val="0"/>
      <w:u w:val="none"/>
      <w:shd w:val="clear" w:color="auto" w:fill="00FFFF"/>
      <w:vertAlign w:val="baseline"/>
    </w:rPr>
  </w:style>
  <w:style w:type="character" w:customStyle="1" w:styleId="citeen">
    <w:name w:val="cite_en"/>
    <w:rPr>
      <w:b w:val="0"/>
      <w:i w:val="0"/>
      <w:caps w:val="0"/>
      <w:smallCaps w:val="0"/>
      <w:strike w:val="0"/>
      <w:dstrike w:val="0"/>
      <w:vanish w:val="0"/>
      <w:color w:val="auto"/>
      <w:kern w:val="0"/>
      <w:position w:val="0"/>
      <w:u w:val="none"/>
      <w:shd w:val="clear" w:color="auto" w:fill="FFFF99"/>
      <w:vertAlign w:val="baseline"/>
    </w:rPr>
  </w:style>
  <w:style w:type="character" w:customStyle="1" w:styleId="citefig">
    <w:name w:val="cite_fig"/>
    <w:rPr>
      <w:b w:val="0"/>
      <w:i w:val="0"/>
      <w:caps w:val="0"/>
      <w:smallCaps w:val="0"/>
      <w:strike w:val="0"/>
      <w:dstrike w:val="0"/>
      <w:vanish w:val="0"/>
      <w:color w:val="auto"/>
      <w:kern w:val="0"/>
      <w:position w:val="0"/>
      <w:u w:val="none"/>
      <w:shd w:val="clear" w:color="auto" w:fill="66E475"/>
      <w:vertAlign w:val="baseline"/>
    </w:rPr>
  </w:style>
  <w:style w:type="character" w:customStyle="1" w:styleId="citefn">
    <w:name w:val="cite_fn"/>
    <w:rPr>
      <w:b w:val="0"/>
      <w:i w:val="0"/>
      <w:caps w:val="0"/>
      <w:smallCaps w:val="0"/>
      <w:strike w:val="0"/>
      <w:dstrike w:val="0"/>
      <w:vanish w:val="0"/>
      <w:color w:val="auto"/>
      <w:kern w:val="0"/>
      <w:position w:val="0"/>
      <w:u w:val="none"/>
      <w:shd w:val="clear" w:color="auto" w:fill="FF99CC"/>
      <w:vertAlign w:val="superscript"/>
    </w:rPr>
  </w:style>
  <w:style w:type="character" w:customStyle="1" w:styleId="citetbl">
    <w:name w:val="cite_tbl"/>
    <w:rPr>
      <w:b w:val="0"/>
      <w:i w:val="0"/>
      <w:caps w:val="0"/>
      <w:smallCaps w:val="0"/>
      <w:strike w:val="0"/>
      <w:dstrike w:val="0"/>
      <w:vanish w:val="0"/>
      <w:color w:val="auto"/>
      <w:kern w:val="0"/>
      <w:position w:val="0"/>
      <w:u w:val="none"/>
      <w:shd w:val="clear" w:color="auto" w:fill="D58F8F"/>
      <w:vertAlign w:val="baseline"/>
    </w:rPr>
  </w:style>
  <w:style w:type="character" w:customStyle="1" w:styleId="ContractNumber">
    <w:name w:val="Contract Number"/>
    <w:rPr>
      <w:sz w:val="18"/>
      <w:szCs w:val="24"/>
      <w:shd w:val="clear" w:color="auto" w:fill="CCFFCC"/>
    </w:rPr>
  </w:style>
  <w:style w:type="character" w:customStyle="1" w:styleId="bibextlink">
    <w:name w:val="bib_extlink"/>
    <w:rPr>
      <w:caps w:val="0"/>
      <w:smallCaps w:val="0"/>
      <w:strike w:val="0"/>
      <w:dstrike w:val="0"/>
      <w:vanish w:val="0"/>
      <w:color w:val="auto"/>
      <w:kern w:val="0"/>
      <w:position w:val="0"/>
      <w:u w:val="none"/>
      <w:shd w:val="clear" w:color="auto" w:fill="6CCE9D"/>
      <w:vertAlign w:val="baseline"/>
    </w:rPr>
  </w:style>
  <w:style w:type="character" w:customStyle="1" w:styleId="citeeq">
    <w:name w:val="cite_eq"/>
    <w:rPr>
      <w:b w:val="0"/>
      <w:i w:val="0"/>
      <w:caps w:val="0"/>
      <w:smallCaps w:val="0"/>
      <w:strike w:val="0"/>
      <w:dstrike w:val="0"/>
      <w:vanish w:val="0"/>
      <w:color w:val="auto"/>
      <w:kern w:val="0"/>
      <w:position w:val="0"/>
      <w:u w:val="none"/>
      <w:shd w:val="clear" w:color="auto" w:fill="A9A6EC"/>
      <w:vertAlign w:val="baseline"/>
    </w:rPr>
  </w:style>
  <w:style w:type="character" w:customStyle="1" w:styleId="bibmedline">
    <w:name w:val="bib_medline"/>
    <w:rPr>
      <w:caps w:val="0"/>
      <w:smallCaps w:val="0"/>
      <w:strike w:val="0"/>
      <w:dstrike w:val="0"/>
      <w:vanish w:val="0"/>
      <w:color w:val="auto"/>
      <w:kern w:val="0"/>
      <w:position w:val="0"/>
      <w:u w:val="none"/>
      <w:shd w:val="clear" w:color="auto" w:fill="B4C6E7"/>
      <w:vertAlign w:val="baseline"/>
    </w:rPr>
  </w:style>
  <w:style w:type="character" w:customStyle="1" w:styleId="citetfn">
    <w:name w:val="cite_tfn"/>
    <w:rPr>
      <w:b w:val="0"/>
      <w:i w:val="0"/>
      <w:caps w:val="0"/>
      <w:smallCaps w:val="0"/>
      <w:strike w:val="0"/>
      <w:dstrike w:val="0"/>
      <w:vanish w:val="0"/>
      <w:color w:val="auto"/>
      <w:kern w:val="0"/>
      <w:position w:val="0"/>
      <w:u w:val="none"/>
      <w:shd w:val="clear" w:color="auto" w:fill="FBBA79"/>
      <w:vertAlign w:val="superscript"/>
    </w:rPr>
  </w:style>
  <w:style w:type="character" w:customStyle="1" w:styleId="auprefix">
    <w:name w:val="au_prefix"/>
    <w:rPr>
      <w:b w:val="0"/>
      <w:i w:val="0"/>
      <w:caps w:val="0"/>
      <w:smallCaps w:val="0"/>
      <w:strike w:val="0"/>
      <w:dstrike w:val="0"/>
      <w:vanish w:val="0"/>
      <w:color w:val="auto"/>
      <w:kern w:val="0"/>
      <w:position w:val="0"/>
      <w:u w:val="none"/>
      <w:shd w:val="clear" w:color="auto" w:fill="FFCC99"/>
      <w:vertAlign w:val="baseline"/>
    </w:rPr>
  </w:style>
  <w:style w:type="character" w:customStyle="1" w:styleId="citeapp">
    <w:name w:val="cite_app"/>
    <w:rPr>
      <w:b w:val="0"/>
      <w:i w:val="0"/>
      <w:caps w:val="0"/>
      <w:smallCaps w:val="0"/>
      <w:strike w:val="0"/>
      <w:dstrike w:val="0"/>
      <w:vanish w:val="0"/>
      <w:color w:val="auto"/>
      <w:kern w:val="0"/>
      <w:position w:val="0"/>
      <w:u w:val="none"/>
      <w:shd w:val="clear" w:color="auto" w:fill="CCFF33"/>
      <w:vertAlign w:val="baseline"/>
    </w:rPr>
  </w:style>
  <w:style w:type="character" w:customStyle="1" w:styleId="citesec">
    <w:name w:val="cite_sec"/>
    <w:rPr>
      <w:b w:val="0"/>
      <w:i w:val="0"/>
      <w:caps w:val="0"/>
      <w:smallCaps w:val="0"/>
      <w:strike w:val="0"/>
      <w:dstrike w:val="0"/>
      <w:vanish w:val="0"/>
      <w:color w:val="auto"/>
      <w:kern w:val="0"/>
      <w:position w:val="0"/>
      <w:u w:val="none"/>
      <w:shd w:val="clear" w:color="auto" w:fill="FFCCCC"/>
      <w:vertAlign w:val="baseline"/>
    </w:rPr>
  </w:style>
  <w:style w:type="character" w:customStyle="1" w:styleId="ContractSponsor">
    <w:name w:val="Contract Sponsor"/>
    <w:rPr>
      <w:sz w:val="18"/>
      <w:szCs w:val="24"/>
      <w:shd w:val="clear" w:color="auto" w:fill="FFCC99"/>
    </w:rPr>
  </w:style>
  <w:style w:type="character" w:customStyle="1" w:styleId="bibday">
    <w:name w:val="bib_day"/>
    <w:rPr>
      <w:caps w:val="0"/>
      <w:smallCaps w:val="0"/>
      <w:strike w:val="0"/>
      <w:dstrike w:val="0"/>
      <w:vanish w:val="0"/>
      <w:color w:val="auto"/>
      <w:kern w:val="0"/>
      <w:position w:val="0"/>
      <w:u w:val="none"/>
      <w:shd w:val="clear" w:color="auto" w:fill="FA90A9"/>
      <w:vertAlign w:val="baseline"/>
    </w:rPr>
  </w:style>
  <w:style w:type="character" w:customStyle="1" w:styleId="bibmonth">
    <w:name w:val="bib_month"/>
    <w:rPr>
      <w:caps w:val="0"/>
      <w:smallCaps w:val="0"/>
      <w:strike w:val="0"/>
      <w:dstrike w:val="0"/>
      <w:vanish w:val="0"/>
      <w:color w:val="auto"/>
      <w:kern w:val="0"/>
      <w:position w:val="0"/>
      <w:u w:val="none"/>
      <w:shd w:val="clear" w:color="auto" w:fill="BA97FF"/>
      <w:vertAlign w:val="baseline"/>
    </w:rPr>
  </w:style>
  <w:style w:type="character" w:customStyle="1" w:styleId="aumember">
    <w:name w:val="au_member"/>
    <w:rPr>
      <w:b w:val="0"/>
      <w:i w:val="0"/>
      <w:caps w:val="0"/>
      <w:smallCaps w:val="0"/>
      <w:strike w:val="0"/>
      <w:dstrike w:val="0"/>
      <w:vanish w:val="0"/>
      <w:color w:val="auto"/>
      <w:kern w:val="0"/>
      <w:position w:val="0"/>
      <w:u w:val="none"/>
      <w:shd w:val="clear" w:color="auto" w:fill="FF99CC"/>
      <w:vertAlign w:val="baseline"/>
    </w:rPr>
  </w:style>
  <w:style w:type="character" w:customStyle="1" w:styleId="bibseason">
    <w:name w:val="bib_season"/>
    <w:rPr>
      <w:caps w:val="0"/>
      <w:smallCaps w:val="0"/>
      <w:strike w:val="0"/>
      <w:dstrike w:val="0"/>
      <w:vanish w:val="0"/>
      <w:color w:val="auto"/>
      <w:kern w:val="0"/>
      <w:position w:val="0"/>
      <w:szCs w:val="24"/>
      <w:u w:val="none"/>
      <w:shd w:val="clear" w:color="auto" w:fill="FF6600"/>
      <w:vertAlign w:val="baseline"/>
    </w:rPr>
  </w:style>
  <w:style w:type="character" w:customStyle="1" w:styleId="afaddr-line">
    <w:name w:val="af_addr-line"/>
    <w:rPr>
      <w:b w:val="0"/>
      <w:i w:val="0"/>
      <w:caps w:val="0"/>
      <w:smallCaps w:val="0"/>
      <w:strike w:val="0"/>
      <w:dstrike w:val="0"/>
      <w:vanish w:val="0"/>
      <w:color w:val="auto"/>
      <w:kern w:val="0"/>
      <w:position w:val="0"/>
      <w:u w:val="none"/>
      <w:shd w:val="clear" w:color="auto" w:fill="FFFF99"/>
      <w:vertAlign w:val="baseline"/>
    </w:rPr>
  </w:style>
  <w:style w:type="character" w:customStyle="1" w:styleId="afbase">
    <w:name w:val="af_base"/>
    <w:rPr>
      <w:b w:val="0"/>
      <w:i w:val="0"/>
      <w:caps w:val="0"/>
      <w:smallCaps w:val="0"/>
      <w:strike w:val="0"/>
      <w:dstrike w:val="0"/>
      <w:vanish w:val="0"/>
      <w:color w:val="auto"/>
      <w:kern w:val="0"/>
      <w:position w:val="0"/>
      <w:u w:val="none"/>
      <w:vertAlign w:val="baseline"/>
    </w:rPr>
  </w:style>
  <w:style w:type="character" w:customStyle="1" w:styleId="afcountry">
    <w:name w:val="af_country"/>
    <w:rPr>
      <w:b w:val="0"/>
      <w:i w:val="0"/>
      <w:caps w:val="0"/>
      <w:smallCaps w:val="0"/>
      <w:strike w:val="0"/>
      <w:dstrike w:val="0"/>
      <w:vanish w:val="0"/>
      <w:color w:val="auto"/>
      <w:kern w:val="0"/>
      <w:position w:val="0"/>
      <w:u w:val="none"/>
      <w:shd w:val="clear" w:color="auto" w:fill="D7AFFF"/>
      <w:vertAlign w:val="baseline"/>
    </w:rPr>
  </w:style>
  <w:style w:type="character" w:customStyle="1" w:styleId="affax">
    <w:name w:val="af_fax"/>
    <w:rPr>
      <w:b w:val="0"/>
      <w:i w:val="0"/>
      <w:caps w:val="0"/>
      <w:smallCaps w:val="0"/>
      <w:strike w:val="0"/>
      <w:dstrike w:val="0"/>
      <w:vanish w:val="0"/>
      <w:color w:val="auto"/>
      <w:kern w:val="0"/>
      <w:position w:val="0"/>
      <w:u w:val="none"/>
      <w:shd w:val="clear" w:color="auto" w:fill="81E7FF"/>
      <w:vertAlign w:val="baseline"/>
    </w:rPr>
  </w:style>
  <w:style w:type="character" w:customStyle="1" w:styleId="afinstitution">
    <w:name w:val="af_institution"/>
    <w:rPr>
      <w:b w:val="0"/>
      <w:i w:val="0"/>
      <w:caps w:val="0"/>
      <w:smallCaps w:val="0"/>
      <w:strike w:val="0"/>
      <w:dstrike w:val="0"/>
      <w:vanish w:val="0"/>
      <w:color w:val="auto"/>
      <w:kern w:val="0"/>
      <w:position w:val="0"/>
      <w:u w:val="none"/>
      <w:shd w:val="clear" w:color="auto" w:fill="75FF75"/>
      <w:vertAlign w:val="baseline"/>
    </w:rPr>
  </w:style>
  <w:style w:type="character" w:customStyle="1" w:styleId="afphone">
    <w:name w:val="af_phone"/>
    <w:rPr>
      <w:b w:val="0"/>
      <w:i w:val="0"/>
      <w:caps w:val="0"/>
      <w:smallCaps w:val="0"/>
      <w:strike w:val="0"/>
      <w:dstrike w:val="0"/>
      <w:vanish w:val="0"/>
      <w:color w:val="auto"/>
      <w:kern w:val="0"/>
      <w:position w:val="0"/>
      <w:u w:val="none"/>
      <w:shd w:val="clear" w:color="auto" w:fill="FF75FF"/>
      <w:vertAlign w:val="baseline"/>
    </w:rPr>
  </w:style>
  <w:style w:type="character" w:customStyle="1" w:styleId="citeboxnomove">
    <w:name w:val="cite_box_nomove"/>
    <w:rPr>
      <w:b w:val="0"/>
      <w:i w:val="0"/>
      <w:caps w:val="0"/>
      <w:smallCaps w:val="0"/>
      <w:strike w:val="0"/>
      <w:dstrike w:val="0"/>
      <w:vanish w:val="0"/>
      <w:color w:val="auto"/>
      <w:kern w:val="0"/>
      <w:position w:val="0"/>
      <w:u w:val="none"/>
      <w:shd w:val="clear" w:color="auto" w:fill="89D8FF"/>
      <w:vertAlign w:val="baseline"/>
    </w:rPr>
  </w:style>
  <w:style w:type="character" w:customStyle="1" w:styleId="citefignomove">
    <w:name w:val="cite_fig_nomove"/>
    <w:rPr>
      <w:b w:val="0"/>
      <w:i w:val="0"/>
      <w:caps w:val="0"/>
      <w:smallCaps w:val="0"/>
      <w:strike w:val="0"/>
      <w:dstrike w:val="0"/>
      <w:vanish w:val="0"/>
      <w:color w:val="auto"/>
      <w:kern w:val="0"/>
      <w:position w:val="0"/>
      <w:u w:val="none"/>
      <w:shd w:val="clear" w:color="auto" w:fill="8BFF8B"/>
      <w:vertAlign w:val="baseline"/>
    </w:rPr>
  </w:style>
  <w:style w:type="character" w:customStyle="1" w:styleId="citetblnomove">
    <w:name w:val="cite_tbl_nomove"/>
    <w:rPr>
      <w:b w:val="0"/>
      <w:i w:val="0"/>
      <w:caps w:val="0"/>
      <w:smallCaps w:val="0"/>
      <w:strike w:val="0"/>
      <w:dstrike w:val="0"/>
      <w:vanish w:val="0"/>
      <w:color w:val="auto"/>
      <w:kern w:val="0"/>
      <w:position w:val="0"/>
      <w:u w:val="none"/>
      <w:shd w:val="clear" w:color="auto" w:fill="CD9BFF"/>
      <w:vertAlign w:val="baseline"/>
    </w:rPr>
  </w:style>
  <w:style w:type="character" w:customStyle="1" w:styleId="bibconfacronym">
    <w:name w:val="bib_confacronym"/>
    <w:rPr>
      <w:caps w:val="0"/>
      <w:smallCaps w:val="0"/>
      <w:strike w:val="0"/>
      <w:dstrike w:val="0"/>
      <w:vanish w:val="0"/>
      <w:color w:val="auto"/>
      <w:kern w:val="0"/>
      <w:position w:val="0"/>
      <w:u w:val="none"/>
      <w:shd w:val="clear" w:color="auto" w:fill="FD77F3"/>
      <w:vertAlign w:val="baseline"/>
    </w:rPr>
  </w:style>
  <w:style w:type="character" w:customStyle="1" w:styleId="bibconfdate">
    <w:name w:val="bib_confdate"/>
    <w:rPr>
      <w:caps w:val="0"/>
      <w:smallCaps w:val="0"/>
      <w:strike w:val="0"/>
      <w:dstrike w:val="0"/>
      <w:vanish w:val="0"/>
      <w:color w:val="auto"/>
      <w:kern w:val="0"/>
      <w:position w:val="0"/>
      <w:u w:val="none"/>
      <w:shd w:val="clear" w:color="auto" w:fill="3CE0C1"/>
      <w:vertAlign w:val="baseline"/>
    </w:rPr>
  </w:style>
  <w:style w:type="character" w:customStyle="1" w:styleId="bibconference">
    <w:name w:val="bib_conference"/>
    <w:rPr>
      <w:caps w:val="0"/>
      <w:smallCaps w:val="0"/>
      <w:strike w:val="0"/>
      <w:dstrike w:val="0"/>
      <w:vanish w:val="0"/>
      <w:color w:val="auto"/>
      <w:kern w:val="0"/>
      <w:position w:val="0"/>
      <w:u w:val="none"/>
      <w:shd w:val="clear" w:color="auto" w:fill="9CB3FE"/>
      <w:vertAlign w:val="baseline"/>
    </w:rPr>
  </w:style>
  <w:style w:type="character" w:customStyle="1" w:styleId="bibconflocation">
    <w:name w:val="bib_conflocation"/>
    <w:rPr>
      <w:caps w:val="0"/>
      <w:smallCaps w:val="0"/>
      <w:strike w:val="0"/>
      <w:dstrike w:val="0"/>
      <w:vanish w:val="0"/>
      <w:color w:val="auto"/>
      <w:kern w:val="0"/>
      <w:position w:val="0"/>
      <w:u w:val="none"/>
      <w:shd w:val="clear" w:color="auto" w:fill="EC493C"/>
      <w:vertAlign w:val="baseline"/>
    </w:rPr>
  </w:style>
  <w:style w:type="character" w:customStyle="1" w:styleId="bibconfpaper">
    <w:name w:val="bib_confpaper"/>
    <w:rPr>
      <w:caps w:val="0"/>
      <w:smallCaps w:val="0"/>
      <w:strike w:val="0"/>
      <w:dstrike w:val="0"/>
      <w:vanish w:val="0"/>
      <w:color w:val="auto"/>
      <w:kern w:val="0"/>
      <w:position w:val="0"/>
      <w:u w:val="none"/>
      <w:shd w:val="clear" w:color="auto" w:fill="61FF65"/>
      <w:vertAlign w:val="baseline"/>
    </w:rPr>
  </w:style>
  <w:style w:type="character" w:customStyle="1" w:styleId="bibconfproceedings">
    <w:name w:val="bib_confproceedings"/>
    <w:rPr>
      <w:caps w:val="0"/>
      <w:smallCaps w:val="0"/>
      <w:strike w:val="0"/>
      <w:dstrike w:val="0"/>
      <w:vanish w:val="0"/>
      <w:color w:val="auto"/>
      <w:kern w:val="0"/>
      <w:position w:val="0"/>
      <w:u w:val="none"/>
      <w:shd w:val="clear" w:color="auto" w:fill="FDBA35"/>
      <w:vertAlign w:val="baseline"/>
    </w:rPr>
  </w:style>
  <w:style w:type="character" w:customStyle="1" w:styleId="afcity">
    <w:name w:val="af_city"/>
    <w:rPr>
      <w:b w:val="0"/>
      <w:i w:val="0"/>
      <w:caps w:val="0"/>
      <w:smallCaps w:val="0"/>
      <w:strike w:val="0"/>
      <w:dstrike w:val="0"/>
      <w:vanish w:val="0"/>
      <w:color w:val="auto"/>
      <w:kern w:val="0"/>
      <w:position w:val="0"/>
      <w:u w:val="none"/>
      <w:shd w:val="clear" w:color="auto" w:fill="CABDFF"/>
      <w:vertAlign w:val="baseline"/>
    </w:rPr>
  </w:style>
  <w:style w:type="character" w:customStyle="1" w:styleId="aforgdiv1">
    <w:name w:val="af_orgdiv1"/>
    <w:rPr>
      <w:b w:val="0"/>
      <w:i w:val="0"/>
      <w:caps w:val="0"/>
      <w:smallCaps w:val="0"/>
      <w:strike w:val="0"/>
      <w:dstrike w:val="0"/>
      <w:vanish w:val="0"/>
      <w:color w:val="auto"/>
      <w:kern w:val="0"/>
      <w:position w:val="0"/>
      <w:u w:val="none"/>
      <w:shd w:val="clear" w:color="auto" w:fill="C2FE8C"/>
      <w:vertAlign w:val="baseline"/>
    </w:rPr>
  </w:style>
  <w:style w:type="character" w:customStyle="1" w:styleId="aforgdiv2">
    <w:name w:val="af_orgdiv2"/>
    <w:rPr>
      <w:b w:val="0"/>
      <w:i w:val="0"/>
      <w:caps w:val="0"/>
      <w:smallCaps w:val="0"/>
      <w:strike w:val="0"/>
      <w:dstrike w:val="0"/>
      <w:vanish w:val="0"/>
      <w:color w:val="auto"/>
      <w:kern w:val="0"/>
      <w:position w:val="0"/>
      <w:szCs w:val="24"/>
      <w:u w:val="none"/>
      <w:shd w:val="clear" w:color="auto" w:fill="9BBCFF"/>
      <w:vertAlign w:val="baseline"/>
    </w:rPr>
  </w:style>
  <w:style w:type="character" w:customStyle="1" w:styleId="aforgdiv3">
    <w:name w:val="af_orgdiv3"/>
    <w:rPr>
      <w:b w:val="0"/>
      <w:i w:val="0"/>
      <w:caps w:val="0"/>
      <w:smallCaps w:val="0"/>
      <w:strike w:val="0"/>
      <w:dstrike w:val="0"/>
      <w:vanish w:val="0"/>
      <w:color w:val="auto"/>
      <w:kern w:val="0"/>
      <w:position w:val="0"/>
      <w:szCs w:val="24"/>
      <w:u w:val="none"/>
      <w:shd w:val="clear" w:color="auto" w:fill="FFC89F"/>
      <w:vertAlign w:val="baseline"/>
    </w:rPr>
  </w:style>
  <w:style w:type="character" w:customStyle="1" w:styleId="afzipcode">
    <w:name w:val="af_zipcode"/>
    <w:rPr>
      <w:b w:val="0"/>
      <w:i w:val="0"/>
      <w:caps w:val="0"/>
      <w:smallCaps w:val="0"/>
      <w:strike w:val="0"/>
      <w:dstrike w:val="0"/>
      <w:vanish w:val="0"/>
      <w:color w:val="auto"/>
      <w:kern w:val="0"/>
      <w:position w:val="0"/>
      <w:szCs w:val="24"/>
      <w:u w:val="none"/>
      <w:shd w:val="clear" w:color="auto" w:fill="E5FCAA"/>
      <w:vertAlign w:val="baseline"/>
    </w:rPr>
  </w:style>
  <w:style w:type="character" w:customStyle="1" w:styleId="afstate">
    <w:name w:val="af_state"/>
    <w:rPr>
      <w:b w:val="0"/>
      <w:i w:val="0"/>
      <w:caps w:val="0"/>
      <w:smallCaps w:val="0"/>
      <w:strike w:val="0"/>
      <w:dstrike w:val="0"/>
      <w:vanish w:val="0"/>
      <w:color w:val="auto"/>
      <w:kern w:val="0"/>
      <w:position w:val="0"/>
      <w:u w:val="none"/>
      <w:shd w:val="clear" w:color="auto" w:fill="FACB98"/>
      <w:vertAlign w:val="baseline"/>
    </w:rPr>
  </w:style>
  <w:style w:type="character" w:customStyle="1" w:styleId="bibelocation">
    <w:name w:val="bib_elocation"/>
    <w:rPr>
      <w:caps w:val="0"/>
      <w:smallCaps w:val="0"/>
      <w:strike w:val="0"/>
      <w:dstrike w:val="0"/>
      <w:vanish w:val="0"/>
      <w:color w:val="auto"/>
      <w:kern w:val="0"/>
      <w:position w:val="0"/>
      <w:u w:val="none"/>
      <w:shd w:val="clear" w:color="auto" w:fill="FFE599"/>
      <w:vertAlign w:val="baseline"/>
    </w:rPr>
  </w:style>
  <w:style w:type="paragraph" w:customStyle="1" w:styleId="ArticlePageCount">
    <w:name w:val="ArticlePageCount"/>
    <w:basedOn w:val="pubNameFooter"/>
  </w:style>
  <w:style w:type="paragraph" w:customStyle="1" w:styleId="PublicationSeason">
    <w:name w:val="PublicationSeason"/>
    <w:basedOn w:val="pubNameFooter"/>
  </w:style>
  <w:style w:type="paragraph" w:customStyle="1" w:styleId="ArticleELocation">
    <w:name w:val="ArticleELocation"/>
    <w:basedOn w:val="pubNameFooter"/>
  </w:style>
  <w:style w:type="paragraph" w:customStyle="1" w:styleId="HighlightsHead">
    <w:name w:val="HighlightsHead"/>
    <w:basedOn w:val="Ttulo1"/>
    <w:pPr>
      <w:shd w:val="clear" w:color="auto" w:fill="92D050"/>
    </w:pPr>
  </w:style>
  <w:style w:type="paragraph" w:customStyle="1" w:styleId="CorrespondenceHead">
    <w:name w:val="CorrespondenceHead"/>
    <w:basedOn w:val="Correspondence"/>
  </w:style>
  <w:style w:type="paragraph" w:customStyle="1" w:styleId="AdditionaInfoHead">
    <w:name w:val="AdditionaInfoHead"/>
    <w:basedOn w:val="Ttulo1"/>
    <w:pPr>
      <w:shd w:val="clear" w:color="auto" w:fill="92D050"/>
    </w:pPr>
  </w:style>
  <w:style w:type="paragraph" w:customStyle="1" w:styleId="CopyrightStatement">
    <w:name w:val="CopyrightStatement"/>
    <w:basedOn w:val="Normal"/>
  </w:style>
  <w:style w:type="paragraph" w:customStyle="1" w:styleId="CopyrightYear">
    <w:name w:val="CopyrightYear"/>
    <w:basedOn w:val="CopyrightStatement"/>
  </w:style>
  <w:style w:type="paragraph" w:customStyle="1" w:styleId="CopyrightHolder">
    <w:name w:val="CopyrightHolder"/>
    <w:basedOn w:val="CopyrightYear"/>
  </w:style>
  <w:style w:type="paragraph" w:customStyle="1" w:styleId="fnConflictTitle">
    <w:name w:val="fnConflictTitle"/>
    <w:basedOn w:val="History"/>
    <w:pPr>
      <w:shd w:val="clear" w:color="auto" w:fill="92D050"/>
    </w:pPr>
  </w:style>
  <w:style w:type="paragraph" w:customStyle="1" w:styleId="AuthorsAlt">
    <w:name w:val="AuthorsAlt"/>
    <w:basedOn w:val="Authors"/>
    <w:pPr>
      <w:shd w:val="clear" w:color="auto" w:fill="92D050"/>
    </w:pPr>
  </w:style>
  <w:style w:type="paragraph" w:customStyle="1" w:styleId="HistoryTitle">
    <w:name w:val="HistoryTitle"/>
    <w:basedOn w:val="History"/>
    <w:pPr>
      <w:shd w:val="clear" w:color="auto" w:fill="92D050"/>
    </w:pPr>
  </w:style>
  <w:style w:type="paragraph" w:customStyle="1" w:styleId="CorrespondenceTitle">
    <w:name w:val="CorrespondenceTitle"/>
    <w:basedOn w:val="Correspondence"/>
  </w:style>
  <w:style w:type="paragraph" w:customStyle="1" w:styleId="HighlightsTitle">
    <w:name w:val="HighlightsTitle"/>
    <w:basedOn w:val="ECParabase"/>
  </w:style>
  <w:style w:type="paragraph" w:customStyle="1" w:styleId="ECParabase">
    <w:name w:val="ECPara_base"/>
    <w:pPr>
      <w:widowControl w:val="0"/>
      <w:suppressAutoHyphens/>
    </w:pPr>
  </w:style>
  <w:style w:type="paragraph" w:customStyle="1" w:styleId="AdditionaInfoTitle">
    <w:name w:val="AdditionaInfoTitle"/>
    <w:basedOn w:val="ECParabase"/>
  </w:style>
  <w:style w:type="paragraph" w:customStyle="1" w:styleId="fnDeceased">
    <w:name w:val="fnDeceased"/>
    <w:basedOn w:val="ECParabase"/>
  </w:style>
  <w:style w:type="paragraph" w:customStyle="1" w:styleId="TableTitle-Trans1">
    <w:name w:val="TableTitle-Trans1"/>
    <w:basedOn w:val="TableTitle"/>
    <w:rPr>
      <w:i/>
    </w:rPr>
  </w:style>
  <w:style w:type="paragraph" w:customStyle="1" w:styleId="ArticleType-TransPT">
    <w:name w:val="ArticleType-TransPT"/>
    <w:basedOn w:val="ECParabase"/>
  </w:style>
  <w:style w:type="paragraph" w:customStyle="1" w:styleId="FigureSource">
    <w:name w:val="FigureSource"/>
    <w:basedOn w:val="FigureCaption"/>
    <w:pPr>
      <w:spacing w:before="0" w:line="220" w:lineRule="atLeast"/>
    </w:pPr>
    <w:rPr>
      <w:sz w:val="16"/>
    </w:rPr>
  </w:style>
  <w:style w:type="paragraph" w:customStyle="1" w:styleId="FootnoteContinued">
    <w:name w:val="Footnote_Continued"/>
    <w:basedOn w:val="ECParabase"/>
  </w:style>
  <w:style w:type="paragraph" w:customStyle="1" w:styleId="fnAuthor-notesContributionsTitle">
    <w:name w:val="fnAuthor-notesContributionsTitle"/>
    <w:basedOn w:val="fnAuthor-notesContributions"/>
    <w:pPr>
      <w:shd w:val="clear" w:color="auto" w:fill="92D050"/>
    </w:pPr>
  </w:style>
  <w:style w:type="paragraph" w:customStyle="1" w:styleId="fnAuthor-notesOtherTitle">
    <w:name w:val="fnAuthor-notesOtherTitle"/>
    <w:basedOn w:val="fnAuthor-notesOther"/>
    <w:pPr>
      <w:shd w:val="clear" w:color="auto" w:fill="92D050"/>
    </w:pPr>
  </w:style>
  <w:style w:type="paragraph" w:customStyle="1" w:styleId="BlockQuote-Italico">
    <w:name w:val="BlockQuote-Italico"/>
    <w:basedOn w:val="BlockQuote"/>
    <w:rPr>
      <w:i/>
    </w:rPr>
  </w:style>
  <w:style w:type="paragraph" w:customStyle="1" w:styleId="TitleFootnote">
    <w:name w:val="TitleFootnote"/>
    <w:basedOn w:val="ECParabase"/>
    <w:pPr>
      <w:spacing w:before="240"/>
    </w:pPr>
    <w:rPr>
      <w:rFonts w:ascii="Courier New" w:hAnsi="Courier New"/>
      <w:color w:val="7F7F7F"/>
      <w:sz w:val="18"/>
    </w:rPr>
  </w:style>
  <w:style w:type="paragraph" w:customStyle="1" w:styleId="KeywordsTitle-Trans1">
    <w:name w:val="KeywordsTitle-Trans1"/>
    <w:basedOn w:val="KeywordsTitle"/>
  </w:style>
  <w:style w:type="paragraph" w:customStyle="1" w:styleId="KeywordsTitle-Trans2">
    <w:name w:val="KeywordsTitle-Trans2"/>
    <w:basedOn w:val="KeywordsTitle-Trans1"/>
  </w:style>
  <w:style w:type="paragraph" w:customStyle="1" w:styleId="ArticleTypeTitle">
    <w:name w:val="ArticleTypeTitle"/>
    <w:basedOn w:val="ArticleType"/>
    <w:pPr>
      <w:shd w:val="clear" w:color="auto" w:fill="92D050"/>
    </w:pPr>
  </w:style>
  <w:style w:type="paragraph" w:customStyle="1" w:styleId="fnSupported-byTitle">
    <w:name w:val="fnSupported-byTitle"/>
    <w:basedOn w:val="History"/>
    <w:pPr>
      <w:shd w:val="clear" w:color="auto" w:fill="92D050"/>
    </w:pPr>
  </w:style>
  <w:style w:type="paragraph" w:customStyle="1" w:styleId="AuthorsTitle">
    <w:name w:val="AuthorsTitle"/>
    <w:basedOn w:val="Authors"/>
    <w:pPr>
      <w:shd w:val="clear" w:color="auto" w:fill="92D050"/>
    </w:pPr>
  </w:style>
  <w:style w:type="paragraph" w:customStyle="1" w:styleId="BulletPointsHead">
    <w:name w:val="BulletPointsHead"/>
    <w:basedOn w:val="BulletList1"/>
    <w:pPr>
      <w:shd w:val="clear" w:color="auto" w:fill="92D050"/>
    </w:pPr>
  </w:style>
  <w:style w:type="paragraph" w:customStyle="1" w:styleId="AffiliationsTitle">
    <w:name w:val="AffiliationsTitle"/>
    <w:basedOn w:val="Affiliations"/>
    <w:pPr>
      <w:shd w:val="clear" w:color="auto" w:fill="92D050"/>
    </w:pPr>
  </w:style>
  <w:style w:type="paragraph" w:customStyle="1" w:styleId="ContributionsTitle">
    <w:name w:val="ContributionsTitle"/>
    <w:basedOn w:val="History"/>
    <w:pPr>
      <w:shd w:val="clear" w:color="auto" w:fill="92D050"/>
    </w:pPr>
  </w:style>
  <w:style w:type="paragraph" w:customStyle="1" w:styleId="FinancialTitle">
    <w:name w:val="FinancialTitle"/>
    <w:basedOn w:val="Ttulo1"/>
  </w:style>
  <w:style w:type="paragraph" w:customStyle="1" w:styleId="KeywordsTitle">
    <w:name w:val="KeywordsTitle"/>
    <w:basedOn w:val="Keywords"/>
    <w:pPr>
      <w:shd w:val="clear" w:color="auto" w:fill="92D050"/>
    </w:pPr>
  </w:style>
  <w:style w:type="character" w:customStyle="1" w:styleId="KeywordsTitleChar">
    <w:name w:val="KeywordsTitle Char"/>
    <w:rPr>
      <w:rFonts w:ascii="Cambria" w:eastAsia="Times New Roman" w:hAnsi="Cambria" w:cs="Cambria"/>
      <w:color w:val="000000"/>
      <w:sz w:val="19"/>
      <w:szCs w:val="19"/>
      <w:shd w:val="clear" w:color="auto" w:fill="92D050"/>
      <w:lang w:val="es-ES_tradnl"/>
    </w:rPr>
  </w:style>
  <w:style w:type="paragraph" w:customStyle="1" w:styleId="NotesTitle">
    <w:name w:val="NotesTitle"/>
    <w:basedOn w:val="Paragraph"/>
    <w:pPr>
      <w:shd w:val="clear" w:color="auto" w:fill="92D050"/>
    </w:pPr>
  </w:style>
  <w:style w:type="paragraph" w:customStyle="1" w:styleId="ArticleType-Trans1">
    <w:name w:val="ArticleType-Trans1"/>
    <w:basedOn w:val="ArticleType"/>
    <w:pPr>
      <w:shd w:val="clear" w:color="auto" w:fill="92D050"/>
    </w:pPr>
  </w:style>
  <w:style w:type="character" w:customStyle="1" w:styleId="ArticleType-Trans1Char">
    <w:name w:val="ArticleType-Trans1 Char"/>
    <w:rPr>
      <w:rFonts w:ascii="Century Gothic" w:eastAsia="Calibri" w:hAnsi="Century Gothic" w:cs="Times New Roman"/>
      <w:b/>
      <w:color w:val="000000"/>
      <w:sz w:val="20"/>
      <w:szCs w:val="20"/>
      <w:shd w:val="clear" w:color="auto" w:fill="92D050"/>
      <w:lang w:val="en-US"/>
    </w:rPr>
  </w:style>
  <w:style w:type="paragraph" w:customStyle="1" w:styleId="ArticleType-Trans2">
    <w:name w:val="ArticleType-Trans2"/>
    <w:basedOn w:val="ECParabase"/>
    <w:pPr>
      <w:tabs>
        <w:tab w:val="left" w:pos="720"/>
      </w:tabs>
      <w:autoSpaceDE w:val="0"/>
      <w:spacing w:before="80" w:after="80"/>
    </w:pPr>
    <w:rPr>
      <w:rFonts w:eastAsia="Calibri"/>
      <w:color w:val="2E74B5"/>
      <w:sz w:val="20"/>
    </w:rPr>
  </w:style>
  <w:style w:type="character" w:customStyle="1" w:styleId="ArticleType-Trans2Char">
    <w:name w:val="ArticleType-Trans2 Char"/>
    <w:rPr>
      <w:rFonts w:ascii="Times New Roman" w:eastAsia="Calibri" w:hAnsi="Times New Roman" w:cs="Times New Roman"/>
      <w:color w:val="2E74B5"/>
      <w:sz w:val="20"/>
      <w:szCs w:val="24"/>
    </w:rPr>
  </w:style>
  <w:style w:type="paragraph" w:customStyle="1" w:styleId="ArticleArea">
    <w:name w:val="ArticleArea"/>
    <w:basedOn w:val="ArticleType"/>
    <w:pPr>
      <w:shd w:val="clear" w:color="auto" w:fill="92D050"/>
      <w:tabs>
        <w:tab w:val="clear" w:pos="720"/>
      </w:tabs>
    </w:pPr>
  </w:style>
  <w:style w:type="paragraph" w:customStyle="1" w:styleId="SigBlock">
    <w:name w:val="SigBlock"/>
    <w:basedOn w:val="ArticleArea"/>
  </w:style>
  <w:style w:type="paragraph" w:customStyle="1" w:styleId="HistoryAlt">
    <w:name w:val="HistoryAlt"/>
    <w:basedOn w:val="History"/>
    <w:pPr>
      <w:shd w:val="clear" w:color="auto" w:fill="92D050"/>
    </w:pPr>
  </w:style>
  <w:style w:type="paragraph" w:customStyle="1" w:styleId="Figure">
    <w:name w:val="Figure"/>
    <w:basedOn w:val="Paragraph"/>
    <w:next w:val="NoParagraphStyle"/>
    <w:pPr>
      <w:keepNext/>
      <w:spacing w:before="240" w:after="60"/>
      <w:ind w:firstLine="6"/>
      <w:jc w:val="center"/>
    </w:pPr>
  </w:style>
  <w:style w:type="paragraph" w:customStyle="1" w:styleId="HowToCiteTitle">
    <w:name w:val="HowToCiteTitle"/>
    <w:basedOn w:val="HowToCite"/>
    <w:pPr>
      <w:shd w:val="clear" w:color="auto" w:fill="92D050"/>
    </w:pPr>
  </w:style>
  <w:style w:type="paragraph" w:customStyle="1" w:styleId="FigureSource-Trans1">
    <w:name w:val="FigureSource-Trans1"/>
    <w:basedOn w:val="FigureSource"/>
    <w:rPr>
      <w:i/>
    </w:rPr>
  </w:style>
  <w:style w:type="paragraph" w:customStyle="1" w:styleId="AppendixHead-Trans1">
    <w:name w:val="AppendixHead-Trans1"/>
    <w:basedOn w:val="AppendixHead"/>
    <w:rPr>
      <w:i/>
    </w:rPr>
  </w:style>
  <w:style w:type="character" w:customStyle="1" w:styleId="bibthesis">
    <w:name w:val="bib_thesis"/>
    <w:rPr>
      <w:caps w:val="0"/>
      <w:smallCaps w:val="0"/>
      <w:strike w:val="0"/>
      <w:dstrike w:val="0"/>
      <w:vanish w:val="0"/>
      <w:color w:val="auto"/>
      <w:kern w:val="0"/>
      <w:position w:val="0"/>
      <w:u w:val="none"/>
      <w:shd w:val="clear" w:color="auto" w:fill="9CC2E5"/>
      <w:vertAlign w:val="baseline"/>
    </w:rPr>
  </w:style>
  <w:style w:type="character" w:customStyle="1" w:styleId="bibstandard">
    <w:name w:val="bib_standard"/>
    <w:rPr>
      <w:caps w:val="0"/>
      <w:smallCaps w:val="0"/>
      <w:strike w:val="0"/>
      <w:dstrike w:val="0"/>
      <w:vanish w:val="0"/>
      <w:color w:val="auto"/>
      <w:kern w:val="0"/>
      <w:position w:val="0"/>
      <w:u w:val="none"/>
      <w:shd w:val="clear" w:color="auto" w:fill="9CC2E5"/>
      <w:vertAlign w:val="baseline"/>
    </w:rPr>
  </w:style>
  <w:style w:type="character" w:customStyle="1" w:styleId="bibpatent">
    <w:name w:val="bib_patent"/>
    <w:rPr>
      <w:caps w:val="0"/>
      <w:smallCaps w:val="0"/>
      <w:strike w:val="0"/>
      <w:dstrike w:val="0"/>
      <w:vanish w:val="0"/>
      <w:color w:val="auto"/>
      <w:kern w:val="0"/>
      <w:position w:val="0"/>
      <w:u w:val="none"/>
      <w:shd w:val="clear" w:color="auto" w:fill="9CC2E5"/>
      <w:vertAlign w:val="baseline"/>
    </w:rPr>
  </w:style>
  <w:style w:type="character" w:customStyle="1" w:styleId="bibsoftVersion">
    <w:name w:val="bib_softVersion"/>
    <w:rPr>
      <w:caps w:val="0"/>
      <w:smallCaps w:val="0"/>
      <w:strike w:val="0"/>
      <w:dstrike w:val="0"/>
      <w:vanish w:val="0"/>
      <w:color w:val="auto"/>
      <w:kern w:val="0"/>
      <w:position w:val="0"/>
      <w:u w:val="none"/>
      <w:shd w:val="clear" w:color="auto" w:fill="FFD966"/>
      <w:vertAlign w:val="baseline"/>
    </w:rPr>
  </w:style>
  <w:style w:type="character" w:customStyle="1" w:styleId="bibpatentNumber">
    <w:name w:val="bib_patentNumber"/>
    <w:rPr>
      <w:caps w:val="0"/>
      <w:smallCaps w:val="0"/>
      <w:strike w:val="0"/>
      <w:dstrike w:val="0"/>
      <w:vanish w:val="0"/>
      <w:color w:val="auto"/>
      <w:kern w:val="0"/>
      <w:position w:val="0"/>
      <w:u w:val="none"/>
      <w:shd w:val="clear" w:color="auto" w:fill="FFD966"/>
      <w:vertAlign w:val="baseline"/>
    </w:rPr>
  </w:style>
  <w:style w:type="character" w:customStyle="1" w:styleId="bibdatabase">
    <w:name w:val="bib_database"/>
    <w:rPr>
      <w:caps w:val="0"/>
      <w:smallCaps w:val="0"/>
      <w:strike w:val="0"/>
      <w:dstrike w:val="0"/>
      <w:vanish w:val="0"/>
      <w:color w:val="auto"/>
      <w:kern w:val="0"/>
      <w:position w:val="0"/>
      <w:u w:val="none"/>
      <w:shd w:val="clear" w:color="auto" w:fill="9CC2E5"/>
      <w:vertAlign w:val="baseline"/>
    </w:rPr>
  </w:style>
  <w:style w:type="character" w:customStyle="1" w:styleId="bibsoft">
    <w:name w:val="bib_soft"/>
    <w:rPr>
      <w:caps w:val="0"/>
      <w:smallCaps w:val="0"/>
      <w:strike w:val="0"/>
      <w:dstrike w:val="0"/>
      <w:vanish w:val="0"/>
      <w:color w:val="auto"/>
      <w:kern w:val="0"/>
      <w:position w:val="0"/>
      <w:u w:val="none"/>
      <w:shd w:val="clear" w:color="auto" w:fill="9CC2E5"/>
      <w:vertAlign w:val="baseline"/>
    </w:rPr>
  </w:style>
  <w:style w:type="character" w:customStyle="1" w:styleId="afaddress">
    <w:name w:val="af_address"/>
    <w:rPr>
      <w:b w:val="0"/>
      <w:i w:val="0"/>
      <w:caps w:val="0"/>
      <w:smallCaps w:val="0"/>
      <w:strike w:val="0"/>
      <w:dstrike w:val="0"/>
      <w:vanish w:val="0"/>
      <w:color w:val="auto"/>
      <w:kern w:val="0"/>
      <w:position w:val="0"/>
      <w:u w:val="none"/>
      <w:shd w:val="clear" w:color="auto" w:fill="FFD966"/>
      <w:vertAlign w:val="baseline"/>
    </w:rPr>
  </w:style>
  <w:style w:type="character" w:customStyle="1" w:styleId="bibgov">
    <w:name w:val="bib_gov"/>
    <w:rPr>
      <w:caps w:val="0"/>
      <w:smallCaps w:val="0"/>
      <w:strike w:val="0"/>
      <w:dstrike w:val="0"/>
      <w:vanish w:val="0"/>
      <w:color w:val="auto"/>
      <w:kern w:val="0"/>
      <w:position w:val="0"/>
      <w:u w:val="none"/>
      <w:shd w:val="clear" w:color="auto" w:fill="9CC2E5"/>
      <w:vertAlign w:val="baseline"/>
    </w:rPr>
  </w:style>
  <w:style w:type="character" w:customStyle="1" w:styleId="bibgovNumber">
    <w:name w:val="bib_govNumber"/>
    <w:rPr>
      <w:caps w:val="0"/>
      <w:smallCaps w:val="0"/>
      <w:strike w:val="0"/>
      <w:dstrike w:val="0"/>
      <w:vanish w:val="0"/>
      <w:color w:val="auto"/>
      <w:kern w:val="0"/>
      <w:position w:val="0"/>
      <w:u w:val="none"/>
      <w:shd w:val="clear" w:color="auto" w:fill="FFFF00"/>
      <w:vertAlign w:val="baseline"/>
    </w:rPr>
  </w:style>
  <w:style w:type="character" w:customStyle="1" w:styleId="bibpatentCountry">
    <w:name w:val="bib_patentCountry"/>
    <w:rPr>
      <w:caps w:val="0"/>
      <w:smallCaps w:val="0"/>
      <w:strike w:val="0"/>
      <w:dstrike w:val="0"/>
      <w:vanish w:val="0"/>
      <w:color w:val="auto"/>
      <w:kern w:val="0"/>
      <w:position w:val="0"/>
      <w:u w:val="none"/>
      <w:shd w:val="clear" w:color="auto" w:fill="FFCCFF"/>
      <w:vertAlign w:val="baseline"/>
    </w:rPr>
  </w:style>
  <w:style w:type="character" w:customStyle="1" w:styleId="bibreportNumber">
    <w:name w:val="bib_reportNumber"/>
    <w:rPr>
      <w:caps w:val="0"/>
      <w:smallCaps w:val="0"/>
      <w:strike w:val="0"/>
      <w:dstrike w:val="0"/>
      <w:vanish w:val="0"/>
      <w:color w:val="auto"/>
      <w:kern w:val="0"/>
      <w:position w:val="0"/>
      <w:u w:val="none"/>
      <w:shd w:val="clear" w:color="auto" w:fill="FFD966"/>
      <w:vertAlign w:val="baseline"/>
    </w:rPr>
  </w:style>
  <w:style w:type="character" w:customStyle="1" w:styleId="bibreport">
    <w:name w:val="bib_report"/>
    <w:rPr>
      <w:caps w:val="0"/>
      <w:smallCaps w:val="0"/>
      <w:strike w:val="0"/>
      <w:dstrike w:val="0"/>
      <w:vanish w:val="0"/>
      <w:color w:val="auto"/>
      <w:kern w:val="0"/>
      <w:position w:val="0"/>
      <w:u w:val="none"/>
      <w:shd w:val="clear" w:color="auto" w:fill="9CC2E5"/>
      <w:vertAlign w:val="baseline"/>
    </w:rPr>
  </w:style>
  <w:style w:type="character" w:customStyle="1" w:styleId="afemail">
    <w:name w:val="af_email"/>
    <w:rPr>
      <w:b w:val="0"/>
      <w:i w:val="0"/>
      <w:caps w:val="0"/>
      <w:smallCaps w:val="0"/>
      <w:strike w:val="0"/>
      <w:dstrike w:val="0"/>
      <w:vanish w:val="0"/>
      <w:color w:val="auto"/>
      <w:kern w:val="0"/>
      <w:position w:val="0"/>
      <w:u w:val="none"/>
      <w:shd w:val="clear" w:color="auto" w:fill="FFF2CC"/>
      <w:vertAlign w:val="baseline"/>
    </w:rPr>
  </w:style>
  <w:style w:type="character" w:customStyle="1" w:styleId="bibaccess-date">
    <w:name w:val="bib_access-date"/>
    <w:rPr>
      <w:caps w:val="0"/>
      <w:smallCaps w:val="0"/>
      <w:strike w:val="0"/>
      <w:dstrike w:val="0"/>
      <w:vanish w:val="0"/>
      <w:color w:val="auto"/>
      <w:kern w:val="0"/>
      <w:position w:val="0"/>
      <w:u w:val="none"/>
      <w:shd w:val="clear" w:color="auto" w:fill="F13BCE"/>
      <w:vertAlign w:val="baseline"/>
    </w:rPr>
  </w:style>
  <w:style w:type="character" w:customStyle="1" w:styleId="bibupdated-date">
    <w:name w:val="bib_updated-date"/>
    <w:rPr>
      <w:caps w:val="0"/>
      <w:smallCaps w:val="0"/>
      <w:strike w:val="0"/>
      <w:dstrike w:val="0"/>
      <w:vanish w:val="0"/>
      <w:color w:val="auto"/>
      <w:kern w:val="0"/>
      <w:position w:val="0"/>
      <w:u w:val="none"/>
      <w:shd w:val="clear" w:color="auto" w:fill="FD7BE4"/>
      <w:vertAlign w:val="baseline"/>
    </w:rPr>
  </w:style>
  <w:style w:type="character" w:customStyle="1" w:styleId="bibbook">
    <w:name w:val="bib_book"/>
    <w:rPr>
      <w:b w:val="0"/>
      <w:i w:val="0"/>
      <w:caps w:val="0"/>
      <w:smallCaps w:val="0"/>
      <w:strike w:val="0"/>
      <w:dstrike w:val="0"/>
      <w:vanish w:val="0"/>
      <w:color w:val="auto"/>
      <w:kern w:val="0"/>
      <w:position w:val="0"/>
      <w:u w:val="none"/>
      <w:shd w:val="clear" w:color="auto" w:fill="99CCFF"/>
      <w:vertAlign w:val="baseline"/>
    </w:rPr>
  </w:style>
  <w:style w:type="character" w:customStyle="1" w:styleId="bibchapterno">
    <w:name w:val="bib_chapterno"/>
    <w:rPr>
      <w:b w:val="0"/>
      <w:i w:val="0"/>
      <w:caps w:val="0"/>
      <w:smallCaps w:val="0"/>
      <w:strike w:val="0"/>
      <w:dstrike w:val="0"/>
      <w:vanish w:val="0"/>
      <w:color w:val="auto"/>
      <w:kern w:val="0"/>
      <w:position w:val="0"/>
      <w:u w:val="none"/>
      <w:shd w:val="clear" w:color="auto" w:fill="D9D9D9"/>
      <w:vertAlign w:val="baseline"/>
    </w:rPr>
  </w:style>
  <w:style w:type="character" w:customStyle="1" w:styleId="bibchaptertitle">
    <w:name w:val="bib_chaptertitle"/>
    <w:rPr>
      <w:b w:val="0"/>
      <w:i w:val="0"/>
      <w:caps w:val="0"/>
      <w:smallCaps w:val="0"/>
      <w:strike w:val="0"/>
      <w:dstrike w:val="0"/>
      <w:vanish w:val="0"/>
      <w:color w:val="auto"/>
      <w:kern w:val="0"/>
      <w:position w:val="0"/>
      <w:u w:val="none"/>
      <w:shd w:val="clear" w:color="auto" w:fill="FF9D5B"/>
      <w:vertAlign w:val="baseline"/>
    </w:rPr>
  </w:style>
  <w:style w:type="character" w:customStyle="1" w:styleId="bibed-etal">
    <w:name w:val="bib_ed-etal"/>
    <w:rPr>
      <w:b w:val="0"/>
      <w:i w:val="0"/>
      <w:caps w:val="0"/>
      <w:smallCaps w:val="0"/>
      <w:strike w:val="0"/>
      <w:dstrike w:val="0"/>
      <w:vanish w:val="0"/>
      <w:color w:val="auto"/>
      <w:kern w:val="0"/>
      <w:position w:val="0"/>
      <w:u w:val="none"/>
      <w:shd w:val="clear" w:color="auto" w:fill="00F4EE"/>
      <w:vertAlign w:val="baseline"/>
    </w:rPr>
  </w:style>
  <w:style w:type="character" w:customStyle="1" w:styleId="bibed-fname">
    <w:name w:val="bib_ed-fname"/>
    <w:rPr>
      <w:b w:val="0"/>
      <w:i w:val="0"/>
      <w:caps w:val="0"/>
      <w:smallCaps w:val="0"/>
      <w:strike w:val="0"/>
      <w:dstrike w:val="0"/>
      <w:vanish w:val="0"/>
      <w:color w:val="auto"/>
      <w:kern w:val="0"/>
      <w:position w:val="0"/>
      <w:u w:val="none"/>
      <w:shd w:val="clear" w:color="auto" w:fill="FFD966"/>
      <w:vertAlign w:val="baseline"/>
    </w:rPr>
  </w:style>
  <w:style w:type="character" w:customStyle="1" w:styleId="bibeditionno">
    <w:name w:val="bib_editionno"/>
    <w:rPr>
      <w:b w:val="0"/>
      <w:i w:val="0"/>
      <w:caps w:val="0"/>
      <w:smallCaps w:val="0"/>
      <w:strike w:val="0"/>
      <w:dstrike w:val="0"/>
      <w:vanish w:val="0"/>
      <w:color w:val="auto"/>
      <w:kern w:val="0"/>
      <w:position w:val="0"/>
      <w:u w:val="none"/>
      <w:shd w:val="clear" w:color="auto" w:fill="FFCC00"/>
      <w:vertAlign w:val="baseline"/>
    </w:rPr>
  </w:style>
  <w:style w:type="character" w:customStyle="1" w:styleId="bibed-organization">
    <w:name w:val="bib_ed-organization"/>
    <w:rPr>
      <w:b w:val="0"/>
      <w:i w:val="0"/>
      <w:caps w:val="0"/>
      <w:smallCaps w:val="0"/>
      <w:strike w:val="0"/>
      <w:dstrike w:val="0"/>
      <w:vanish w:val="0"/>
      <w:color w:val="auto"/>
      <w:kern w:val="0"/>
      <w:position w:val="0"/>
      <w:u w:val="none"/>
      <w:shd w:val="clear" w:color="auto" w:fill="FCAAC3"/>
      <w:vertAlign w:val="baseline"/>
    </w:rPr>
  </w:style>
  <w:style w:type="character" w:customStyle="1" w:styleId="bibed-suffix">
    <w:name w:val="bib_ed-suffix"/>
    <w:rPr>
      <w:b w:val="0"/>
      <w:i w:val="0"/>
      <w:caps w:val="0"/>
      <w:smallCaps w:val="0"/>
      <w:strike w:val="0"/>
      <w:dstrike w:val="0"/>
      <w:vanish w:val="0"/>
      <w:color w:val="auto"/>
      <w:kern w:val="0"/>
      <w:position w:val="0"/>
      <w:u w:val="none"/>
      <w:shd w:val="clear" w:color="auto" w:fill="CCFFCC"/>
      <w:vertAlign w:val="baseline"/>
    </w:rPr>
  </w:style>
  <w:style w:type="character" w:customStyle="1" w:styleId="bibed-surname">
    <w:name w:val="bib_ed-surname"/>
    <w:rPr>
      <w:b w:val="0"/>
      <w:i w:val="0"/>
      <w:caps w:val="0"/>
      <w:smallCaps w:val="0"/>
      <w:strike w:val="0"/>
      <w:dstrike w:val="0"/>
      <w:vanish w:val="0"/>
      <w:color w:val="auto"/>
      <w:kern w:val="0"/>
      <w:position w:val="0"/>
      <w:u w:val="none"/>
      <w:shd w:val="clear" w:color="auto" w:fill="538135"/>
      <w:vertAlign w:val="baseline"/>
    </w:rPr>
  </w:style>
  <w:style w:type="character" w:customStyle="1" w:styleId="bibisbn">
    <w:name w:val="bib_isbn"/>
    <w:rPr>
      <w:b w:val="0"/>
      <w:i w:val="0"/>
      <w:caps w:val="0"/>
      <w:smallCaps w:val="0"/>
      <w:strike w:val="0"/>
      <w:dstrike w:val="0"/>
      <w:vanish w:val="0"/>
      <w:color w:val="auto"/>
      <w:kern w:val="0"/>
      <w:position w:val="0"/>
      <w:u w:val="none"/>
      <w:shd w:val="clear" w:color="auto" w:fill="D9D9D9"/>
      <w:vertAlign w:val="baseline"/>
    </w:rPr>
  </w:style>
  <w:style w:type="character" w:customStyle="1" w:styleId="biblocation">
    <w:name w:val="bib_location"/>
    <w:rPr>
      <w:b w:val="0"/>
      <w:i w:val="0"/>
      <w:caps w:val="0"/>
      <w:smallCaps w:val="0"/>
      <w:strike w:val="0"/>
      <w:dstrike w:val="0"/>
      <w:vanish w:val="0"/>
      <w:color w:val="auto"/>
      <w:kern w:val="0"/>
      <w:position w:val="0"/>
      <w:u w:val="none"/>
      <w:shd w:val="clear" w:color="auto" w:fill="FFCCCC"/>
      <w:vertAlign w:val="baseline"/>
    </w:rPr>
  </w:style>
  <w:style w:type="character" w:customStyle="1" w:styleId="bibpagecount">
    <w:name w:val="bib_pagecount"/>
    <w:rPr>
      <w:b w:val="0"/>
      <w:i w:val="0"/>
      <w:caps w:val="0"/>
      <w:smallCaps w:val="0"/>
      <w:strike w:val="0"/>
      <w:dstrike w:val="0"/>
      <w:vanish w:val="0"/>
      <w:color w:val="auto"/>
      <w:kern w:val="0"/>
      <w:position w:val="0"/>
      <w:u w:val="none"/>
      <w:shd w:val="clear" w:color="auto" w:fill="00FF00"/>
      <w:vertAlign w:val="baseline"/>
    </w:rPr>
  </w:style>
  <w:style w:type="character" w:customStyle="1" w:styleId="bibpublisher">
    <w:name w:val="bib_publisher"/>
    <w:rPr>
      <w:b w:val="0"/>
      <w:i w:val="0"/>
      <w:caps w:val="0"/>
      <w:smallCaps w:val="0"/>
      <w:strike w:val="0"/>
      <w:dstrike w:val="0"/>
      <w:vanish w:val="0"/>
      <w:color w:val="auto"/>
      <w:kern w:val="0"/>
      <w:position w:val="0"/>
      <w:u w:val="none"/>
      <w:shd w:val="clear" w:color="auto" w:fill="FF99CC"/>
      <w:vertAlign w:val="baseline"/>
    </w:rPr>
  </w:style>
  <w:style w:type="character" w:customStyle="1" w:styleId="bibseries">
    <w:name w:val="bib_series"/>
    <w:rPr>
      <w:b w:val="0"/>
      <w:i w:val="0"/>
      <w:caps w:val="0"/>
      <w:smallCaps w:val="0"/>
      <w:strike w:val="0"/>
      <w:dstrike w:val="0"/>
      <w:vanish w:val="0"/>
      <w:color w:val="auto"/>
      <w:kern w:val="0"/>
      <w:position w:val="0"/>
      <w:u w:val="none"/>
      <w:shd w:val="clear" w:color="auto" w:fill="FFCC99"/>
      <w:vertAlign w:val="baseline"/>
    </w:rPr>
  </w:style>
  <w:style w:type="character" w:customStyle="1" w:styleId="bibseriesno">
    <w:name w:val="bib_seriesno"/>
    <w:rPr>
      <w:b w:val="0"/>
      <w:i w:val="0"/>
      <w:caps w:val="0"/>
      <w:smallCaps w:val="0"/>
      <w:strike w:val="0"/>
      <w:dstrike w:val="0"/>
      <w:vanish w:val="0"/>
      <w:color w:val="auto"/>
      <w:kern w:val="0"/>
      <w:position w:val="0"/>
      <w:u w:val="none"/>
      <w:shd w:val="clear" w:color="auto" w:fill="FFFF99"/>
      <w:vertAlign w:val="baseline"/>
    </w:rPr>
  </w:style>
  <w:style w:type="character" w:customStyle="1" w:styleId="bibtrans">
    <w:name w:val="bib_trans"/>
    <w:rPr>
      <w:b w:val="0"/>
      <w:i w:val="0"/>
      <w:caps w:val="0"/>
      <w:smallCaps w:val="0"/>
      <w:strike w:val="0"/>
      <w:dstrike w:val="0"/>
      <w:vanish w:val="0"/>
      <w:color w:val="auto"/>
      <w:kern w:val="0"/>
      <w:position w:val="0"/>
      <w:u w:val="none"/>
      <w:shd w:val="clear" w:color="auto" w:fill="99CC00"/>
      <w:vertAlign w:val="baseline"/>
    </w:rPr>
  </w:style>
  <w:style w:type="character" w:customStyle="1" w:styleId="bibinstitution">
    <w:name w:val="bib_institution"/>
    <w:rPr>
      <w:b w:val="0"/>
      <w:i w:val="0"/>
      <w:caps w:val="0"/>
      <w:smallCaps w:val="0"/>
      <w:strike w:val="0"/>
      <w:dstrike w:val="0"/>
      <w:vanish w:val="0"/>
      <w:color w:val="auto"/>
      <w:kern w:val="0"/>
      <w:position w:val="0"/>
      <w:u w:val="none"/>
      <w:shd w:val="clear" w:color="auto" w:fill="CCFFCC"/>
      <w:vertAlign w:val="baseline"/>
    </w:rPr>
  </w:style>
  <w:style w:type="character" w:customStyle="1" w:styleId="bibreportnum">
    <w:name w:val="bib_reportnum"/>
    <w:rPr>
      <w:b w:val="0"/>
      <w:i w:val="0"/>
      <w:caps w:val="0"/>
      <w:smallCaps w:val="0"/>
      <w:strike w:val="0"/>
      <w:dstrike w:val="0"/>
      <w:vanish w:val="0"/>
      <w:color w:val="auto"/>
      <w:kern w:val="0"/>
      <w:position w:val="0"/>
      <w:u w:val="none"/>
      <w:shd w:val="clear" w:color="auto" w:fill="CCCCFF"/>
      <w:vertAlign w:val="baseline"/>
    </w:rPr>
  </w:style>
  <w:style w:type="character" w:customStyle="1" w:styleId="bibschool">
    <w:name w:val="bib_school"/>
    <w:rPr>
      <w:b w:val="0"/>
      <w:i w:val="0"/>
      <w:caps w:val="0"/>
      <w:smallCaps w:val="0"/>
      <w:strike w:val="0"/>
      <w:dstrike w:val="0"/>
      <w:vanish w:val="0"/>
      <w:color w:val="auto"/>
      <w:kern w:val="0"/>
      <w:position w:val="0"/>
      <w:u w:val="none"/>
      <w:shd w:val="clear" w:color="auto" w:fill="FFCC66"/>
      <w:vertAlign w:val="baseline"/>
    </w:rPr>
  </w:style>
  <w:style w:type="character" w:customStyle="1" w:styleId="bibalt-year">
    <w:name w:val="bib_alt-year"/>
    <w:rPr>
      <w:b w:val="0"/>
      <w:i w:val="0"/>
      <w:caps w:val="0"/>
      <w:smallCaps w:val="0"/>
      <w:strike w:val="0"/>
      <w:dstrike w:val="0"/>
      <w:vanish w:val="0"/>
      <w:color w:val="auto"/>
      <w:kern w:val="0"/>
      <w:position w:val="0"/>
      <w:szCs w:val="24"/>
      <w:u w:val="none"/>
      <w:shd w:val="clear" w:color="auto" w:fill="CC99FF"/>
      <w:vertAlign w:val="baseline"/>
    </w:rPr>
  </w:style>
  <w:style w:type="character" w:customStyle="1" w:styleId="bibvolcount">
    <w:name w:val="bib_volcount"/>
    <w:rPr>
      <w:b w:val="0"/>
      <w:i w:val="0"/>
      <w:caps w:val="0"/>
      <w:smallCaps w:val="0"/>
      <w:strike w:val="0"/>
      <w:dstrike w:val="0"/>
      <w:vanish w:val="0"/>
      <w:color w:val="auto"/>
      <w:kern w:val="0"/>
      <w:position w:val="0"/>
      <w:u w:val="none"/>
      <w:shd w:val="clear" w:color="auto" w:fill="00FF00"/>
      <w:vertAlign w:val="baseline"/>
    </w:rPr>
  </w:style>
  <w:style w:type="character" w:customStyle="1" w:styleId="bibtitle">
    <w:name w:val="bib_title"/>
    <w:rPr>
      <w:b w:val="0"/>
      <w:i w:val="0"/>
      <w:caps w:val="0"/>
      <w:smallCaps w:val="0"/>
      <w:strike w:val="0"/>
      <w:dstrike w:val="0"/>
      <w:vanish w:val="0"/>
      <w:color w:val="auto"/>
      <w:kern w:val="0"/>
      <w:position w:val="0"/>
      <w:szCs w:val="24"/>
      <w:u w:val="none"/>
      <w:shd w:val="clear" w:color="auto" w:fill="FEBAC0"/>
      <w:vertAlign w:val="baseline"/>
    </w:rPr>
  </w:style>
  <w:style w:type="paragraph" w:customStyle="1" w:styleId="Abstract">
    <w:name w:val="Abstract"/>
    <w:basedOn w:val="Normal"/>
    <w:next w:val="Keywords"/>
    <w:pPr>
      <w:keepNext/>
      <w:autoSpaceDE w:val="0"/>
      <w:spacing w:line="270" w:lineRule="atLeast"/>
      <w:ind w:left="907"/>
      <w:jc w:val="both"/>
      <w:textAlignment w:val="center"/>
    </w:pPr>
    <w:rPr>
      <w:rFonts w:ascii="Cambria" w:hAnsi="Cambria" w:cs="Cambria"/>
      <w:color w:val="000000"/>
      <w:sz w:val="19"/>
      <w:szCs w:val="19"/>
    </w:rPr>
  </w:style>
  <w:style w:type="paragraph" w:customStyle="1" w:styleId="BaseText">
    <w:name w:val="Base_Text"/>
    <w:pPr>
      <w:tabs>
        <w:tab w:val="left" w:pos="706"/>
      </w:tabs>
      <w:suppressAutoHyphens/>
    </w:pPr>
    <w:rPr>
      <w:sz w:val="18"/>
    </w:rPr>
  </w:style>
  <w:style w:type="paragraph" w:customStyle="1" w:styleId="BaseHeading">
    <w:name w:val="Base_Heading"/>
    <w:pPr>
      <w:suppressAutoHyphens/>
      <w:outlineLvl w:val="0"/>
    </w:pPr>
    <w:rPr>
      <w:lang w:val="en-US"/>
    </w:rPr>
  </w:style>
  <w:style w:type="paragraph" w:customStyle="1" w:styleId="AbstractTitle">
    <w:name w:val="AbstractTitle"/>
    <w:basedOn w:val="Normal"/>
    <w:next w:val="Abstract"/>
    <w:pPr>
      <w:keepNext/>
      <w:autoSpaceDE w:val="0"/>
      <w:spacing w:before="360" w:line="270" w:lineRule="atLeast"/>
      <w:textAlignment w:val="center"/>
    </w:pPr>
    <w:rPr>
      <w:rFonts w:ascii="Century Gothic" w:hAnsi="Century Gothic" w:cs="Futura Std Medium"/>
      <w:b/>
      <w:color w:val="000000"/>
      <w:spacing w:val="-4"/>
      <w:w w:val="95"/>
      <w:lang w:val="es-ES_tradnl"/>
    </w:rPr>
  </w:style>
  <w:style w:type="paragraph" w:customStyle="1" w:styleId="Abstract-Trans1">
    <w:name w:val="Abstract-Trans1"/>
    <w:basedOn w:val="Normal"/>
    <w:next w:val="Keywords-Trans1"/>
    <w:pPr>
      <w:keepNext/>
      <w:autoSpaceDE w:val="0"/>
      <w:spacing w:line="270" w:lineRule="atLeast"/>
      <w:ind w:left="907"/>
      <w:jc w:val="both"/>
      <w:textAlignment w:val="center"/>
    </w:pPr>
    <w:rPr>
      <w:rFonts w:ascii="Cambria" w:hAnsi="Cambria" w:cs="Cambria"/>
      <w:i/>
      <w:iCs/>
      <w:color w:val="000000"/>
      <w:spacing w:val="1"/>
      <w:sz w:val="19"/>
      <w:szCs w:val="19"/>
      <w:lang w:val="es-ES_tradnl"/>
    </w:rPr>
  </w:style>
  <w:style w:type="paragraph" w:customStyle="1" w:styleId="Abstract-Trans2">
    <w:name w:val="Abstract-Trans2"/>
    <w:basedOn w:val="Abstract-Trans1"/>
    <w:rPr>
      <w:i w:val="0"/>
      <w:spacing w:val="0"/>
    </w:rPr>
  </w:style>
  <w:style w:type="paragraph" w:customStyle="1" w:styleId="Acknowledgment">
    <w:name w:val="Acknowledgment"/>
    <w:basedOn w:val="Paragraph"/>
  </w:style>
  <w:style w:type="paragraph" w:customStyle="1" w:styleId="AcknowledgmentHead">
    <w:name w:val="AcknowledgmentHead"/>
    <w:basedOn w:val="Ttulo1"/>
  </w:style>
  <w:style w:type="paragraph" w:customStyle="1" w:styleId="Affiliations">
    <w:name w:val="Affiliations"/>
    <w:basedOn w:val="Normal"/>
    <w:next w:val="AbstractTitle"/>
    <w:pPr>
      <w:pBdr>
        <w:bottom w:val="single" w:sz="4" w:space="6" w:color="000000"/>
      </w:pBdr>
      <w:autoSpaceDE w:val="0"/>
      <w:spacing w:line="100" w:lineRule="atLeast"/>
      <w:ind w:left="170" w:right="567" w:hanging="170"/>
      <w:textAlignment w:val="center"/>
    </w:pPr>
    <w:rPr>
      <w:rFonts w:ascii="Cambria" w:hAnsi="Cambria" w:cs="Cambria"/>
      <w:color w:val="000000"/>
      <w:sz w:val="18"/>
      <w:szCs w:val="18"/>
      <w:lang w:val="es-ES_tradnl"/>
    </w:rPr>
  </w:style>
  <w:style w:type="paragraph" w:customStyle="1" w:styleId="Appendix">
    <w:name w:val="Appendix"/>
    <w:basedOn w:val="Paragraph"/>
    <w:pPr>
      <w:shd w:val="clear" w:color="auto" w:fill="92D050"/>
    </w:pPr>
  </w:style>
  <w:style w:type="paragraph" w:customStyle="1" w:styleId="AppendixHead">
    <w:name w:val="AppendixHead"/>
    <w:basedOn w:val="FigureCaption"/>
  </w:style>
  <w:style w:type="paragraph" w:customStyle="1" w:styleId="ArticleTitle">
    <w:name w:val="ArticleTitle"/>
    <w:basedOn w:val="Normal"/>
    <w:next w:val="ArticleTitle-Trans1"/>
    <w:pPr>
      <w:autoSpaceDE w:val="0"/>
      <w:spacing w:after="200" w:line="400" w:lineRule="atLeast"/>
      <w:ind w:right="2835"/>
      <w:textAlignment w:val="center"/>
    </w:pPr>
    <w:rPr>
      <w:rFonts w:ascii="Century Gothic" w:hAnsi="Century Gothic" w:cs="Futura Std Medium"/>
      <w:b/>
      <w:color w:val="000000"/>
      <w:spacing w:val="-4"/>
      <w:w w:val="95"/>
      <w:sz w:val="32"/>
      <w:szCs w:val="32"/>
      <w:lang w:val="es-ES_tradnl"/>
    </w:rPr>
  </w:style>
  <w:style w:type="paragraph" w:customStyle="1" w:styleId="ArticleTitle-Trans1">
    <w:name w:val="ArticleTitle-Trans1"/>
    <w:basedOn w:val="Normal"/>
    <w:next w:val="Authors"/>
    <w:pPr>
      <w:autoSpaceDE w:val="0"/>
      <w:spacing w:after="240" w:line="310" w:lineRule="atLeast"/>
      <w:ind w:right="567"/>
      <w:textAlignment w:val="center"/>
    </w:pPr>
    <w:rPr>
      <w:rFonts w:ascii="Century Gothic" w:hAnsi="Century Gothic" w:cs="Futura Std Book"/>
      <w:i/>
      <w:iCs/>
      <w:color w:val="000000"/>
      <w:spacing w:val="-2"/>
      <w:w w:val="90"/>
      <w:sz w:val="23"/>
      <w:szCs w:val="23"/>
      <w:lang w:val="es-ES_tradnl"/>
    </w:rPr>
  </w:style>
  <w:style w:type="paragraph" w:customStyle="1" w:styleId="ArticleTitle-Trans2">
    <w:name w:val="ArticleTitle-Trans2"/>
    <w:basedOn w:val="ArticleTitle-Trans1"/>
    <w:rPr>
      <w:i w:val="0"/>
    </w:rPr>
  </w:style>
  <w:style w:type="paragraph" w:customStyle="1" w:styleId="Authors">
    <w:name w:val="Authors"/>
    <w:basedOn w:val="Normal"/>
    <w:next w:val="Affiliations"/>
    <w:pPr>
      <w:pBdr>
        <w:top w:val="single" w:sz="4" w:space="18" w:color="000000"/>
      </w:pBdr>
      <w:autoSpaceDE w:val="0"/>
      <w:spacing w:before="370" w:after="1800" w:line="250" w:lineRule="atLeast"/>
      <w:ind w:right="567"/>
      <w:textAlignment w:val="center"/>
    </w:pPr>
    <w:rPr>
      <w:rFonts w:ascii="Century Gothic" w:hAnsi="Century Gothic" w:cs="Futura Std Condensed Light"/>
      <w:color w:val="000000"/>
      <w:spacing w:val="-4"/>
      <w:w w:val="90"/>
      <w:sz w:val="19"/>
      <w:szCs w:val="19"/>
      <w:lang w:val="es-ES_tradnl"/>
    </w:rPr>
  </w:style>
  <w:style w:type="paragraph" w:customStyle="1" w:styleId="Correspondence">
    <w:name w:val="Correspondence"/>
    <w:basedOn w:val="fnAuthor-notesOther"/>
    <w:pPr>
      <w:shd w:val="clear" w:color="auto" w:fill="92D050"/>
    </w:pPr>
  </w:style>
  <w:style w:type="paragraph" w:customStyle="1" w:styleId="Equation">
    <w:name w:val="Equation"/>
    <w:basedOn w:val="ParagraphAlt"/>
    <w:pPr>
      <w:tabs>
        <w:tab w:val="right" w:pos="1247"/>
        <w:tab w:val="right" w:pos="9639"/>
      </w:tabs>
      <w:spacing w:before="283" w:after="397"/>
    </w:pPr>
  </w:style>
  <w:style w:type="paragraph" w:customStyle="1" w:styleId="FigureCaption">
    <w:name w:val="FigureCaption"/>
    <w:basedOn w:val="NoParagraphStyle"/>
    <w:pPr>
      <w:spacing w:before="60" w:after="240" w:line="240" w:lineRule="atLeast"/>
      <w:jc w:val="center"/>
    </w:pPr>
    <w:rPr>
      <w:rFonts w:ascii="Century Gothic" w:hAnsi="Century Gothic" w:cs="Futura Std Condensed Light"/>
      <w:spacing w:val="-4"/>
      <w:w w:val="90"/>
      <w:sz w:val="18"/>
      <w:szCs w:val="18"/>
      <w:lang w:val="es-ES_tradnl"/>
    </w:rPr>
  </w:style>
  <w:style w:type="paragraph" w:customStyle="1" w:styleId="FigureCaption-Trans1">
    <w:name w:val="FigureCaption-Trans1"/>
    <w:basedOn w:val="FigureCaption"/>
    <w:rPr>
      <w:i/>
    </w:rPr>
  </w:style>
  <w:style w:type="paragraph" w:customStyle="1" w:styleId="Footnote">
    <w:name w:val="Footnote"/>
    <w:basedOn w:val="NoParagraphStyle"/>
    <w:pPr>
      <w:tabs>
        <w:tab w:val="left" w:pos="120"/>
      </w:tabs>
      <w:spacing w:line="220" w:lineRule="atLeast"/>
      <w:ind w:left="85" w:hanging="85"/>
      <w:jc w:val="both"/>
    </w:pPr>
    <w:rPr>
      <w:rFonts w:ascii="Cambria" w:hAnsi="Cambria" w:cs="Cambria"/>
      <w:sz w:val="16"/>
      <w:szCs w:val="18"/>
      <w:lang w:val="es-ES_tradnl"/>
    </w:rPr>
  </w:style>
  <w:style w:type="paragraph" w:customStyle="1" w:styleId="Heading1">
    <w:name w:val="Heading1"/>
    <w:basedOn w:val="NoParagraphStyle"/>
    <w:pPr>
      <w:keepNext/>
      <w:keepLines/>
      <w:spacing w:before="510" w:after="283" w:line="270" w:lineRule="atLeast"/>
    </w:pPr>
    <w:rPr>
      <w:rFonts w:ascii="Century Gothic" w:hAnsi="Century Gothic" w:cs="Futura Std Medium"/>
      <w:b/>
      <w:spacing w:val="-4"/>
      <w:w w:val="90"/>
      <w:sz w:val="22"/>
      <w:szCs w:val="22"/>
      <w:lang w:val="es-ES_tradnl"/>
    </w:rPr>
  </w:style>
  <w:style w:type="paragraph" w:customStyle="1" w:styleId="Heading2">
    <w:name w:val="Heading2"/>
    <w:basedOn w:val="Heading1"/>
    <w:rPr>
      <w:b w:val="0"/>
    </w:rPr>
  </w:style>
  <w:style w:type="paragraph" w:customStyle="1" w:styleId="Heading2Alt">
    <w:name w:val="Heading2Alt"/>
    <w:basedOn w:val="Heading2"/>
    <w:next w:val="NoParagraphStyle"/>
    <w:pPr>
      <w:spacing w:before="360" w:after="140"/>
    </w:pPr>
  </w:style>
  <w:style w:type="paragraph" w:customStyle="1" w:styleId="Heading3">
    <w:name w:val="Heading3"/>
    <w:basedOn w:val="Heading2"/>
    <w:rPr>
      <w:color w:val="595959"/>
      <w:sz w:val="20"/>
    </w:rPr>
  </w:style>
  <w:style w:type="paragraph" w:customStyle="1" w:styleId="Heading3Alt">
    <w:name w:val="Heading3Alt"/>
    <w:basedOn w:val="Heading3"/>
    <w:pPr>
      <w:spacing w:before="360" w:after="140"/>
    </w:pPr>
  </w:style>
  <w:style w:type="paragraph" w:customStyle="1" w:styleId="Heading4">
    <w:name w:val="Heading4"/>
    <w:basedOn w:val="Heading3"/>
    <w:rPr>
      <w:i/>
    </w:rPr>
  </w:style>
  <w:style w:type="paragraph" w:customStyle="1" w:styleId="Heading4Alt">
    <w:name w:val="Heading4Alt"/>
    <w:basedOn w:val="Heading4"/>
    <w:pPr>
      <w:spacing w:before="360" w:after="140"/>
    </w:pPr>
  </w:style>
  <w:style w:type="paragraph" w:customStyle="1" w:styleId="Heading5">
    <w:name w:val="Heading5"/>
    <w:basedOn w:val="Heading4"/>
    <w:pPr>
      <w:shd w:val="clear" w:color="auto" w:fill="92D050"/>
    </w:pPr>
  </w:style>
  <w:style w:type="paragraph" w:customStyle="1" w:styleId="History">
    <w:name w:val="History"/>
    <w:basedOn w:val="NoParagraphStyle"/>
    <w:pPr>
      <w:spacing w:before="170" w:after="170" w:line="270" w:lineRule="atLeast"/>
    </w:pPr>
    <w:rPr>
      <w:rFonts w:ascii="Century Gothic" w:hAnsi="Century Gothic" w:cs="Cambria"/>
      <w:spacing w:val="-4"/>
      <w:w w:val="90"/>
      <w:sz w:val="18"/>
      <w:szCs w:val="18"/>
      <w:lang w:val="es-ES_tradnl"/>
    </w:rPr>
  </w:style>
  <w:style w:type="paragraph" w:customStyle="1" w:styleId="HowToCite">
    <w:name w:val="HowToCite"/>
    <w:basedOn w:val="Abstract"/>
    <w:pPr>
      <w:spacing w:before="300" w:line="240" w:lineRule="atLeast"/>
      <w:ind w:left="0"/>
    </w:pPr>
    <w:rPr>
      <w:iCs/>
      <w:sz w:val="18"/>
    </w:rPr>
  </w:style>
  <w:style w:type="paragraph" w:customStyle="1" w:styleId="Keywords">
    <w:name w:val="Keywords"/>
    <w:basedOn w:val="Normal"/>
    <w:next w:val="AbstractTitle-Trans1"/>
    <w:pPr>
      <w:autoSpaceDE w:val="0"/>
      <w:spacing w:before="113" w:line="270" w:lineRule="atLeast"/>
      <w:ind w:left="907"/>
      <w:textAlignment w:val="center"/>
    </w:pPr>
    <w:rPr>
      <w:rFonts w:ascii="Cambria" w:hAnsi="Cambria" w:cs="Cambria"/>
      <w:color w:val="000000"/>
      <w:sz w:val="19"/>
      <w:szCs w:val="19"/>
      <w:lang w:val="es-ES_tradnl"/>
    </w:rPr>
  </w:style>
  <w:style w:type="paragraph" w:customStyle="1" w:styleId="Keywords-Trans1">
    <w:name w:val="Keywords-Trans1"/>
    <w:basedOn w:val="Normal"/>
    <w:next w:val="Heading1"/>
    <w:pPr>
      <w:autoSpaceDE w:val="0"/>
      <w:spacing w:before="113" w:line="270" w:lineRule="atLeast"/>
      <w:ind w:left="907"/>
      <w:textAlignment w:val="center"/>
    </w:pPr>
    <w:rPr>
      <w:rFonts w:ascii="Cambria" w:hAnsi="Cambria" w:cs="Cambria"/>
      <w:i/>
      <w:color w:val="000000"/>
      <w:sz w:val="19"/>
      <w:szCs w:val="19"/>
      <w:lang w:val="es-ES_tradnl"/>
    </w:rPr>
  </w:style>
  <w:style w:type="paragraph" w:customStyle="1" w:styleId="Keywords-Trans2">
    <w:name w:val="Keywords-Trans2"/>
    <w:basedOn w:val="Keywords-Trans1"/>
    <w:rPr>
      <w:i w:val="0"/>
    </w:rPr>
  </w:style>
  <w:style w:type="paragraph" w:customStyle="1" w:styleId="NoteInProof">
    <w:name w:val="NoteInProof"/>
    <w:basedOn w:val="Paragraph"/>
    <w:pPr>
      <w:shd w:val="clear" w:color="auto" w:fill="FFFF00"/>
      <w:ind w:firstLine="6"/>
      <w:jc w:val="left"/>
    </w:pPr>
  </w:style>
  <w:style w:type="paragraph" w:customStyle="1" w:styleId="Paragraph">
    <w:name w:val="Paragraph"/>
    <w:basedOn w:val="NoParagraphStyle"/>
    <w:pPr>
      <w:spacing w:line="270" w:lineRule="atLeast"/>
      <w:ind w:firstLine="284"/>
      <w:jc w:val="both"/>
    </w:pPr>
    <w:rPr>
      <w:rFonts w:ascii="Cambria" w:hAnsi="Cambria" w:cs="Cambria"/>
      <w:sz w:val="21"/>
      <w:szCs w:val="21"/>
      <w:lang w:val="pt-BR"/>
    </w:rPr>
  </w:style>
  <w:style w:type="paragraph" w:customStyle="1" w:styleId="ParagraphAlt">
    <w:name w:val="ParagraphAlt"/>
    <w:basedOn w:val="Paragraph"/>
    <w:pPr>
      <w:ind w:firstLine="6"/>
    </w:pPr>
  </w:style>
  <w:style w:type="paragraph" w:customStyle="1" w:styleId="ParagraphIndented">
    <w:name w:val="ParagraphIndented"/>
    <w:basedOn w:val="BaseText"/>
    <w:pPr>
      <w:spacing w:after="120"/>
      <w:ind w:firstLine="706"/>
      <w:jc w:val="both"/>
    </w:pPr>
    <w:rPr>
      <w:rFonts w:ascii="Calibri" w:hAnsi="Calibri"/>
    </w:rPr>
  </w:style>
  <w:style w:type="paragraph" w:customStyle="1" w:styleId="BlockQuote">
    <w:name w:val="BlockQuote"/>
    <w:basedOn w:val="Paragraph"/>
    <w:next w:val="NoParagraphStyle"/>
    <w:pPr>
      <w:spacing w:before="120" w:after="120" w:line="260" w:lineRule="atLeast"/>
      <w:ind w:left="851" w:firstLine="6"/>
    </w:pPr>
    <w:rPr>
      <w:sz w:val="20"/>
    </w:rPr>
  </w:style>
  <w:style w:type="paragraph" w:customStyle="1" w:styleId="BulletList1">
    <w:name w:val="BulletList1"/>
    <w:basedOn w:val="Paragraph"/>
    <w:pPr>
      <w:autoSpaceDE/>
      <w:spacing w:before="120" w:after="120"/>
      <w:ind w:left="284" w:hanging="284"/>
      <w:textAlignment w:val="baseline"/>
    </w:pPr>
    <w:rPr>
      <w:color w:val="auto"/>
    </w:rPr>
  </w:style>
  <w:style w:type="paragraph" w:customStyle="1" w:styleId="BulletList1Alt">
    <w:name w:val="BulletList1Alt"/>
    <w:basedOn w:val="BulletList1"/>
    <w:pPr>
      <w:numPr>
        <w:numId w:val="1"/>
      </w:numPr>
    </w:pPr>
  </w:style>
  <w:style w:type="paragraph" w:customStyle="1" w:styleId="BulletList2">
    <w:name w:val="BulletList2"/>
    <w:basedOn w:val="BulletList1"/>
    <w:pPr>
      <w:ind w:left="568"/>
    </w:pPr>
  </w:style>
  <w:style w:type="paragraph" w:customStyle="1" w:styleId="BulletList2Alt">
    <w:name w:val="BulletList2Alt"/>
    <w:basedOn w:val="BulletList2"/>
    <w:pPr>
      <w:tabs>
        <w:tab w:val="num" w:pos="720"/>
      </w:tabs>
      <w:ind w:left="720" w:hanging="720"/>
    </w:pPr>
  </w:style>
  <w:style w:type="paragraph" w:customStyle="1" w:styleId="DefinitionList">
    <w:name w:val="DefinitionList"/>
    <w:basedOn w:val="Paragraph"/>
    <w:pPr>
      <w:spacing w:before="120" w:after="120"/>
      <w:ind w:left="284" w:firstLine="6"/>
    </w:pPr>
  </w:style>
  <w:style w:type="paragraph" w:customStyle="1" w:styleId="DefinitionListAlt">
    <w:name w:val="DefinitionListAlt"/>
    <w:basedOn w:val="DefinitionList"/>
    <w:pPr>
      <w:ind w:left="567"/>
    </w:pPr>
  </w:style>
  <w:style w:type="paragraph" w:customStyle="1" w:styleId="OrderedList1">
    <w:name w:val="OrderedList1"/>
    <w:basedOn w:val="BulletList1"/>
    <w:next w:val="NoParagraphStyle"/>
  </w:style>
  <w:style w:type="paragraph" w:customStyle="1" w:styleId="OrderedList1Alt">
    <w:name w:val="OrderedList1Alt"/>
    <w:basedOn w:val="OrderedList1"/>
    <w:pPr>
      <w:tabs>
        <w:tab w:val="num" w:pos="720"/>
      </w:tabs>
      <w:ind w:left="720" w:hanging="720"/>
    </w:pPr>
  </w:style>
  <w:style w:type="paragraph" w:customStyle="1" w:styleId="OrderedList2">
    <w:name w:val="OrderedList2"/>
    <w:basedOn w:val="OrderedList1"/>
    <w:pPr>
      <w:ind w:left="568"/>
    </w:pPr>
  </w:style>
  <w:style w:type="paragraph" w:customStyle="1" w:styleId="OrderedList2Alt">
    <w:name w:val="OrderedList2Alt"/>
    <w:basedOn w:val="OrderedList2"/>
    <w:pPr>
      <w:tabs>
        <w:tab w:val="num" w:pos="720"/>
      </w:tabs>
      <w:ind w:left="720" w:hanging="720"/>
    </w:pPr>
  </w:style>
  <w:style w:type="paragraph" w:customStyle="1" w:styleId="QuoteSignature">
    <w:name w:val="QuoteSignature"/>
    <w:basedOn w:val="BaseText"/>
    <w:pPr>
      <w:spacing w:after="240"/>
      <w:ind w:left="2549"/>
      <w:jc w:val="right"/>
    </w:pPr>
  </w:style>
  <w:style w:type="paragraph" w:customStyle="1" w:styleId="Reference">
    <w:name w:val="Reference"/>
    <w:basedOn w:val="NoParagraphStyle"/>
    <w:pPr>
      <w:spacing w:after="135" w:line="250" w:lineRule="atLeast"/>
    </w:pPr>
    <w:rPr>
      <w:rFonts w:ascii="Cambria" w:hAnsi="Cambria" w:cs="Cambria"/>
      <w:sz w:val="19"/>
      <w:szCs w:val="19"/>
      <w:lang w:val="es-ES_tradnl"/>
    </w:rPr>
  </w:style>
  <w:style w:type="paragraph" w:customStyle="1" w:styleId="ReferenceHead">
    <w:name w:val="ReferenceHead"/>
    <w:basedOn w:val="NoParagraphStyle"/>
    <w:pPr>
      <w:keepNext/>
      <w:keepLines/>
      <w:spacing w:before="510" w:after="283" w:line="270" w:lineRule="atLeast"/>
    </w:pPr>
    <w:rPr>
      <w:rFonts w:ascii="Century Gothic" w:hAnsi="Century Gothic" w:cs="Futura Std Medium"/>
      <w:b/>
      <w:spacing w:val="-4"/>
      <w:w w:val="90"/>
      <w:sz w:val="22"/>
      <w:szCs w:val="22"/>
      <w:lang w:val="es-ES_tradnl"/>
    </w:rPr>
  </w:style>
  <w:style w:type="paragraph" w:customStyle="1" w:styleId="RunningAuthors">
    <w:name w:val="RunningAuthors"/>
    <w:basedOn w:val="RunningTitle"/>
  </w:style>
  <w:style w:type="paragraph" w:customStyle="1" w:styleId="RunningPublicationIssue">
    <w:name w:val="RunningPublicationIssue"/>
    <w:basedOn w:val="pubNameFooter"/>
  </w:style>
  <w:style w:type="paragraph" w:customStyle="1" w:styleId="RunningPublicationName">
    <w:name w:val="RunningPublicationName"/>
    <w:basedOn w:val="pubNameFooter"/>
    <w:pPr>
      <w:spacing w:line="240" w:lineRule="auto"/>
    </w:pPr>
    <w:rPr>
      <w:rFonts w:eastAsia="Calibri" w:cs="CMU Serif"/>
      <w:szCs w:val="18"/>
      <w:lang w:val="en-US"/>
    </w:rPr>
  </w:style>
  <w:style w:type="paragraph" w:customStyle="1" w:styleId="RunningTitle">
    <w:name w:val="RunningTitle"/>
    <w:basedOn w:val="Normal"/>
    <w:pPr>
      <w:tabs>
        <w:tab w:val="left" w:pos="3840"/>
      </w:tabs>
      <w:ind w:right="142"/>
    </w:pPr>
    <w:rPr>
      <w:rFonts w:ascii="Century Gothic" w:hAnsi="Century Gothic"/>
      <w:b/>
      <w:spacing w:val="-4"/>
      <w:w w:val="90"/>
      <w:sz w:val="16"/>
      <w:szCs w:val="16"/>
    </w:rPr>
  </w:style>
  <w:style w:type="paragraph" w:customStyle="1" w:styleId="TableBody">
    <w:name w:val="TableBody"/>
    <w:basedOn w:val="Normal"/>
    <w:pPr>
      <w:tabs>
        <w:tab w:val="left" w:pos="706"/>
      </w:tabs>
      <w:autoSpaceDE w:val="0"/>
      <w:jc w:val="center"/>
    </w:pPr>
    <w:rPr>
      <w:rFonts w:ascii="Century Gothic" w:eastAsia="Calibri" w:hAnsi="Century Gothic"/>
      <w:color w:val="000000"/>
      <w:spacing w:val="-4"/>
      <w:w w:val="90"/>
      <w:sz w:val="17"/>
      <w:szCs w:val="17"/>
    </w:rPr>
  </w:style>
  <w:style w:type="paragraph" w:customStyle="1" w:styleId="TableFootnote">
    <w:name w:val="TableFootnote"/>
    <w:basedOn w:val="Normal"/>
    <w:pPr>
      <w:tabs>
        <w:tab w:val="left" w:pos="706"/>
      </w:tabs>
      <w:autoSpaceDE w:val="0"/>
      <w:spacing w:before="60" w:after="240"/>
      <w:ind w:left="57"/>
    </w:pPr>
    <w:rPr>
      <w:rFonts w:ascii="Century Gothic" w:eastAsia="Calibri" w:hAnsi="Century Gothic"/>
      <w:spacing w:val="-4"/>
      <w:w w:val="90"/>
      <w:sz w:val="16"/>
      <w:szCs w:val="16"/>
    </w:rPr>
  </w:style>
  <w:style w:type="paragraph" w:customStyle="1" w:styleId="TableFootnote-Trans1">
    <w:name w:val="TableFootnote-Trans1"/>
    <w:basedOn w:val="TableFootnote"/>
    <w:rPr>
      <w:i/>
    </w:rPr>
  </w:style>
  <w:style w:type="paragraph" w:customStyle="1" w:styleId="TableHead">
    <w:name w:val="TableHead"/>
    <w:basedOn w:val="Normal"/>
    <w:pPr>
      <w:tabs>
        <w:tab w:val="left" w:pos="706"/>
      </w:tabs>
      <w:autoSpaceDE w:val="0"/>
      <w:spacing w:after="40"/>
      <w:jc w:val="center"/>
    </w:pPr>
    <w:rPr>
      <w:rFonts w:ascii="Century Gothic" w:eastAsia="Calibri" w:hAnsi="Century Gothic"/>
      <w:b/>
      <w:spacing w:val="-4"/>
      <w:w w:val="90"/>
      <w:sz w:val="17"/>
      <w:szCs w:val="17"/>
    </w:rPr>
  </w:style>
  <w:style w:type="paragraph" w:customStyle="1" w:styleId="TableTitle">
    <w:name w:val="TableTitle"/>
    <w:basedOn w:val="FigureCaption"/>
    <w:pPr>
      <w:keepNext/>
      <w:spacing w:before="240" w:after="60"/>
    </w:pPr>
  </w:style>
  <w:style w:type="paragraph" w:customStyle="1" w:styleId="AbstractTitle-Trans1">
    <w:name w:val="AbstractTitle-Trans1"/>
    <w:basedOn w:val="AbstractTitle"/>
    <w:next w:val="Abstract-Trans1"/>
    <w:rPr>
      <w:i/>
    </w:rPr>
  </w:style>
  <w:style w:type="paragraph" w:customStyle="1" w:styleId="AbstractTitle-Trans2">
    <w:name w:val="AbstractTitle-Trans2"/>
    <w:basedOn w:val="AbstractTitle-Trans1"/>
    <w:rPr>
      <w:i w:val="0"/>
    </w:rPr>
  </w:style>
  <w:style w:type="paragraph" w:customStyle="1" w:styleId="Conflict">
    <w:name w:val="Conflict"/>
    <w:basedOn w:val="BaseText"/>
    <w:pPr>
      <w:autoSpaceDE w:val="0"/>
    </w:pPr>
  </w:style>
  <w:style w:type="paragraph" w:customStyle="1" w:styleId="Funding">
    <w:name w:val="Funding"/>
    <w:basedOn w:val="History"/>
    <w:pPr>
      <w:shd w:val="clear" w:color="auto" w:fill="92D050"/>
    </w:pPr>
  </w:style>
  <w:style w:type="paragraph" w:customStyle="1" w:styleId="ArticleType">
    <w:name w:val="ArticleType"/>
    <w:basedOn w:val="Normal"/>
    <w:pPr>
      <w:tabs>
        <w:tab w:val="left" w:pos="720"/>
      </w:tabs>
      <w:autoSpaceDE w:val="0"/>
      <w:spacing w:after="40"/>
    </w:pPr>
    <w:rPr>
      <w:rFonts w:ascii="Century Gothic" w:eastAsia="Calibri" w:hAnsi="Century Gothic"/>
      <w:b/>
      <w:color w:val="000000"/>
      <w:sz w:val="20"/>
      <w:szCs w:val="20"/>
      <w:lang w:val="en-US"/>
    </w:rPr>
  </w:style>
  <w:style w:type="paragraph" w:customStyle="1" w:styleId="AuthorContrib">
    <w:name w:val="AuthorContrib"/>
    <w:basedOn w:val="History"/>
    <w:pPr>
      <w:shd w:val="clear" w:color="auto" w:fill="92D050"/>
    </w:pPr>
  </w:style>
  <w:style w:type="paragraph" w:customStyle="1" w:styleId="AuthorContribTitle">
    <w:name w:val="AuthorContribTitle"/>
    <w:basedOn w:val="History"/>
    <w:pPr>
      <w:shd w:val="clear" w:color="auto" w:fill="92D050"/>
    </w:pPr>
  </w:style>
  <w:style w:type="character" w:customStyle="1" w:styleId="AbstractChar">
    <w:name w:val="Abstract Char"/>
    <w:rPr>
      <w:rFonts w:ascii="Cambria" w:eastAsia="Times New Roman" w:hAnsi="Cambria" w:cs="Cambria"/>
      <w:color w:val="000000"/>
      <w:sz w:val="19"/>
      <w:szCs w:val="19"/>
    </w:rPr>
  </w:style>
  <w:style w:type="character" w:customStyle="1" w:styleId="AbstractTitleChar">
    <w:name w:val="AbstractTitle Char"/>
    <w:rPr>
      <w:rFonts w:ascii="Century Gothic" w:eastAsia="Times New Roman" w:hAnsi="Century Gothic" w:cs="Futura Std Medium"/>
      <w:b/>
      <w:color w:val="000000"/>
      <w:spacing w:val="-4"/>
      <w:w w:val="95"/>
      <w:sz w:val="24"/>
      <w:szCs w:val="24"/>
      <w:lang w:val="es-ES_tradnl"/>
    </w:rPr>
  </w:style>
  <w:style w:type="character" w:customStyle="1" w:styleId="Abstract-Trans1Char">
    <w:name w:val="Abstract-Trans1 Char"/>
    <w:rPr>
      <w:rFonts w:ascii="Cambria" w:eastAsia="Times New Roman" w:hAnsi="Cambria" w:cs="Cambria"/>
      <w:i/>
      <w:iCs/>
      <w:color w:val="000000"/>
      <w:spacing w:val="1"/>
      <w:sz w:val="19"/>
      <w:szCs w:val="19"/>
      <w:lang w:val="es-ES_tradnl"/>
    </w:rPr>
  </w:style>
  <w:style w:type="character" w:customStyle="1" w:styleId="Abstract-Trans2Char">
    <w:name w:val="Abstract-Trans2 Char"/>
    <w:rPr>
      <w:rFonts w:ascii="Cambria" w:eastAsia="Times New Roman" w:hAnsi="Cambria" w:cs="Cambria"/>
      <w:iCs/>
      <w:color w:val="000000"/>
      <w:sz w:val="19"/>
      <w:szCs w:val="19"/>
      <w:lang w:val="es-ES_tradnl"/>
    </w:rPr>
  </w:style>
  <w:style w:type="character" w:customStyle="1" w:styleId="AffiliationsChar">
    <w:name w:val="Affiliations Char"/>
    <w:rPr>
      <w:rFonts w:ascii="Cambria" w:eastAsia="Times New Roman" w:hAnsi="Cambria" w:cs="Cambria"/>
      <w:color w:val="000000"/>
      <w:sz w:val="18"/>
      <w:szCs w:val="18"/>
      <w:lang w:val="es-ES_tradnl"/>
    </w:rPr>
  </w:style>
  <w:style w:type="character" w:customStyle="1" w:styleId="ArticleTitleChar">
    <w:name w:val="ArticleTitle Char"/>
    <w:rPr>
      <w:rFonts w:ascii="Century Gothic" w:eastAsia="Times New Roman" w:hAnsi="Century Gothic" w:cs="Futura Std Medium"/>
      <w:b/>
      <w:color w:val="000000"/>
      <w:spacing w:val="-4"/>
      <w:w w:val="95"/>
      <w:sz w:val="32"/>
      <w:szCs w:val="32"/>
      <w:lang w:val="es-ES_tradnl"/>
    </w:rPr>
  </w:style>
  <w:style w:type="character" w:customStyle="1" w:styleId="ArticleTitle-Trans1Char">
    <w:name w:val="ArticleTitle-Trans1 Char"/>
    <w:rPr>
      <w:rFonts w:ascii="Century Gothic" w:eastAsia="Times New Roman" w:hAnsi="Century Gothic" w:cs="Futura Std Book"/>
      <w:i/>
      <w:iCs/>
      <w:color w:val="000000"/>
      <w:spacing w:val="-2"/>
      <w:w w:val="90"/>
      <w:sz w:val="23"/>
      <w:szCs w:val="23"/>
      <w:lang w:val="es-ES_tradnl"/>
    </w:rPr>
  </w:style>
  <w:style w:type="character" w:customStyle="1" w:styleId="ArticleTitle-Trans2Char">
    <w:name w:val="ArticleTitle-Trans2 Char"/>
    <w:rPr>
      <w:rFonts w:ascii="Century Gothic" w:eastAsia="Times New Roman" w:hAnsi="Century Gothic" w:cs="Futura Std Book"/>
      <w:iCs/>
      <w:color w:val="000000"/>
      <w:spacing w:val="-2"/>
      <w:w w:val="90"/>
      <w:sz w:val="23"/>
      <w:szCs w:val="23"/>
      <w:lang w:val="es-ES_tradnl"/>
    </w:rPr>
  </w:style>
  <w:style w:type="character" w:customStyle="1" w:styleId="ArticleTypeChar">
    <w:name w:val="ArticleType Char"/>
    <w:rPr>
      <w:rFonts w:ascii="Century Gothic" w:eastAsia="Calibri" w:hAnsi="Century Gothic" w:cs="Times New Roman"/>
      <w:b/>
      <w:color w:val="000000"/>
      <w:sz w:val="20"/>
      <w:szCs w:val="20"/>
      <w:lang w:val="en-US"/>
    </w:rPr>
  </w:style>
  <w:style w:type="character" w:customStyle="1" w:styleId="AuthorsChar">
    <w:name w:val="Authors Char"/>
    <w:rPr>
      <w:rFonts w:ascii="Century Gothic" w:eastAsia="Times New Roman" w:hAnsi="Century Gothic" w:cs="Futura Std Condensed Light"/>
      <w:color w:val="000000"/>
      <w:spacing w:val="-4"/>
      <w:w w:val="90"/>
      <w:sz w:val="19"/>
      <w:szCs w:val="19"/>
      <w:lang w:val="es-ES_tradnl"/>
    </w:rPr>
  </w:style>
  <w:style w:type="character" w:customStyle="1" w:styleId="CorrespondenceChar">
    <w:name w:val="Correspondence Char"/>
    <w:rPr>
      <w:rFonts w:ascii="Cambria" w:eastAsia="Times New Roman" w:hAnsi="Cambria" w:cs="Times New Roman"/>
      <w:spacing w:val="-2"/>
      <w:kern w:val="3"/>
      <w:sz w:val="16"/>
      <w:szCs w:val="16"/>
      <w:shd w:val="clear" w:color="auto" w:fill="92D050"/>
    </w:rPr>
  </w:style>
  <w:style w:type="character" w:customStyle="1" w:styleId="FootnoteChar">
    <w:name w:val="Footnote Char"/>
    <w:rPr>
      <w:rFonts w:ascii="Cambria" w:eastAsia="Calibri" w:hAnsi="Cambria" w:cs="Cambria"/>
      <w:color w:val="000000"/>
      <w:sz w:val="16"/>
      <w:szCs w:val="18"/>
      <w:lang w:val="es-ES_tradnl"/>
    </w:rPr>
  </w:style>
  <w:style w:type="character" w:customStyle="1" w:styleId="Heading1Char">
    <w:name w:val="Heading1 Char"/>
    <w:rPr>
      <w:rFonts w:ascii="Century Gothic" w:eastAsia="Calibri" w:hAnsi="Century Gothic" w:cs="Futura Std Medium"/>
      <w:b/>
      <w:color w:val="000000"/>
      <w:spacing w:val="-4"/>
      <w:w w:val="90"/>
      <w:lang w:val="es-ES_tradnl"/>
    </w:rPr>
  </w:style>
  <w:style w:type="character" w:customStyle="1" w:styleId="Heading2Char">
    <w:name w:val="Heading2 Char"/>
    <w:rPr>
      <w:rFonts w:ascii="Century Gothic" w:eastAsia="Calibri" w:hAnsi="Century Gothic" w:cs="Futura Std Medium"/>
      <w:color w:val="000000"/>
      <w:spacing w:val="-4"/>
      <w:w w:val="90"/>
      <w:lang w:val="es-ES_tradnl"/>
    </w:rPr>
  </w:style>
  <w:style w:type="character" w:customStyle="1" w:styleId="Heading2AltChar">
    <w:name w:val="Heading2Alt Char"/>
    <w:rPr>
      <w:rFonts w:ascii="Century Gothic" w:eastAsia="Calibri" w:hAnsi="Century Gothic" w:cs="Futura Std Medium"/>
      <w:color w:val="000000"/>
      <w:spacing w:val="-4"/>
      <w:w w:val="90"/>
      <w:lang w:val="es-ES_tradnl"/>
    </w:rPr>
  </w:style>
  <w:style w:type="character" w:customStyle="1" w:styleId="Heading3Char">
    <w:name w:val="Heading3 Char"/>
    <w:rPr>
      <w:rFonts w:ascii="Century Gothic" w:eastAsia="Calibri" w:hAnsi="Century Gothic" w:cs="Futura Std Medium"/>
      <w:color w:val="595959"/>
      <w:spacing w:val="-4"/>
      <w:w w:val="90"/>
      <w:sz w:val="20"/>
      <w:lang w:val="es-ES_tradnl"/>
    </w:rPr>
  </w:style>
  <w:style w:type="character" w:customStyle="1" w:styleId="Heading3AltChar">
    <w:name w:val="Heading3Alt Char"/>
    <w:rPr>
      <w:rFonts w:ascii="Century Gothic" w:eastAsia="Calibri" w:hAnsi="Century Gothic" w:cs="Futura Std Medium"/>
      <w:color w:val="595959"/>
      <w:spacing w:val="-4"/>
      <w:w w:val="90"/>
      <w:sz w:val="20"/>
      <w:lang w:val="es-ES_tradnl"/>
    </w:rPr>
  </w:style>
  <w:style w:type="character" w:customStyle="1" w:styleId="Heading4Char">
    <w:name w:val="Heading4 Char"/>
    <w:rPr>
      <w:rFonts w:ascii="Century Gothic" w:eastAsia="Calibri" w:hAnsi="Century Gothic" w:cs="Futura Std Medium"/>
      <w:i/>
      <w:color w:val="595959"/>
      <w:spacing w:val="-4"/>
      <w:w w:val="90"/>
      <w:sz w:val="20"/>
      <w:lang w:val="es-ES_tradnl"/>
    </w:rPr>
  </w:style>
  <w:style w:type="character" w:customStyle="1" w:styleId="Heading4AltChar">
    <w:name w:val="Heading4Alt Char"/>
    <w:rPr>
      <w:rFonts w:ascii="Century Gothic" w:eastAsia="Calibri" w:hAnsi="Century Gothic" w:cs="Futura Std Medium"/>
      <w:i/>
      <w:color w:val="595959"/>
      <w:spacing w:val="-4"/>
      <w:w w:val="90"/>
      <w:sz w:val="20"/>
      <w:lang w:val="es-ES_tradnl"/>
    </w:rPr>
  </w:style>
  <w:style w:type="character" w:customStyle="1" w:styleId="Heading5Char">
    <w:name w:val="Heading5 Char"/>
    <w:rPr>
      <w:rFonts w:ascii="Century Gothic" w:eastAsia="Calibri" w:hAnsi="Century Gothic" w:cs="Futura Std Medium"/>
      <w:i/>
      <w:color w:val="595959"/>
      <w:spacing w:val="-4"/>
      <w:w w:val="90"/>
      <w:sz w:val="20"/>
      <w:shd w:val="clear" w:color="auto" w:fill="92D050"/>
      <w:lang w:val="es-ES_tradnl"/>
    </w:rPr>
  </w:style>
  <w:style w:type="character" w:customStyle="1" w:styleId="HistoryChar">
    <w:name w:val="History Char"/>
    <w:rPr>
      <w:rFonts w:ascii="Century Gothic" w:eastAsia="Calibri" w:hAnsi="Century Gothic" w:cs="Cambria"/>
      <w:color w:val="000000"/>
      <w:spacing w:val="-4"/>
      <w:w w:val="90"/>
      <w:sz w:val="18"/>
      <w:szCs w:val="18"/>
      <w:lang w:val="es-ES_tradnl"/>
    </w:rPr>
  </w:style>
  <w:style w:type="character" w:customStyle="1" w:styleId="HowToCiteChar">
    <w:name w:val="HowToCite Char"/>
    <w:rPr>
      <w:rFonts w:ascii="Cambria" w:eastAsia="Times New Roman" w:hAnsi="Cambria" w:cs="Cambria"/>
      <w:iCs/>
      <w:color w:val="000000"/>
      <w:sz w:val="18"/>
      <w:szCs w:val="19"/>
    </w:rPr>
  </w:style>
  <w:style w:type="character" w:customStyle="1" w:styleId="KeywordsChar">
    <w:name w:val="Keywords Char"/>
    <w:rPr>
      <w:rFonts w:ascii="Cambria" w:eastAsia="Times New Roman" w:hAnsi="Cambria" w:cs="Cambria"/>
      <w:color w:val="000000"/>
      <w:sz w:val="19"/>
      <w:szCs w:val="19"/>
      <w:lang w:val="es-ES_tradnl"/>
    </w:rPr>
  </w:style>
  <w:style w:type="character" w:customStyle="1" w:styleId="Keywords-Trans1Char">
    <w:name w:val="Keywords-Trans1 Char"/>
    <w:rPr>
      <w:rFonts w:ascii="Cambria" w:eastAsia="Times New Roman" w:hAnsi="Cambria" w:cs="Cambria"/>
      <w:i/>
      <w:color w:val="000000"/>
      <w:sz w:val="19"/>
      <w:szCs w:val="19"/>
      <w:lang w:val="es-ES_tradnl"/>
    </w:rPr>
  </w:style>
  <w:style w:type="character" w:customStyle="1" w:styleId="Keywords-Trans2Char">
    <w:name w:val="Keywords-Trans2 Char"/>
    <w:rPr>
      <w:rFonts w:ascii="Cambria" w:eastAsia="Times New Roman" w:hAnsi="Cambria" w:cs="Cambria"/>
      <w:color w:val="000000"/>
      <w:sz w:val="19"/>
      <w:szCs w:val="19"/>
      <w:lang w:val="es-ES_tradnl"/>
    </w:rPr>
  </w:style>
  <w:style w:type="paragraph" w:customStyle="1" w:styleId="LicensePara">
    <w:name w:val="LicensePara"/>
    <w:basedOn w:val="Paragraph"/>
    <w:pPr>
      <w:spacing w:line="240" w:lineRule="atLeast"/>
      <w:ind w:firstLine="6"/>
    </w:pPr>
    <w:rPr>
      <w:sz w:val="18"/>
    </w:rPr>
  </w:style>
  <w:style w:type="character" w:customStyle="1" w:styleId="ParagraphChar">
    <w:name w:val="Paragraph Char"/>
    <w:rPr>
      <w:rFonts w:ascii="Cambria" w:eastAsia="Calibri" w:hAnsi="Cambria" w:cs="Cambria"/>
      <w:color w:val="000000"/>
      <w:sz w:val="21"/>
      <w:szCs w:val="21"/>
    </w:rPr>
  </w:style>
  <w:style w:type="character" w:customStyle="1" w:styleId="ParagraphAltChar">
    <w:name w:val="ParagraphAlt Char"/>
    <w:rPr>
      <w:rFonts w:ascii="Cambria" w:eastAsia="Calibri" w:hAnsi="Cambria" w:cs="Cambria"/>
      <w:color w:val="000000"/>
      <w:sz w:val="21"/>
      <w:szCs w:val="21"/>
    </w:rPr>
  </w:style>
  <w:style w:type="character" w:customStyle="1" w:styleId="ParagraphIndentedChar">
    <w:name w:val="ParagraphIndented Char"/>
    <w:rPr>
      <w:rFonts w:ascii="Calibri" w:eastAsia="Calibri" w:hAnsi="Calibri" w:cs="Times New Roman"/>
      <w:sz w:val="18"/>
      <w:szCs w:val="24"/>
    </w:rPr>
  </w:style>
  <w:style w:type="paragraph" w:customStyle="1" w:styleId="PublicationIssue">
    <w:name w:val="PublicationIssue"/>
    <w:basedOn w:val="pubNameFooter"/>
  </w:style>
  <w:style w:type="paragraph" w:customStyle="1" w:styleId="PublicationVolume">
    <w:name w:val="PublicationVolume"/>
    <w:basedOn w:val="pubNameFooter"/>
  </w:style>
  <w:style w:type="character" w:customStyle="1" w:styleId="ReferenceChar">
    <w:name w:val="Reference Char"/>
    <w:rPr>
      <w:rFonts w:ascii="Cambria" w:eastAsia="Calibri" w:hAnsi="Cambria" w:cs="Cambria"/>
      <w:color w:val="000000"/>
      <w:sz w:val="19"/>
      <w:szCs w:val="19"/>
      <w:lang w:val="es-ES_tradnl"/>
    </w:rPr>
  </w:style>
  <w:style w:type="character" w:customStyle="1" w:styleId="RunningAuthorsChar">
    <w:name w:val="RunningAuthors Char"/>
    <w:rPr>
      <w:rFonts w:ascii="Century Gothic" w:eastAsia="Times New Roman" w:hAnsi="Century Gothic" w:cs="Times New Roman"/>
      <w:b/>
      <w:spacing w:val="-4"/>
      <w:w w:val="90"/>
      <w:sz w:val="16"/>
      <w:szCs w:val="16"/>
    </w:rPr>
  </w:style>
  <w:style w:type="character" w:customStyle="1" w:styleId="RunningPublicationIssueChar">
    <w:name w:val="RunningPublicationIssue Char"/>
    <w:rPr>
      <w:rFonts w:ascii="Century Gothic" w:eastAsia="Times New Roman" w:hAnsi="Century Gothic" w:cs="Futura Std Condensed Light"/>
      <w:color w:val="000000"/>
      <w:spacing w:val="-4"/>
      <w:w w:val="90"/>
      <w:sz w:val="16"/>
      <w:szCs w:val="16"/>
    </w:rPr>
  </w:style>
  <w:style w:type="character" w:customStyle="1" w:styleId="RunningPublicationNameChar">
    <w:name w:val="RunningPublicationName Char"/>
    <w:rPr>
      <w:rFonts w:ascii="Century Gothic" w:eastAsia="Calibri" w:hAnsi="Century Gothic" w:cs="CMU Serif"/>
      <w:color w:val="000000"/>
      <w:spacing w:val="-4"/>
      <w:w w:val="90"/>
      <w:sz w:val="16"/>
      <w:szCs w:val="18"/>
      <w:lang w:val="en-US"/>
    </w:rPr>
  </w:style>
  <w:style w:type="character" w:customStyle="1" w:styleId="RunningTitleChar">
    <w:name w:val="RunningTitle Char"/>
    <w:rPr>
      <w:rFonts w:ascii="Century Gothic" w:eastAsia="Times New Roman" w:hAnsi="Century Gothic" w:cs="Times New Roman"/>
      <w:b/>
      <w:spacing w:val="-4"/>
      <w:w w:val="90"/>
      <w:sz w:val="16"/>
      <w:szCs w:val="16"/>
    </w:rPr>
  </w:style>
  <w:style w:type="character" w:customStyle="1" w:styleId="TableHeadChar">
    <w:name w:val="TableHead Char"/>
    <w:rPr>
      <w:rFonts w:ascii="Century Gothic" w:eastAsia="Calibri" w:hAnsi="Century Gothic" w:cs="Times New Roman"/>
      <w:b/>
      <w:spacing w:val="-4"/>
      <w:w w:val="90"/>
      <w:sz w:val="17"/>
      <w:szCs w:val="17"/>
    </w:rPr>
  </w:style>
  <w:style w:type="character" w:customStyle="1" w:styleId="TableTitleChar">
    <w:name w:val="TableTitle Char"/>
    <w:rPr>
      <w:rFonts w:ascii="Century Gothic" w:eastAsia="Calibri" w:hAnsi="Century Gothic" w:cs="Futura Std Condensed Light"/>
      <w:color w:val="000000"/>
      <w:spacing w:val="-4"/>
      <w:w w:val="90"/>
      <w:sz w:val="18"/>
      <w:szCs w:val="18"/>
      <w:lang w:val="es-ES_tradnl"/>
    </w:rPr>
  </w:style>
  <w:style w:type="character" w:customStyle="1" w:styleId="BaseTextChar">
    <w:name w:val="Base_Text Char"/>
    <w:rPr>
      <w:rFonts w:ascii="Times New Roman" w:eastAsia="Calibri" w:hAnsi="Times New Roman" w:cs="Times New Roman"/>
      <w:sz w:val="18"/>
    </w:rPr>
  </w:style>
  <w:style w:type="character" w:customStyle="1" w:styleId="FigureCaptionChar">
    <w:name w:val="FigureCaption Char"/>
    <w:rPr>
      <w:rFonts w:ascii="Century Gothic" w:eastAsia="Calibri" w:hAnsi="Century Gothic" w:cs="Futura Std Condensed Light"/>
      <w:color w:val="000000"/>
      <w:spacing w:val="-4"/>
      <w:w w:val="90"/>
      <w:sz w:val="18"/>
      <w:szCs w:val="18"/>
      <w:lang w:val="es-ES_tradnl"/>
    </w:rPr>
  </w:style>
  <w:style w:type="character" w:customStyle="1" w:styleId="FigureCaption-Trans1Char">
    <w:name w:val="FigureCaption-Trans1 Char"/>
    <w:rPr>
      <w:rFonts w:ascii="Century Gothic" w:eastAsia="Calibri" w:hAnsi="Century Gothic" w:cs="Futura Std Condensed Light"/>
      <w:i/>
      <w:color w:val="000000"/>
      <w:spacing w:val="-4"/>
      <w:w w:val="90"/>
      <w:sz w:val="18"/>
      <w:szCs w:val="18"/>
      <w:lang w:val="es-ES_tradnl"/>
    </w:rPr>
  </w:style>
  <w:style w:type="character" w:customStyle="1" w:styleId="BaseHeadingChar">
    <w:name w:val="Base_Heading Char"/>
    <w:rPr>
      <w:rFonts w:ascii="Times New Roman" w:eastAsia="Calibri" w:hAnsi="Times New Roman" w:cs="Times New Roman"/>
      <w:sz w:val="24"/>
      <w:lang w:val="en-US"/>
    </w:rPr>
  </w:style>
  <w:style w:type="character" w:customStyle="1" w:styleId="ReferenceHeadChar">
    <w:name w:val="ReferenceHead Char"/>
    <w:rPr>
      <w:rFonts w:ascii="Century Gothic" w:eastAsia="Calibri" w:hAnsi="Century Gothic" w:cs="Futura Std Medium"/>
      <w:b/>
      <w:color w:val="000000"/>
      <w:spacing w:val="-4"/>
      <w:w w:val="90"/>
      <w:lang w:val="es-ES_tradnl"/>
    </w:rPr>
  </w:style>
  <w:style w:type="character" w:customStyle="1" w:styleId="AcknowledgmentHeadChar">
    <w:name w:val="AcknowledgmentHead Char"/>
    <w:rPr>
      <w:rFonts w:ascii="Century Gothic" w:eastAsia="Calibri" w:hAnsi="Century Gothic" w:cs="Futura Std Medium"/>
      <w:b/>
      <w:color w:val="000000"/>
      <w:spacing w:val="-4"/>
      <w:w w:val="90"/>
      <w:lang w:val="es-ES_tradnl"/>
    </w:rPr>
  </w:style>
  <w:style w:type="paragraph" w:customStyle="1" w:styleId="PublicationYear">
    <w:name w:val="PublicationYear"/>
    <w:basedOn w:val="pubNameFooter"/>
  </w:style>
  <w:style w:type="paragraph" w:customStyle="1" w:styleId="ArticleDOI">
    <w:name w:val="ArticleDOI"/>
    <w:basedOn w:val="ArticleType"/>
    <w:pPr>
      <w:jc w:val="right"/>
    </w:pPr>
    <w:rPr>
      <w:sz w:val="15"/>
      <w:szCs w:val="15"/>
    </w:rPr>
  </w:style>
  <w:style w:type="paragraph" w:customStyle="1" w:styleId="ArticleFirstPage">
    <w:name w:val="ArticleFirstPage"/>
    <w:basedOn w:val="pubNameFooter"/>
  </w:style>
  <w:style w:type="paragraph" w:customStyle="1" w:styleId="ArticleLastPage">
    <w:name w:val="ArticleLastPage"/>
    <w:basedOn w:val="pubNameFooter"/>
  </w:style>
  <w:style w:type="paragraph" w:customStyle="1" w:styleId="fnCurrent-aff">
    <w:name w:val="fnCurrent-aff"/>
    <w:basedOn w:val="History"/>
    <w:pPr>
      <w:shd w:val="clear" w:color="auto" w:fill="92D050"/>
    </w:pPr>
  </w:style>
  <w:style w:type="paragraph" w:customStyle="1" w:styleId="fnPresent-address">
    <w:name w:val="fnPresent-address"/>
    <w:basedOn w:val="History"/>
    <w:pPr>
      <w:shd w:val="clear" w:color="auto" w:fill="92D050"/>
    </w:pPr>
  </w:style>
  <w:style w:type="paragraph" w:customStyle="1" w:styleId="fnPresented-at">
    <w:name w:val="fnPresented-at"/>
    <w:basedOn w:val="History"/>
    <w:pPr>
      <w:shd w:val="clear" w:color="auto" w:fill="92D050"/>
    </w:pPr>
  </w:style>
  <w:style w:type="paragraph" w:customStyle="1" w:styleId="fnSupplementary-material">
    <w:name w:val="fnSupplementary-material"/>
    <w:basedOn w:val="History"/>
    <w:pPr>
      <w:shd w:val="clear" w:color="auto" w:fill="92D050"/>
    </w:pPr>
  </w:style>
  <w:style w:type="paragraph" w:customStyle="1" w:styleId="fnFinancial-disclosure">
    <w:name w:val="fnFinancial-disclosure"/>
    <w:basedOn w:val="History"/>
    <w:pPr>
      <w:shd w:val="clear" w:color="auto" w:fill="92D050"/>
    </w:pPr>
  </w:style>
  <w:style w:type="paragraph" w:customStyle="1" w:styleId="fnSupported-by">
    <w:name w:val="fnSupported-by"/>
    <w:basedOn w:val="History"/>
    <w:pPr>
      <w:shd w:val="clear" w:color="auto" w:fill="92D050"/>
    </w:pPr>
  </w:style>
  <w:style w:type="paragraph" w:customStyle="1" w:styleId="fnConflict">
    <w:name w:val="fnConflict"/>
    <w:basedOn w:val="History"/>
    <w:pPr>
      <w:shd w:val="clear" w:color="auto" w:fill="92D050"/>
    </w:pPr>
  </w:style>
  <w:style w:type="paragraph" w:customStyle="1" w:styleId="fnAuthor-notesOther">
    <w:name w:val="fnAuthor-notesOther"/>
    <w:basedOn w:val="Normal"/>
    <w:pPr>
      <w:pBdr>
        <w:top w:val="single" w:sz="12" w:space="3" w:color="000000"/>
      </w:pBdr>
      <w:spacing w:before="120" w:after="120"/>
    </w:pPr>
    <w:rPr>
      <w:rFonts w:ascii="Cambria" w:hAnsi="Cambria"/>
      <w:spacing w:val="-2"/>
      <w:kern w:val="3"/>
      <w:sz w:val="16"/>
      <w:szCs w:val="16"/>
    </w:rPr>
  </w:style>
  <w:style w:type="paragraph" w:customStyle="1" w:styleId="fnArticleOther">
    <w:name w:val="fnArticleOther"/>
    <w:basedOn w:val="History"/>
    <w:pPr>
      <w:shd w:val="clear" w:color="auto" w:fill="92D050"/>
    </w:pPr>
  </w:style>
  <w:style w:type="paragraph" w:customStyle="1" w:styleId="fnAuthor-notesContributions">
    <w:name w:val="fnAuthor-notesContributions"/>
    <w:basedOn w:val="Editor"/>
  </w:style>
  <w:style w:type="paragraph" w:customStyle="1" w:styleId="fnEqual">
    <w:name w:val="fnEqual"/>
    <w:basedOn w:val="History"/>
    <w:pPr>
      <w:shd w:val="clear" w:color="auto" w:fill="92D050"/>
    </w:pPr>
  </w:style>
  <w:style w:type="character" w:styleId="MenoPendente">
    <w:name w:val="Unresolved Mention"/>
    <w:rPr>
      <w:color w:val="808080"/>
      <w:shd w:val="clear" w:color="auto" w:fill="E6E6E6"/>
    </w:rPr>
  </w:style>
  <w:style w:type="character" w:customStyle="1" w:styleId="ArticleDOIChar">
    <w:name w:val="ArticleDOI Char"/>
    <w:basedOn w:val="BaseTextChar"/>
    <w:rPr>
      <w:rFonts w:ascii="Century Gothic" w:eastAsia="Calibri" w:hAnsi="Century Gothic" w:cs="Times New Roman"/>
      <w:b/>
      <w:color w:val="000000"/>
      <w:sz w:val="15"/>
      <w:szCs w:val="15"/>
      <w:lang w:val="en-US"/>
    </w:rPr>
  </w:style>
  <w:style w:type="character" w:customStyle="1" w:styleId="ECParabaseChar">
    <w:name w:val="ECPara_base Char"/>
    <w:basedOn w:val="Fontepargpadro"/>
    <w:rPr>
      <w:rFonts w:ascii="Times New Roman" w:eastAsia="Times New Roman" w:hAnsi="Times New Roman" w:cs="Times New Roman"/>
      <w:sz w:val="24"/>
      <w:szCs w:val="24"/>
    </w:rPr>
  </w:style>
  <w:style w:type="character" w:customStyle="1" w:styleId="FigureSourceChar">
    <w:name w:val="FigureSource Char"/>
    <w:basedOn w:val="ECParabaseChar"/>
    <w:rPr>
      <w:rFonts w:ascii="Century Gothic" w:eastAsia="Calibri" w:hAnsi="Century Gothic" w:cs="Futura Std Condensed Light"/>
      <w:color w:val="000000"/>
      <w:spacing w:val="-4"/>
      <w:w w:val="90"/>
      <w:sz w:val="16"/>
      <w:szCs w:val="18"/>
      <w:lang w:val="es-ES_tradnl"/>
    </w:rPr>
  </w:style>
  <w:style w:type="paragraph" w:customStyle="1" w:styleId="LicenseParaAlt">
    <w:name w:val="LicenseParaAlt"/>
    <w:basedOn w:val="Normal"/>
    <w:pPr>
      <w:autoSpaceDE w:val="0"/>
      <w:spacing w:line="240" w:lineRule="atLeast"/>
      <w:jc w:val="right"/>
      <w:textAlignment w:val="center"/>
    </w:pPr>
    <w:rPr>
      <w:rFonts w:ascii="Century Gothic" w:hAnsi="Century Gothic" w:cs="Futura Std Condensed"/>
      <w:b/>
      <w:color w:val="000000"/>
      <w:w w:val="90"/>
      <w:sz w:val="14"/>
      <w:szCs w:val="14"/>
    </w:rPr>
  </w:style>
  <w:style w:type="character" w:customStyle="1" w:styleId="bolditalic">
    <w:name w:val="bold italic"/>
    <w:rPr>
      <w:b/>
      <w:bCs/>
      <w:i/>
      <w:iCs/>
    </w:rPr>
  </w:style>
  <w:style w:type="character" w:customStyle="1" w:styleId="super">
    <w:name w:val="super"/>
    <w:rPr>
      <w:position w:val="0"/>
      <w:vertAlign w:val="superscript"/>
    </w:rPr>
  </w:style>
  <w:style w:type="character" w:customStyle="1" w:styleId="italic">
    <w:name w:val="italic"/>
    <w:rPr>
      <w:i/>
      <w:iCs/>
    </w:rPr>
  </w:style>
  <w:style w:type="character" w:customStyle="1" w:styleId="bold">
    <w:name w:val="bold"/>
    <w:rPr>
      <w:b/>
      <w:bCs/>
    </w:rPr>
  </w:style>
  <w:style w:type="character" w:customStyle="1" w:styleId="hyperlinkOK">
    <w:name w:val="hyperlink OK"/>
    <w:rPr>
      <w:rFonts w:ascii="Cambria" w:hAnsi="Cambria" w:cs="Cambria"/>
      <w:color w:val="auto"/>
      <w:sz w:val="21"/>
      <w:szCs w:val="21"/>
    </w:rPr>
  </w:style>
  <w:style w:type="paragraph" w:customStyle="1" w:styleId="pubNameFooter">
    <w:name w:val="pubNameFooter"/>
    <w:basedOn w:val="Normal"/>
    <w:pPr>
      <w:tabs>
        <w:tab w:val="right" w:pos="9299"/>
      </w:tabs>
      <w:autoSpaceDE w:val="0"/>
      <w:spacing w:line="210" w:lineRule="atLeast"/>
      <w:textAlignment w:val="center"/>
    </w:pPr>
    <w:rPr>
      <w:rFonts w:ascii="Century Gothic" w:hAnsi="Century Gothic" w:cs="Futura Std Condensed Light"/>
      <w:color w:val="000000"/>
      <w:spacing w:val="-4"/>
      <w:w w:val="90"/>
      <w:sz w:val="16"/>
      <w:szCs w:val="16"/>
    </w:rPr>
  </w:style>
  <w:style w:type="paragraph" w:customStyle="1" w:styleId="NoParagraphStyle">
    <w:name w:val="[No Paragraph Style]"/>
    <w:pPr>
      <w:suppressAutoHyphens/>
      <w:autoSpaceDE w:val="0"/>
      <w:spacing w:line="288" w:lineRule="auto"/>
      <w:textAlignment w:val="center"/>
    </w:pPr>
    <w:rPr>
      <w:rFonts w:ascii="MinionPro-Regular" w:hAnsi="MinionPro-Regular" w:cs="MinionPro-Regular"/>
      <w:color w:val="000000"/>
      <w:lang w:val="en-US"/>
    </w:rPr>
  </w:style>
  <w:style w:type="character" w:customStyle="1" w:styleId="sub">
    <w:name w:val="sub"/>
    <w:rPr>
      <w:position w:val="0"/>
      <w:vertAlign w:val="subscript"/>
    </w:rPr>
  </w:style>
  <w:style w:type="character" w:customStyle="1" w:styleId="subitalic">
    <w:name w:val="sub italic"/>
    <w:rPr>
      <w:i/>
      <w:iCs/>
      <w:position w:val="0"/>
      <w:vertAlign w:val="subscript"/>
    </w:rPr>
  </w:style>
  <w:style w:type="character" w:styleId="TextodoEspaoReservado">
    <w:name w:val="Placeholder Text"/>
    <w:rPr>
      <w:color w:val="808080"/>
    </w:rPr>
  </w:style>
  <w:style w:type="paragraph" w:customStyle="1" w:styleId="ArticleTitle-Trans1Alt">
    <w:name w:val="ArticleTitle-Trans1Alt"/>
    <w:basedOn w:val="ArticleTitle-Trans1"/>
    <w:pPr>
      <w:spacing w:after="160"/>
    </w:pPr>
  </w:style>
  <w:style w:type="paragraph" w:customStyle="1" w:styleId="Table">
    <w:name w:val="Table"/>
    <w:basedOn w:val="Normal"/>
    <w:next w:val="NoParagraphStyle"/>
    <w:pPr>
      <w:jc w:val="center"/>
    </w:pPr>
  </w:style>
  <w:style w:type="paragraph" w:styleId="Textodenotaderodap">
    <w:name w:val="footnote text"/>
    <w:basedOn w:val="Normal"/>
    <w:rPr>
      <w:sz w:val="20"/>
      <w:szCs w:val="20"/>
    </w:rPr>
  </w:style>
  <w:style w:type="character" w:customStyle="1" w:styleId="TextodenotaderodapChar">
    <w:name w:val="Texto de nota de rodapé Char"/>
    <w:rPr>
      <w:rFonts w:ascii="Times New Roman" w:eastAsia="Times New Roman" w:hAnsi="Times New Roman" w:cs="Times New Roman"/>
      <w:sz w:val="20"/>
      <w:szCs w:val="20"/>
    </w:rPr>
  </w:style>
  <w:style w:type="character" w:styleId="Refdenotaderodap">
    <w:name w:val="footnote reference"/>
    <w:rPr>
      <w:position w:val="0"/>
      <w:vertAlign w:val="superscript"/>
    </w:rPr>
  </w:style>
  <w:style w:type="paragraph" w:customStyle="1" w:styleId="Heading1Alt">
    <w:name w:val="Heading1Alt"/>
    <w:basedOn w:val="Heading1"/>
    <w:next w:val="NoParagraphStyle"/>
    <w:pPr>
      <w:spacing w:before="360" w:after="140"/>
    </w:pPr>
  </w:style>
  <w:style w:type="paragraph" w:customStyle="1" w:styleId="Citao1">
    <w:name w:val="Citação1"/>
    <w:basedOn w:val="Paragraph"/>
    <w:pPr>
      <w:spacing w:before="120" w:after="120"/>
      <w:ind w:left="567"/>
    </w:pPr>
    <w:rPr>
      <w:sz w:val="19"/>
    </w:rPr>
  </w:style>
  <w:style w:type="character" w:customStyle="1" w:styleId="superitalic">
    <w:name w:val="super italic"/>
    <w:rPr>
      <w:i/>
      <w:position w:val="0"/>
      <w:vertAlign w:val="superscript"/>
    </w:rPr>
  </w:style>
  <w:style w:type="character" w:customStyle="1" w:styleId="superbolditalic">
    <w:name w:val="super bold italic"/>
    <w:rPr>
      <w:b/>
      <w:i/>
      <w:position w:val="0"/>
      <w:vertAlign w:val="superscript"/>
    </w:rPr>
  </w:style>
  <w:style w:type="character" w:customStyle="1" w:styleId="superbold">
    <w:name w:val="super bold"/>
    <w:rPr>
      <w:b/>
      <w:position w:val="0"/>
      <w:vertAlign w:val="superscript"/>
    </w:rPr>
  </w:style>
  <w:style w:type="character" w:customStyle="1" w:styleId="subbolditalic">
    <w:name w:val="sub bold italic"/>
    <w:rPr>
      <w:b/>
      <w:i/>
      <w:position w:val="0"/>
      <w:vertAlign w:val="subscript"/>
    </w:rPr>
  </w:style>
  <w:style w:type="character" w:customStyle="1" w:styleId="subbold">
    <w:name w:val="sub bold"/>
    <w:rPr>
      <w:b/>
      <w:position w:val="0"/>
      <w:vertAlign w:val="subscript"/>
    </w:rPr>
  </w:style>
  <w:style w:type="character" w:customStyle="1" w:styleId="Hyperlink1">
    <w:name w:val="Hyperlink1"/>
    <w:rPr>
      <w:rFonts w:ascii="Cambria" w:hAnsi="Cambria" w:cs="Cambria"/>
      <w:color w:val="EC008B"/>
      <w:sz w:val="21"/>
      <w:szCs w:val="21"/>
    </w:rPr>
  </w:style>
  <w:style w:type="character" w:customStyle="1" w:styleId="citePEN">
    <w:name w:val="cite_PEN"/>
    <w:rPr>
      <w:b w:val="0"/>
      <w:i w:val="0"/>
      <w:caps w:val="0"/>
      <w:smallCaps w:val="0"/>
      <w:strike w:val="0"/>
      <w:dstrike w:val="0"/>
      <w:vanish w:val="0"/>
      <w:color w:val="000000"/>
      <w:kern w:val="0"/>
      <w:position w:val="0"/>
      <w:u w:val="none"/>
      <w:shd w:val="clear" w:color="auto" w:fill="FF0066"/>
      <w:vertAlign w:val="baseline"/>
    </w:rPr>
  </w:style>
  <w:style w:type="paragraph" w:customStyle="1" w:styleId="Editor">
    <w:name w:val="Editor"/>
    <w:basedOn w:val="History"/>
    <w:pPr>
      <w:pBdr>
        <w:top w:val="single" w:sz="4" w:space="8" w:color="000000"/>
      </w:pBdr>
    </w:pPr>
  </w:style>
  <w:style w:type="paragraph" w:customStyle="1" w:styleId="FigureCaptionAlt">
    <w:name w:val="FigureCaptionAlt"/>
    <w:basedOn w:val="FigureCaption"/>
    <w:pPr>
      <w:spacing w:after="0"/>
    </w:pPr>
  </w:style>
  <w:style w:type="paragraph" w:customStyle="1" w:styleId="Heading-Supplementary-material">
    <w:name w:val="Heading-Supplementary-material"/>
    <w:basedOn w:val="Heading1"/>
    <w:pPr>
      <w:shd w:val="clear" w:color="auto" w:fill="92D050"/>
    </w:pPr>
  </w:style>
  <w:style w:type="paragraph" w:customStyle="1" w:styleId="Heading5Alt">
    <w:name w:val="Heading5Alt"/>
    <w:basedOn w:val="Heading5"/>
  </w:style>
  <w:style w:type="paragraph" w:customStyle="1" w:styleId="separatorButton">
    <w:name w:val="separatorButton"/>
    <w:basedOn w:val="Paragraph"/>
    <w:pPr>
      <w:shd w:val="clear" w:color="auto" w:fill="92D050"/>
    </w:pPr>
  </w:style>
  <w:style w:type="paragraph" w:customStyle="1" w:styleId="supplementary-material">
    <w:name w:val="supplementary-material"/>
    <w:basedOn w:val="Paragraph"/>
    <w:pPr>
      <w:shd w:val="clear" w:color="auto" w:fill="92D050"/>
    </w:pPr>
  </w:style>
  <w:style w:type="paragraph" w:customStyle="1" w:styleId="TableFootnoteAlt">
    <w:name w:val="TableFootnoteAlt"/>
    <w:basedOn w:val="TableFootnote"/>
    <w:pPr>
      <w:spacing w:after="0"/>
    </w:pPr>
  </w:style>
  <w:style w:type="paragraph" w:customStyle="1" w:styleId="TableFootnote-Trans1Alt">
    <w:name w:val="TableFootnote-Trans1Alt"/>
    <w:basedOn w:val="TableFootnote-Trans1"/>
    <w:pPr>
      <w:spacing w:before="0"/>
    </w:pPr>
  </w:style>
  <w:style w:type="paragraph" w:customStyle="1" w:styleId="FigureCaption-Trans1Alt">
    <w:name w:val="FigureCaption-Trans1Alt"/>
    <w:basedOn w:val="FigureCaption-Trans1"/>
    <w:pPr>
      <w:spacing w:after="0"/>
    </w:pPr>
  </w:style>
  <w:style w:type="paragraph" w:customStyle="1" w:styleId="TableTitleAlt">
    <w:name w:val="TableTitleAlt"/>
    <w:basedOn w:val="TableTitle"/>
    <w:pPr>
      <w:spacing w:after="0"/>
    </w:pPr>
  </w:style>
  <w:style w:type="paragraph" w:customStyle="1" w:styleId="TableTitle-Trans1Alt">
    <w:name w:val="TableTitle-Trans1Alt"/>
    <w:basedOn w:val="TableTitle-Trans1"/>
    <w:pPr>
      <w:spacing w:before="0"/>
    </w:pPr>
  </w:style>
  <w:style w:type="paragraph" w:styleId="Citao">
    <w:name w:val="Quote"/>
    <w:basedOn w:val="Normal"/>
    <w:next w:val="Normal"/>
    <w:pPr>
      <w:spacing w:before="200" w:after="160"/>
      <w:ind w:left="864" w:right="864"/>
      <w:jc w:val="center"/>
    </w:pPr>
    <w:rPr>
      <w:i/>
      <w:iCs/>
      <w:color w:val="404040"/>
    </w:rPr>
  </w:style>
  <w:style w:type="character" w:customStyle="1" w:styleId="CitaoChar">
    <w:name w:val="Citação Char"/>
    <w:rPr>
      <w:rFonts w:ascii="Times New Roman" w:eastAsia="Times New Roman" w:hAnsi="Times New Roman" w:cs="Times New Roman"/>
      <w:i/>
      <w:iCs/>
      <w:color w:val="404040"/>
      <w:sz w:val="24"/>
      <w:szCs w:val="24"/>
    </w:rPr>
  </w:style>
  <w:style w:type="character" w:styleId="nfase">
    <w:name w:val="Emphasis"/>
    <w:rPr>
      <w:i/>
      <w:iCs/>
    </w:rPr>
  </w:style>
  <w:style w:type="paragraph" w:styleId="Bibliografia">
    <w:name w:val="Bibliography"/>
    <w:basedOn w:val="Normal"/>
    <w:next w:val="Normal"/>
  </w:style>
  <w:style w:type="paragraph" w:styleId="Destinatrio">
    <w:name w:val="envelope address"/>
    <w:basedOn w:val="Normal"/>
    <w:pPr>
      <w:ind w:left="2835"/>
    </w:pPr>
    <w:rPr>
      <w:rFonts w:ascii="Calibri Light" w:hAnsi="Calibri Light"/>
    </w:rPr>
  </w:style>
  <w:style w:type="paragraph" w:styleId="Recuonormal">
    <w:name w:val="Normal Indent"/>
    <w:basedOn w:val="Normal"/>
    <w:pPr>
      <w:ind w:left="708"/>
    </w:pPr>
  </w:style>
  <w:style w:type="paragraph" w:customStyle="1" w:styleId="Bullet">
    <w:name w:val="Bullet"/>
    <w:basedOn w:val="Paragraph"/>
  </w:style>
  <w:style w:type="paragraph" w:customStyle="1" w:styleId="Referenced">
    <w:name w:val="Referenced"/>
    <w:basedOn w:val="BulletList1"/>
  </w:style>
  <w:style w:type="paragraph" w:customStyle="1" w:styleId="Refrence">
    <w:name w:val="Refrence"/>
    <w:basedOn w:val="BulletList1"/>
  </w:style>
  <w:style w:type="numbering" w:customStyle="1" w:styleId="LFO23">
    <w:name w:val="LFO23"/>
    <w:basedOn w:val="Semlista"/>
  </w:style>
  <w:style w:type="numbering" w:customStyle="1" w:styleId="LFO24">
    <w:name w:val="LFO24"/>
    <w:basedOn w:val="Semlista"/>
  </w:style>
  <w:style w:type="numbering" w:customStyle="1" w:styleId="LFO25">
    <w:name w:val="LFO25"/>
    <w:basedOn w:val="Semlista"/>
  </w:style>
  <w:style w:type="numbering" w:customStyle="1" w:styleId="LFO26">
    <w:name w:val="LFO26"/>
    <w:basedOn w:val="Semlista"/>
  </w:style>
  <w:style w:type="character" w:customStyle="1" w:styleId="Ttulo2Char">
    <w:name w:val="Título 2 Char"/>
    <w:basedOn w:val="Fontepargpadro"/>
    <w:uiPriority w:val="9"/>
    <w:semiHidden/>
    <w:rsid w:val="008B1914"/>
    <w:rPr>
      <w:rFonts w:asciiTheme="majorHAnsi" w:eastAsiaTheme="majorEastAsia" w:hAnsiTheme="majorHAnsi" w:cstheme="majorBidi"/>
      <w:color w:val="0F4761" w:themeColor="accent1" w:themeShade="BF"/>
      <w:sz w:val="26"/>
      <w:szCs w:val="26"/>
    </w:rPr>
  </w:style>
  <w:style w:type="character" w:customStyle="1" w:styleId="Ttulo3Char">
    <w:name w:val="Título 3 Char"/>
    <w:basedOn w:val="Fontepargpadro"/>
    <w:uiPriority w:val="9"/>
    <w:semiHidden/>
    <w:rsid w:val="00865D04"/>
    <w:rPr>
      <w:rFonts w:asciiTheme="majorHAnsi" w:eastAsiaTheme="majorEastAsia" w:hAnsiTheme="majorHAnsi" w:cstheme="majorBidi"/>
      <w:color w:val="0A2F40" w:themeColor="accent1" w:themeShade="7F"/>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tif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tiff"/><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F0qK9EawtWpwPkrn/sJI1/xa1w==">CgMxLjAyDmguNjIxemlrd28wYnl0OAByITFXUmJQWTlYOVRIamhBYnRwamo3NmNFdVRrRWdWeVBYWg==</go:docsCustomData>
</go:gDocsCustomXmlDataStorage>
</file>

<file path=customXml/itemProps1.xml><?xml version="1.0" encoding="utf-8"?>
<ds:datastoreItem xmlns:ds="http://schemas.openxmlformats.org/officeDocument/2006/customXml" ds:itemID="{A63EB0BA-7A15-40B5-A415-699AAB316D0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17</Pages>
  <Words>8032</Words>
  <Characters>43374</Characters>
  <Application>Microsoft Office Word</Application>
  <DocSecurity>0</DocSecurity>
  <Lines>361</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urbe</dc:creator>
  <cp:lastModifiedBy>WC5728</cp:lastModifiedBy>
  <cp:revision>56</cp:revision>
  <dcterms:created xsi:type="dcterms:W3CDTF">2026-10-10T21:58:00Z</dcterms:created>
  <dcterms:modified xsi:type="dcterms:W3CDTF">2026-10-25T17:16:00Z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x_a">
    <vt:bool>false</vt:bool>
  </property>
  <property fmtid="{D5CDD505-2E9C-101B-9397-08002B2CF9AE}" pid="4" name="x_p">
    <vt:bool>false</vt:bool>
  </property>
  <property fmtid="{D5CDD505-2E9C-101B-9397-08002B2CF9AE}" pid="5" name="x_t">
    <vt:bool>true</vt:bool>
  </property>
</Properties>
</file>