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ichaTitle"/>
      </w:pPr>
      <w:r>
        <w:t>Ficha de patrón: Strategy</w:t>
      </w:r>
    </w:p>
    <w:p>
      <w:pPr>
        <w:pStyle w:val="FichaHeading"/>
      </w:pPr>
      <w:r>
        <w:t>Patrón y punto de dolor que resuelve</w:t>
      </w:r>
    </w:p>
    <w:p>
      <w:pPr>
        <w:pStyle w:val="FichaBody"/>
      </w:pPr>
      <w:r>
        <w:t xml:space="preserve">P-02: </w:t>
      </w:r>
      <w:r>
        <w:t>ServicioVenta.cs:35-52</w:t>
      </w:r>
      <w:r>
        <w:t xml:space="preserve"> registra ventas sin evaluar convenios; </w:t>
      </w:r>
      <w:r>
        <w:t>IDescuento.cs:9-12</w:t>
      </w:r>
      <w:r>
        <w:t xml:space="preserve"> recibe solo un precio y </w:t>
      </w:r>
      <w:r>
        <w:t>ServicioDescuento.cs:11-16</w:t>
      </w:r>
      <w:r>
        <w:t xml:space="preserve"> fija el 10 %. SC-3 solicita descuentos y crédito descontable. El equipo interpreta crédito como consumo de cupo en memoria y adopta descuento, crédito o ambos; no incorpora cuotas ni cobros.</w:t>
      </w:r>
    </w:p>
    <w:p>
      <w:pPr>
        <w:pStyle w:val="FichaHeading"/>
      </w:pPr>
      <w:r>
        <w:t>Alternativas evaluadas</w:t>
      </w:r>
    </w:p>
    <w:p>
      <w:pPr>
        <w:pStyle w:val="FichaBody"/>
      </w:pPr>
      <w:r>
        <w:rPr>
          <w:b/>
        </w:rPr>
        <w:t>No hacer nada:</w:t>
      </w:r>
      <w:r>
        <w:t xml:space="preserve"> descartado; las modalidades quedarían como condicionales en venta o menú. </w:t>
      </w:r>
      <w:r>
        <w:rPr>
          <w:b/>
        </w:rPr>
        <w:t>Facade:</w:t>
      </w:r>
      <w:r>
        <w:t xml:space="preserve"> descartada; otra entrada no separa los cálculos que ya coordina el servicio. </w:t>
      </w:r>
      <w:r>
        <w:rPr>
          <w:b/>
        </w:rPr>
        <w:t>Abstract Factory:</w:t>
      </w:r>
      <w:r>
        <w:t xml:space="preserve"> descartada; no hay familias de objetos relacionados. </w:t>
      </w:r>
      <w:r>
        <w:rPr>
          <w:b/>
        </w:rPr>
        <w:t>Strategy:</w:t>
      </w:r>
      <w:r>
        <w:t xml:space="preserve"> adoptada para seleccionar cálculos mediante un contrato.</w:t>
      </w:r>
    </w:p>
    <w:p>
      <w:pPr>
        <w:pStyle w:val="FichaHeading"/>
      </w:pPr>
      <w:r>
        <w:t>Qué sale y qué entra</w:t>
      </w:r>
    </w:p>
    <w:p>
      <w:pPr>
        <w:pStyle w:val="FichaBody"/>
      </w:pPr>
      <w:r>
        <w:t xml:space="preserve">Salen </w:t>
      </w:r>
      <w:r>
        <w:t>IDescuento</w:t>
      </w:r>
      <w:r>
        <w:t xml:space="preserve"> y </w:t>
      </w:r>
      <w:r>
        <w:t>ServicioDescuento</w:t>
      </w:r>
      <w:r>
        <w:t xml:space="preserve">, sin consumidores en la venta. Entran </w:t>
      </w:r>
      <w:r>
        <w:t>IPoliticaConvenio</w:t>
      </w:r>
      <w:r>
        <w:t xml:space="preserve">, las tres políticas y </w:t>
      </w:r>
      <w:r>
        <w:t>ServicioVentaConvenio</w:t>
      </w:r>
      <w:r>
        <w:t xml:space="preserve"> como contexto. Los tipos de apoyo son </w:t>
      </w:r>
      <w:r>
        <w:t>Convenio</w:t>
      </w:r>
      <w:r>
        <w:t xml:space="preserve">, </w:t>
      </w:r>
      <w:r>
        <w:t>TipoBeneficioConvenio</w:t>
      </w:r>
      <w:r>
        <w:t xml:space="preserve">, </w:t>
      </w:r>
      <w:r>
        <w:t>SolicitudConvenio</w:t>
      </w:r>
      <w:r>
        <w:t xml:space="preserve"> y </w:t>
      </w:r>
      <w:r>
        <w:t>ResultadoConvenio</w:t>
      </w:r>
      <w:r>
        <w:t xml:space="preserve">. No entra </w:t>
      </w:r>
      <w:r>
        <w:t>TipoEntidadConvenio</w:t>
      </w:r>
      <w:r>
        <w:t>.</w:t>
      </w:r>
    </w:p>
    <w:p>
      <w:pPr>
        <w:pStyle w:val="FichaHeading"/>
      </w:pPr>
      <w:r>
        <w:t>Cómo se relaciona</w:t>
      </w:r>
    </w:p>
    <w:p>
      <w:pPr>
        <w:pStyle w:val="FichaBody"/>
      </w:pPr>
      <w:r>
        <w:t>Program</w:t>
      </w:r>
      <w:r>
        <w:t xml:space="preserve"> registra las políticas por beneficio y construye el servicio con </w:t>
      </w:r>
      <w:r>
        <w:t>ServicioMovimiento</w:t>
      </w:r>
      <w:r>
        <w:t xml:space="preserve">. El servicio calcula el subtotal y entrega valores inmutables: subtotal, porcentaje y cupo. </w:t>
      </w:r>
      <w:r>
        <w:t>Evaluar(SolicitudConvenio)</w:t>
      </w:r>
      <w:r>
        <w:t xml:space="preserve"> devuelve aprobación, descuento, total, cupo calculado y motivo. Las políticas no modifican estado. Un rechazo no cambia stock, movimientos ni cupo; la aprobación permite al servicio confirmarlos. Descuento conserva el cupo; crédito consume el subtotal; la combinación consume el total descontado. Template Method carga el convenio opcional; P-01 aporta la búsqueda común.</w:t>
      </w:r>
    </w:p>
    <w:p>
      <w:pPr>
        <w:pStyle w:val="FichaHeading"/>
      </w:pPr>
      <w:r>
        <w:t>Impacto</w:t>
      </w:r>
    </w:p>
    <w:p>
      <w:pPr>
        <w:pStyle w:val="FichaBody"/>
      </w:pPr>
      <w:r>
        <w:t xml:space="preserve">Entran siete clases, una interfaz y un enum. Cambian </w:t>
      </w:r>
      <w:r>
        <w:t>Cliente</w:t>
      </w:r>
      <w:r>
        <w:t xml:space="preserve">, </w:t>
      </w:r>
      <w:r>
        <w:t>CargadorClientesTxt</w:t>
      </w:r>
      <w:r>
        <w:t xml:space="preserve">, </w:t>
      </w:r>
      <w:r>
        <w:t>Program</w:t>
      </w:r>
      <w:r>
        <w:t xml:space="preserve"> y </w:t>
      </w:r>
      <w:r>
        <w:t>clientes.txt</w:t>
      </w:r>
      <w:r>
        <w:t>; salen una clase y una interfaz. Se permiten cero o un convenio por cliente y filas antiguas de cuatro campos. SC-3 usa una ruta propia; no se implementa SC-2 ni se altera SC-1 o la venta normal.</w:t>
      </w:r>
    </w:p>
    <w:p>
      <w:pPr>
        <w:pStyle w:val="FichaHeading"/>
      </w:pPr>
      <w:r>
        <w:t>Qué cuesta</w:t>
      </w:r>
    </w:p>
    <w:p>
      <w:pPr>
        <w:pStyle w:val="FichaBody"/>
      </w:pPr>
      <w:r>
        <w:t xml:space="preserve">Nueve tipos y más pasos para depurar. Una modalidad nueva con el mismo contrato exige una estrategia nueva, ampliar el enum y modificar el registro en </w:t>
      </w:r>
      <w:r>
        <w:t>Program</w:t>
      </w:r>
      <w:r>
        <w:t>. Datos nuevos exigirían revisar también contrato y carga. Se acepta este costo para separar los tres cálculos adoptados.</w:t>
      </w:r>
    </w:p>
    <w:p>
      <w:pPr>
        <w:pStyle w:val="FichaHeading"/>
      </w:pPr>
      <w:r>
        <w:t>Origen</w:t>
      </w:r>
    </w:p>
    <w:p>
      <w:pPr>
        <w:pStyle w:val="FichaBody"/>
      </w:pPr>
      <w:r>
        <w:t>Según los registros del equipo: B-03 acepta Strategy; B-04 distingue políticas por cálculo, no por entidad; B-05 rechaza otra Facade. La ampliación del costo y el alcance explícito proceden de esta revisión asistida y deben reflejarse en la bitácora en preparación.</w:t>
      </w:r>
    </w:p>
    <w:p>
      <w:r>
        <w:br w:type="page"/>
      </w:r>
    </w:p>
    <w:p>
      <w:pPr>
        <w:pStyle w:val="FichaTitle"/>
      </w:pPr>
      <w:r>
        <w:t>Ficha de patrón: Composite</w:t>
      </w:r>
    </w:p>
    <w:p>
      <w:pPr>
        <w:pStyle w:val="FichaHeading"/>
      </w:pPr>
      <w:r>
        <w:t>Patrón y punto de dolor que resuelve</w:t>
      </w:r>
    </w:p>
    <w:p>
      <w:pPr>
        <w:pStyle w:val="FichaBody"/>
      </w:pPr>
      <w:r>
        <w:t xml:space="preserve">P-03: </w:t>
      </w:r>
      <w:r>
        <w:t>ServicioMonitoreoProductos.cs:20-47</w:t>
      </w:r>
      <w:r>
        <w:t xml:space="preserve"> reúne stock y vencimiento; </w:t>
      </w:r>
      <w:r>
        <w:t>Program.cs:62-87</w:t>
      </w:r>
      <w:r>
        <w:t xml:space="preserve"> compone los eventos. Una alerta con evento propio obliga a modificar monitor y </w:t>
      </w:r>
      <w:r>
        <w:t>Program</w:t>
      </w:r>
      <w:r>
        <w:t xml:space="preserve"> y a crear el evento.</w:t>
      </w:r>
    </w:p>
    <w:p>
      <w:pPr>
        <w:pStyle w:val="FichaHeading"/>
      </w:pPr>
      <w:r>
        <w:t>Alternativas evaluadas</w:t>
      </w:r>
    </w:p>
    <w:p>
      <w:pPr>
        <w:pStyle w:val="FichaBody"/>
      </w:pPr>
      <w:r>
        <w:rPr>
          <w:b/>
        </w:rPr>
        <w:t>No hacer nada:</w:t>
      </w:r>
      <w:r>
        <w:t xml:space="preserve"> el monitor crece por regla. </w:t>
      </w:r>
      <w:r>
        <w:rPr>
          <w:b/>
        </w:rPr>
        <w:t>Lista simple con coordinador:</w:t>
      </w:r>
      <w:r>
        <w:t xml:space="preserve"> viable; también separa reglas. Se elige un contrato común para invocar el grupo actual y sus hojas. </w:t>
      </w:r>
      <w:r>
        <w:rPr>
          <w:b/>
        </w:rPr>
        <w:t>Chain of Responsibility:</w:t>
      </w:r>
      <w:r>
        <w:t xml:space="preserve"> podría ejecutar todos los manejadores, pero no se necesita decisión de continuidad ni enlaces entre reglas. </w:t>
      </w:r>
      <w:r>
        <w:rPr>
          <w:b/>
        </w:rPr>
        <w:t>Composite:</w:t>
      </w:r>
      <w:r>
        <w:t xml:space="preserve"> adoptado en su forma mínima; el coordinador implementa la misma interfaz, sin clases adicionales frente a esa lista con coordinador.</w:t>
      </w:r>
    </w:p>
    <w:p>
      <w:pPr>
        <w:pStyle w:val="FichaHeading"/>
      </w:pPr>
      <w:r>
        <w:t>Qué sale y qué entra</w:t>
      </w:r>
    </w:p>
    <w:p>
      <w:pPr>
        <w:pStyle w:val="FichaBody"/>
      </w:pPr>
      <w:r>
        <w:t xml:space="preserve">Sale </w:t>
      </w:r>
      <w:r>
        <w:t>ServicioMonitoreoProductos</w:t>
      </w:r>
      <w:r>
        <w:t xml:space="preserve">. Entran </w:t>
      </w:r>
      <w:r>
        <w:t>IReglaAlerta</w:t>
      </w:r>
      <w:r>
        <w:t xml:space="preserve"> como componente, </w:t>
      </w:r>
      <w:r>
        <w:t>ReglaStockMinimo</w:t>
      </w:r>
      <w:r>
        <w:t xml:space="preserve"> y </w:t>
      </w:r>
      <w:r>
        <w:t>ReglaVencimiento</w:t>
      </w:r>
      <w:r>
        <w:t xml:space="preserve"> como hojas, y </w:t>
      </w:r>
      <w:r>
        <w:t>MonitorCompuesto</w:t>
      </w:r>
      <w:r>
        <w:t xml:space="preserve"> como compuesto. Los tres implementan </w:t>
      </w:r>
      <w:r>
        <w:t>Verificar(IEnumerable&lt;Producto&gt;)</w:t>
      </w:r>
      <w:r>
        <w:t>. El compuesto contiene una colección ordenada de componentes. Se conservan ambos eventos y Observer.</w:t>
      </w:r>
    </w:p>
    <w:p>
      <w:pPr>
        <w:pStyle w:val="FichaHeading"/>
      </w:pPr>
      <w:r>
        <w:t>Cómo se relaciona</w:t>
      </w:r>
    </w:p>
    <w:p>
      <w:pPr>
        <w:pStyle w:val="FichaBody"/>
      </w:pPr>
      <w:r>
        <w:t>Program</w:t>
      </w:r>
      <w:r>
        <w:t xml:space="preserve"> construye hojas y grupo, conecta los eventos e invoca el grupo mediante </w:t>
      </w:r>
      <w:r>
        <w:t>IReglaAlerta</w:t>
      </w:r>
      <w:r>
        <w:t>. Stock recorre todos los productos antes de ejecutar vencimiento. Así se conservan orden, textos y colores. El mismo contrato representa una comprobación individual y la comprobación conjunta ya existente. No se añaden grupos anidados hipotéticos ni se afirma que una lista sea incapaz de resolver P-03. Comparte únicamente la composición con Strategy y Template Method.</w:t>
      </w:r>
    </w:p>
    <w:p>
      <w:pPr>
        <w:pStyle w:val="FichaHeading"/>
      </w:pPr>
      <w:r>
        <w:t>Impacto</w:t>
      </w:r>
    </w:p>
    <w:p>
      <w:pPr>
        <w:pStyle w:val="FichaBody"/>
      </w:pPr>
      <w:r>
        <w:t xml:space="preserve">Entran tres clases y una interfaz; sale un servicio y cambia </w:t>
      </w:r>
      <w:r>
        <w:t>Program</w:t>
      </w:r>
      <w:r>
        <w:t>. Por alerta con evento propio: antes, dos archivos existentes modificados y uno nuevo; después, un existente (</w:t>
      </w:r>
      <w:r>
        <w:t>Program</w:t>
      </w:r>
      <w:r>
        <w:t>) y dos nuevos (hoja y evento). El total sigue siendo tres. No cambian el compuesto ni las reglas anteriores. No incorpora funciones de SC-1, SC-2 o SC-3.</w:t>
      </w:r>
    </w:p>
    <w:p>
      <w:pPr>
        <w:pStyle w:val="FichaHeading"/>
      </w:pPr>
      <w:r>
        <w:t>Qué cuesta</w:t>
      </w:r>
    </w:p>
    <w:p>
      <w:pPr>
        <w:pStyle w:val="FichaBody"/>
      </w:pPr>
      <w:r>
        <w:t xml:space="preserve">Las reglas se distribuyen en hojas; el registro en </w:t>
      </w:r>
      <w:r>
        <w:t>Program</w:t>
      </w:r>
      <w:r>
        <w:t xml:space="preserve"> sigue siendo necesario. Frente a la lista simple, se añade el compromiso de que el coordinador cumpla la interfaz. La uniformidad es el beneficio específico; el ahorro consiste en modificar menos código existente, no en reducir archivos totales.</w:t>
      </w:r>
    </w:p>
    <w:p>
      <w:pPr>
        <w:pStyle w:val="FichaHeading"/>
      </w:pPr>
      <w:r>
        <w:t>Origen</w:t>
      </w:r>
    </w:p>
    <w:p>
      <w:pPr>
        <w:pStyle w:val="FichaBody"/>
      </w:pPr>
      <w:r>
        <w:t>B-07 registra la elección del equipo. Esta revisión asistida añade la comparación con lista simple y precisa costos y límites; debe reflejarse en la bitácora en preparación.</w:t>
      </w:r>
    </w:p>
    <w:p>
      <w:r>
        <w:br w:type="page"/>
      </w:r>
    </w:p>
    <w:p>
      <w:pPr>
        <w:pStyle w:val="FichaTitle"/>
      </w:pPr>
      <w:r>
        <w:t>Ficha de patrón: Template Method</w:t>
      </w:r>
    </w:p>
    <w:p>
      <w:pPr>
        <w:pStyle w:val="FichaHeading"/>
      </w:pPr>
      <w:r>
        <w:t>Patrón y punto de dolor que resuelve</w:t>
      </w:r>
    </w:p>
    <w:p>
      <w:pPr>
        <w:pStyle w:val="FichaBody"/>
      </w:pPr>
      <w:r>
        <w:t xml:space="preserve">P-04: </w:t>
      </w:r>
      <w:r>
        <w:t>CargadorProductosTxt.cs:22-63</w:t>
      </w:r>
      <w:r>
        <w:t xml:space="preserve">, </w:t>
      </w:r>
      <w:r>
        <w:t>CargadorClientesTxt.cs:13-43</w:t>
      </w:r>
      <w:r>
        <w:t xml:space="preserve"> y </w:t>
      </w:r>
      <w:r>
        <w:t>CargadorUsuariosTxt.cs:13-45</w:t>
      </w:r>
      <w:r>
        <w:t xml:space="preserve"> repiten existencia del archivo, lectura, separación, conversión, agregado y manejo de errores. Una modificación común exige intervenir tres archivos.</w:t>
      </w:r>
    </w:p>
    <w:p>
      <w:pPr>
        <w:pStyle w:val="FichaHeading"/>
      </w:pPr>
      <w:r>
        <w:t>Alternativas evaluadas</w:t>
      </w:r>
    </w:p>
    <w:p>
      <w:pPr>
        <w:pStyle w:val="FichaBody"/>
      </w:pPr>
      <w:r>
        <w:rPr>
          <w:b/>
        </w:rPr>
        <w:t>No hacer nada:</w:t>
      </w:r>
      <w:r>
        <w:t xml:space="preserve"> mantiene las tres copias. </w:t>
      </w:r>
      <w:r>
        <w:rPr>
          <w:b/>
        </w:rPr>
        <w:t>Función estática genérica con parser y mensaje:</w:t>
      </w:r>
      <w:r>
        <w:t xml:space="preserve"> viable; puede centralizar todo el algoritmo. Se prefiere expresar los pasos especializados como miembros obligatorios de los cargadores existentes; no se atribuye una incapacidad a la alternativa. </w:t>
      </w:r>
      <w:r>
        <w:rPr>
          <w:b/>
        </w:rPr>
        <w:t>Composición con parser:</w:t>
      </w:r>
      <w:r>
        <w:t xml:space="preserve"> también viable; permite sustitución independiente, a cambio de nuevos colaboradores y su conexión. </w:t>
      </w:r>
      <w:r>
        <w:rPr>
          <w:b/>
        </w:rPr>
        <w:t>Template Method:</w:t>
      </w:r>
      <w:r>
        <w:t xml:space="preserve"> adoptado porque el orden es común y cada cargador ya representa una especialización estable.</w:t>
      </w:r>
    </w:p>
    <w:p>
      <w:pPr>
        <w:pStyle w:val="FichaHeading"/>
      </w:pPr>
      <w:r>
        <w:t>Qué sale y qué entra</w:t>
      </w:r>
    </w:p>
    <w:p>
      <w:pPr>
        <w:pStyle w:val="FichaBody"/>
      </w:pPr>
      <w:r>
        <w:t xml:space="preserve">Sale la copia del algoritmo en los tres cargadores. Entra </w:t>
      </w:r>
      <w:r>
        <w:t>CargadorTxt&lt;T&gt;</w:t>
      </w:r>
      <w:r>
        <w:t xml:space="preserve"> con </w:t>
      </w:r>
      <w:r>
        <w:t>Cargar(string ruta, ICollection&lt;T&gt; destino)</w:t>
      </w:r>
      <w:r>
        <w:t xml:space="preserve">. La plantilla controla el orden y delega </w:t>
      </w:r>
      <w:r>
        <w:t>ParsearCampos(string[] campos) : T</w:t>
      </w:r>
      <w:r>
        <w:t>; cada subclase proporciona su mensaje. No se elimina ninguna clase ni interfaz pública.</w:t>
      </w:r>
    </w:p>
    <w:p>
      <w:pPr>
        <w:pStyle w:val="FichaHeading"/>
      </w:pPr>
      <w:r>
        <w:t>Cómo se relaciona</w:t>
      </w:r>
    </w:p>
    <w:p>
      <w:pPr>
        <w:pStyle w:val="FichaBody"/>
      </w:pPr>
      <w:r>
        <w:t>Program</w:t>
      </w:r>
      <w:r>
        <w:t xml:space="preserve"> sigue construyendo los cargadores concretos. Productos, clientes y usuarios usan sus interfaces </w:t>
      </w:r>
      <w:r>
        <w:t>ICargador*</w:t>
      </w:r>
      <w:r>
        <w:t xml:space="preserve">; los servicios no conocen la base. </w:t>
      </w:r>
      <w:r>
        <w:t>Cargar</w:t>
      </w:r>
      <w:r>
        <w:t xml:space="preserve"> comprueba el archivo, lee, recorre, hace </w:t>
      </w:r>
      <w:r>
        <w:t>Split</w:t>
      </w:r>
      <w:r>
        <w:t>, convierte, agrega y devuelve el mensaje; mantiene el manejo de errores actual. Productos conserva el selector de creadores. Clientes construye el convenio opcional de SC-3 y admite las filas antiguas de cuatro campos. No tiene relación directa con Composite.</w:t>
      </w:r>
    </w:p>
    <w:p>
      <w:pPr>
        <w:pStyle w:val="FichaHeading"/>
      </w:pPr>
      <w:r>
        <w:t>Impacto</w:t>
      </w:r>
    </w:p>
    <w:p>
      <w:pPr>
        <w:pStyle w:val="FichaBody"/>
      </w:pPr>
      <w:r>
        <w:t xml:space="preserve">Se crea una clase base y se modifican tres cargadores. </w:t>
      </w:r>
      <w:r>
        <w:t>CargadorClientesTxt</w:t>
      </w:r>
      <w:r>
        <w:t xml:space="preserve"> participa también en SC-3, pero se cuenta una sola vez en la tabla. Se conservan los mensajes de carga, el comportamiento de SC-1 y la venta normal. No se implementa SC-2. Un ajuste común posterior se realiza en la base.</w:t>
      </w:r>
    </w:p>
    <w:p>
      <w:pPr>
        <w:pStyle w:val="FichaHeading"/>
      </w:pPr>
      <w:r>
        <w:t>Qué cuesta</w:t>
      </w:r>
    </w:p>
    <w:p>
      <w:pPr>
        <w:pStyle w:val="FichaBody"/>
      </w:pPr>
      <w:r>
        <w:t>La herencia obliga a leer base y subclase y hace que un cambio común afecte a los tres cargadores. Todos los pasos especializados deben ser cumplibles; no se introducen implementaciones vacías. La función genérica sigue siendo una alternativa técnicamente válida; la preferencia por herencia es una decisión explícita de organización.</w:t>
      </w:r>
    </w:p>
    <w:p>
      <w:pPr>
        <w:pStyle w:val="FichaHeading"/>
      </w:pPr>
      <w:r>
        <w:t>Origen</w:t>
      </w:r>
    </w:p>
    <w:p>
      <w:pPr>
        <w:pStyle w:val="FichaBody"/>
      </w:pPr>
      <w:r>
        <w:t>B-08 registra la aceptación del equipo. Esta revisión asistida corrige el descarte de la utilidad estática; la precisión debe reflejarse en la bitácora en preparación.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le">
    <w:name w:val="FichaTitle"/>
    <w:pPr>
      <w:keepNext/>
      <w:widowControl/>
      <w:spacing w:before="0" w:after="160" w:line="259" w:lineRule="auto"/>
    </w:pPr>
    <w:rPr>
      <w:rFonts w:ascii="Calibri" w:hAnsi="Calibri"/>
      <w:b/>
      <w:color w:val="2E74B5"/>
      <w:sz w:val="32"/>
    </w:rPr>
  </w:style>
  <w:style w:type="paragraph" w:customStyle="1" w:styleId="FichaHeading">
    <w:name w:val="FichaHeading"/>
    <w:pPr>
      <w:keepNext/>
      <w:widowControl/>
      <w:spacing w:before="140" w:after="40" w:line="259" w:lineRule="auto"/>
    </w:pPr>
    <w:rPr>
      <w:rFonts w:ascii="Calibri" w:hAnsi="Calibri"/>
      <w:b/>
      <w:color w:val="2E74B5"/>
      <w:sz w:val="22"/>
    </w:rPr>
  </w:style>
  <w:style w:type="paragraph" w:customStyle="1" w:styleId="FichaBody">
    <w:name w:val="FichaBody"/>
    <w:pPr>
      <w:widowControl/>
      <w:spacing w:before="0" w:after="80" w:line="259" w:lineRule="auto"/>
    </w:pPr>
    <w:rPr>
      <w:rFonts w:ascii="Calibri" w:hAnsi="Calibri"/>
      <w:b w:val="0"/>
      <w:color w:val="22222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