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30793fd67e19f8e3053da422f79d33b9170fa31"/>
    <w:p>
      <w:pPr>
        <w:pStyle w:val="Heading1"/>
      </w:pPr>
      <w:r>
        <w:t xml:space="preserve">Parte teórica — Reto de Modernización Arquitectónica SOLID</w:t>
      </w:r>
    </w:p>
    <w:p>
      <w:pPr>
        <w:pStyle w:val="FirstParagraph"/>
      </w:pPr>
      <w:r>
        <w:t xml:space="preserve">Carpeta de la parte teórica del entregable del reto</w:t>
      </w:r>
      <w:r>
        <w:t xml:space="preserve"> </w:t>
      </w:r>
      <w:r>
        <w:rPr>
          <w:b/>
          <w:bCs/>
        </w:rPr>
        <w:t xml:space="preserve">“Modernización arquitectónica de un sistema corporativo heredado”</w:t>
      </w:r>
      <w:r>
        <w:t xml:space="preserve"> </w:t>
      </w:r>
      <w:r>
        <w:t xml:space="preserve">(Arquitectura de Software). Aquí está lo que el código por sí solo no demuestra: la evidencia de que la conducta observable se conservó, la métrica de la solicitud de cambio y la bitácora de uso de la IA. Los documentos van en Word; las salidas de los casos de caracterización quedan como texto, porque son la evidencia tal como salió de la consola.</w:t>
      </w:r>
    </w:p>
    <w:p>
      <w:pPr>
        <w:pStyle w:val="BodyText"/>
      </w:pPr>
      <w:r>
        <w:rPr>
          <w:b/>
          <w:bCs/>
        </w:rPr>
        <w:t xml:space="preserve">Restricción dura del reto:</w:t>
      </w:r>
      <w:r>
        <w:t xml:space="preserve"> </w:t>
      </w:r>
      <w:r>
        <w:t xml:space="preserve">el comportamiento observable del sistema no puede cambiar; solo cambia la estructura interna. La única excepción es la solicitud de cambio autorizada que se implementó (SC-1).</w:t>
      </w:r>
    </w:p>
    <w:bookmarkStart w:id="9" w:name="t1.-contenido-de-esta-carpeta"/>
    <w:p>
      <w:pPr>
        <w:pStyle w:val="Heading2"/>
      </w:pPr>
      <w:r>
        <w:t xml:space="preserve">T1. Contenido de esta carpeta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README.docx</w:t>
            </w:r>
          </w:p>
        </w:tc>
        <w:tc>
          <w:tcPr/>
          <w:p>
            <w:pPr>
              <w:pStyle w:val="Compact"/>
            </w:pPr>
            <w:r>
              <w:t xml:space="preserve">Este documento: roles, instrucciones de ejecución y enlace al 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Bitacora_Uso_IA.docx</w:t>
            </w:r>
          </w:p>
        </w:tc>
        <w:tc>
          <w:tcPr/>
          <w:p>
            <w:pPr>
              <w:pStyle w:val="Compact"/>
            </w:pPr>
            <w:r>
              <w:t xml:space="preserve">Bitácora de uso de IA (criterio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Metrica_SC1.docx</w:t>
            </w:r>
          </w:p>
        </w:tc>
        <w:tc>
          <w:tcPr/>
          <w:p>
            <w:pPr>
              <w:pStyle w:val="Compact"/>
            </w:pPr>
            <w:r>
              <w:t xml:space="preserve">Métrica antes/después de la SC-1 (criterio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Casos_de_Caracterizacion.docx</w:t>
            </w:r>
          </w:p>
        </w:tc>
        <w:tc>
          <w:tcPr/>
          <w:p>
            <w:pPr>
              <w:pStyle w:val="Compact"/>
            </w:pPr>
            <w:r>
              <w:t xml:space="preserve">12 casos de caracterización ejecutados contra ambos sistemas (criterio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salidas-original/</w:t>
            </w:r>
          </w:p>
        </w:tc>
        <w:tc>
          <w:tcPr/>
          <w:p>
            <w:pPr>
              <w:pStyle w:val="Compact"/>
            </w:pPr>
            <w:r>
              <w:t xml:space="preserve">Salidas del sistema original (AS-IS), CC-01…CC-12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salidas-redisenado/</w:t>
            </w:r>
          </w:p>
        </w:tc>
        <w:tc>
          <w:tcPr/>
          <w:p>
            <w:pPr>
              <w:pStyle w:val="Compact"/>
            </w:pPr>
            <w:r>
              <w:t xml:space="preserve">Salidas del sistema rediseñado (TO-BE), CC-01…CC-12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resumen-caracterizacion.csv</w:t>
            </w:r>
          </w:p>
        </w:tc>
        <w:tc>
          <w:tcPr/>
          <w:p>
            <w:pPr>
              <w:pStyle w:val="Compact"/>
            </w:pPr>
            <w:r>
              <w:t xml:space="preserve">Tabla de resultados: 12 de 12 idénticas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ejecutar-caracterizacion.ps1</w:t>
            </w:r>
          </w:p>
        </w:tc>
        <w:tc>
          <w:tcPr/>
          <w:p>
            <w:pPr>
              <w:pStyle w:val="Compact"/>
            </w:pPr>
            <w:r>
              <w:t xml:space="preserve">Script que reproduce la caracterización</w:t>
            </w:r>
          </w:p>
        </w:tc>
      </w:tr>
    </w:tbl>
    <w:bookmarkEnd w:id="9"/>
    <w:bookmarkStart w:id="10" w:name="t2.-roles-del-equipo"/>
    <w:p>
      <w:pPr>
        <w:pStyle w:val="Heading2"/>
      </w:pPr>
      <w:r>
        <w:t xml:space="preserve">T2. Roles del equipo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Integrante</w:t>
            </w:r>
          </w:p>
        </w:tc>
        <w:tc>
          <w:tcPr/>
          <w:p>
            <w:pPr>
              <w:pStyle w:val="Compact"/>
            </w:pPr>
            <w:r>
              <w:t xml:space="preserve">Responde 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Arquitecto de dominio</w:t>
            </w:r>
          </w:p>
        </w:tc>
        <w:tc>
          <w:tcPr/>
          <w:p>
            <w:pPr>
              <w:pStyle w:val="Compact"/>
            </w:pPr>
            <w:r>
              <w:t xml:space="preserve">Samuel Parra Cadavid</w:t>
            </w:r>
          </w:p>
        </w:tc>
        <w:tc>
          <w:tcPr/>
          <w:p>
            <w:pPr>
              <w:pStyle w:val="Compact"/>
            </w:pPr>
            <w:r>
              <w:t xml:space="preserve">Responsabilidades y límites de cada clase (SRP), modelo del dominio, jerarquías de herencia y su validez frente a LSP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Arquitecto de dependencias</w:t>
            </w:r>
          </w:p>
        </w:tc>
        <w:tc>
          <w:tcPr/>
          <w:p>
            <w:pPr>
              <w:pStyle w:val="Compact"/>
            </w:pPr>
            <w:r>
              <w:t xml:space="preserve">Jose Miguel Jaramillo Zuluaga</w:t>
            </w:r>
          </w:p>
        </w:tc>
        <w:tc>
          <w:tcPr/>
          <w:p>
            <w:pPr>
              <w:pStyle w:val="Compact"/>
            </w:pPr>
            <w:r>
              <w:t xml:space="preserve">Mapa de dependencias, abstracciones, inversión e inyección de dependencias, composition root (DIP, ISP)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Ingeniero de comportamiento</w:t>
            </w:r>
          </w:p>
        </w:tc>
        <w:tc>
          <w:tcPr/>
          <w:p>
            <w:pPr>
              <w:pStyle w:val="Compact"/>
            </w:pPr>
            <w:r>
              <w:t xml:space="preserve">Andres Felipe Martinez Velásquez</w:t>
            </w:r>
          </w:p>
        </w:tc>
        <w:tc>
          <w:tcPr/>
          <w:p>
            <w:pPr>
              <w:pStyle w:val="Compact"/>
            </w:pPr>
            <w:r>
              <w:t xml:space="preserve">Pruebas de caracterización, evidencia de que la conducta observable se preservó, escenarios de ejecución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Integrador y evidencia</w:t>
            </w:r>
          </w:p>
        </w:tc>
        <w:tc>
          <w:tcPr/>
          <w:p>
            <w:pPr>
              <w:pStyle w:val="Compact"/>
            </w:pPr>
            <w:r>
              <w:t xml:space="preserve">Juan Jose Garcia</w:t>
            </w:r>
          </w:p>
        </w:tc>
        <w:tc>
          <w:tcPr/>
          <w:p>
            <w:pPr>
              <w:pStyle w:val="Compact"/>
            </w:pPr>
            <w:r>
              <w:t xml:space="preserve">Consistencia diagrama–código, estructura del entregable, bitácora de uso de IA, métricas antes/después</w:t>
            </w:r>
          </w:p>
        </w:tc>
      </w:tr>
    </w:tbl>
    <w:bookmarkEnd w:id="10"/>
    <w:bookmarkStart w:id="11" w:name="cómo-ejecutar-ambos-sistemas"/>
    <w:p>
      <w:pPr>
        <w:pStyle w:val="Heading2"/>
      </w:pPr>
      <w:r>
        <w:t xml:space="preserve">Cómo ejecutar ambos sistemas</w:t>
      </w:r>
    </w:p>
    <w:p>
      <w:pPr>
        <w:pStyle w:val="FirstParagraph"/>
      </w:pPr>
      <w:r>
        <w:t xml:space="preserve">Requiere .NET SDK (la solución apunta a</w:t>
      </w:r>
      <w:r>
        <w:t xml:space="preserve"> </w:t>
      </w:r>
      <w:r>
        <w:rPr>
          <w:rStyle w:val="VerbatimChar"/>
        </w:rPr>
        <w:t xml:space="preserve">net8.0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Sistema rediseñado: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"Trabajo Farmacia/04-src/AppFarmaciaConsola"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pStyle w:val="FirstParagraph"/>
      </w:pPr>
      <w:r>
        <w:rPr>
          <w:b/>
          <w:bCs/>
        </w:rPr>
        <w:t xml:space="preserve">Sistema original (para comparar):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"Codigo_No_Modificado/AppFarmaciaConsola"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Credenciales: usuario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contraseña</w:t>
      </w:r>
      <w:r>
        <w:t xml:space="preserve"> </w:t>
      </w:r>
      <w:r>
        <w:rPr>
          <w:rStyle w:val="VerbatimChar"/>
        </w:rPr>
        <w:t xml:space="preserve">1234</w:t>
      </w:r>
      <w:r>
        <w:t xml:space="preserve">.</w:t>
      </w:r>
    </w:p>
    <w:p>
      <w:pPr>
        <w:pStyle w:val="BodyText"/>
      </w:pPr>
      <w:r>
        <w:t xml:space="preserve">Tres detalles que hacen fallar la ejecución si se ignoran: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Ejecutar desde la carpeta del proyecto de consola.</w:t>
      </w:r>
      <w:r>
        <w:t xml:space="preserve"> </w:t>
      </w:r>
      <w:r>
        <w:t xml:space="preserve">Los archivos</w:t>
      </w:r>
      <w:r>
        <w:t xml:space="preserve"> </w:t>
      </w:r>
      <w:r>
        <w:rPr>
          <w:rStyle w:val="VerbatimChar"/>
        </w:rPr>
        <w:t xml:space="preserve">productos.txt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clientes.txt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usuarios.txt</w:t>
      </w:r>
      <w:r>
        <w:t xml:space="preserve"> </w:t>
      </w:r>
      <w:r>
        <w:t xml:space="preserve">se leen con rutas relativas al directorio de trabajo. Desde otra carpeta salen tres</w:t>
      </w:r>
      <w:r>
        <w:t xml:space="preserve"> </w:t>
      </w:r>
      <w:r>
        <w:t xml:space="preserve">“Archivo no encontrado”</w:t>
      </w:r>
      <w:r>
        <w:t xml:space="preserve">. Este comportamiento es del sistema original y se conservó a propósito.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 la máquina solo tiene .NET 10</w:t>
      </w:r>
      <w:r>
        <w:t xml:space="preserve">, compila pero no ejecuta. Solución:</w:t>
      </w:r>
      <w:r>
        <w:t xml:space="preserve"> </w:t>
      </w:r>
      <w:r>
        <w:rPr>
          <w:rStyle w:val="VerbatimChar"/>
        </w:rPr>
        <w:t xml:space="preserve">$env:DOTNET_ROLL_FORWARD = "Major"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export DOTNET_ROLL_FORWARD=Major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Usar una ruta corta.</w:t>
      </w:r>
      <w:r>
        <w:t xml:space="preserve"> </w:t>
      </w:r>
      <w:r>
        <w:t xml:space="preserve">Windows corta en 260 caracteres y la ruta del ejecutable es larga. Conviene clonar en</w:t>
      </w:r>
      <w:r>
        <w:t xml:space="preserve"> </w:t>
      </w:r>
      <w:r>
        <w:rPr>
          <w:rStyle w:val="VerbatimChar"/>
        </w:rPr>
        <w:t xml:space="preserve">C:\</w:t>
      </w:r>
      <w:r>
        <w:t xml:space="preserve"> </w:t>
      </w:r>
      <w:r>
        <w:t xml:space="preserve">y no en carpetas anidadas.</w:t>
      </w:r>
    </w:p>
    <w:bookmarkEnd w:id="11"/>
    <w:bookmarkStart w:id="12" w:name="X7c7a51d8a89d2e27d334bffc6b13e3a870df000"/>
    <w:p>
      <w:pPr>
        <w:pStyle w:val="Heading2"/>
      </w:pPr>
      <w:r>
        <w:t xml:space="preserve">Estructura del repositorio y equivalencia con la sección 9</w:t>
      </w:r>
    </w:p>
    <w:p>
      <w:pPr>
        <w:pStyle w:val="FirstParagraph"/>
      </w:pPr>
      <w:r>
        <w:t xml:space="preserve">La sección 9 del enunciado pide cinco carpetas y un README. El repositorio conserva la numeración por fase; esta tabla es la equivalencia, para que no se dé por faltante algo que sí está entregado: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 enunciado pide</w:t>
            </w:r>
          </w:p>
        </w:tc>
        <w:tc>
          <w:tcPr/>
          <w:p>
            <w:pPr>
              <w:pStyle w:val="Compact"/>
            </w:pPr>
            <w:r>
              <w:t xml:space="preserve">Está 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/00-lectura-en-frio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Trabajo Farmacia/0-Lectura En Frio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/01-diagnostico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Trabajo Farmacia/01-diagnostico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Trabajo Farmacia/02-Cambios Que Vienen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/02-diseno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Trabajo Farmacia/03-diseno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/03-src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Trabajo Farmacia/04-src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/04-evidencia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parte teorica/</w:t>
            </w:r>
            <w:r>
              <w:t xml:space="preserve"> </w:t>
            </w:r>
            <w:r>
              <w:t xml:space="preserve">(esta carpeta)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parte teorica/README.docx</w:t>
            </w:r>
          </w:p>
        </w:tc>
      </w:tr>
    </w:tbl>
    <w:bookmarkEnd w:id="12"/>
    <w:bookmarkStart w:id="13" w:name="solicitud-de-cambio-implementada"/>
    <w:p>
      <w:pPr>
        <w:pStyle w:val="Heading2"/>
      </w:pPr>
      <w:r>
        <w:t xml:space="preserve">Solicitud de cambio implementada</w:t>
      </w:r>
    </w:p>
    <w:p>
      <w:pPr>
        <w:pStyle w:val="FirstParagraph"/>
      </w:pPr>
      <w:r>
        <w:rPr>
          <w:b/>
          <w:bCs/>
        </w:rPr>
        <w:t xml:space="preserve">SC-1: vender cosméticos y productos comestibles.</w:t>
      </w:r>
      <w:r>
        <w:t xml:space="preserve"> </w:t>
      </w:r>
      <w:r>
        <w:t xml:space="preserve">El inventario carga 17 productos —10 medicamentos, 3 cosméticos y 4 comestibles— desde un único</w:t>
      </w:r>
      <w:r>
        <w:t xml:space="preserve"> </w:t>
      </w:r>
      <w:r>
        <w:rPr>
          <w:rStyle w:val="VerbatimChar"/>
        </w:rPr>
        <w:t xml:space="preserve">productos.txt</w:t>
      </w:r>
      <w:r>
        <w:t xml:space="preserve"> </w:t>
      </w:r>
      <w:r>
        <w:t xml:space="preserve">con discriminador de tipo.</w:t>
      </w:r>
    </w:p>
    <w:p>
      <w:pPr>
        <w:pStyle w:val="BodyText"/>
      </w:pPr>
      <w:r>
        <w:t xml:space="preserve">Métrica:</w:t>
      </w:r>
      <w:r>
        <w:t xml:space="preserve"> </w:t>
      </w:r>
      <w:r>
        <w:rPr>
          <w:b/>
          <w:bCs/>
        </w:rPr>
        <w:t xml:space="preserve">0 clases modificadas</w:t>
      </w:r>
      <w:r>
        <w:t xml:space="preserve"> </w:t>
      </w:r>
      <w:r>
        <w:t xml:space="preserve">frente a 1-2 en la arquitectura original. Detalle en</w:t>
      </w:r>
      <w:r>
        <w:t xml:space="preserve"> </w:t>
      </w:r>
      <w:r>
        <w:rPr>
          <w:rStyle w:val="VerbatimChar"/>
        </w:rPr>
        <w:t xml:space="preserve">Metrica_SC1.docx</w:t>
      </w:r>
      <w:r>
        <w:t xml:space="preserve">.</w:t>
      </w:r>
    </w:p>
    <w:bookmarkEnd w:id="13"/>
    <w:bookmarkStart w:id="14" w:name="video-de-sustentación"/>
    <w:p>
      <w:pPr>
        <w:pStyle w:val="Heading2"/>
      </w:pPr>
      <w:r>
        <w:t xml:space="preserve">Video de sustentación</w:t>
      </w:r>
    </w:p>
    <w:p>
      <w:pPr>
        <w:pStyle w:val="FirstParagraph"/>
      </w:pPr>
      <w:r>
        <w:rPr>
          <w:b/>
          <w:bCs/>
        </w:rPr>
        <w:t xml:space="preserve">Enlace:</w:t>
      </w:r>
      <w:r>
        <w:t xml:space="preserve"> </w:t>
      </w:r>
      <w:r>
        <w:rPr>
          <w:i/>
          <w:iCs/>
        </w:rPr>
        <w:t xml:space="preserve">(completar antes de entregar — máximo 20 minutos, compartido por enlace, no adjunto)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2026-08-10T00:58:11Z</dcterms:created>
  <dcterms:modified xsi:type="dcterms:W3CDTF">2026-08-10T00:58:11Z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