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71BD" w14:textId="77777777" w:rsidR="005E5590" w:rsidRDefault="00000000">
      <w:pPr>
        <w:pStyle w:val="Ttulo1"/>
      </w:pPr>
      <w:bookmarkStart w:id="0" w:name="bitácora-de-uso-de-ia"/>
      <w:r>
        <w:t>Bitácora de uso de IA</w:t>
      </w:r>
    </w:p>
    <w:p w14:paraId="65901BC0" w14:textId="77777777" w:rsidR="005E5590" w:rsidRDefault="00000000">
      <w:pPr>
        <w:pStyle w:val="Textodebloque"/>
      </w:pPr>
      <w:r>
        <w:t>Entregable exigido por la Fase 4. Su ausencia califica el criterio 6 en 0.0 (sección 10 de la rúbrica). Se evalúa la calidad del juicio, no la cantidad de registros.</w:t>
      </w:r>
    </w:p>
    <w:p w14:paraId="64858883" w14:textId="77777777" w:rsidR="005E5590" w:rsidRDefault="00000000">
      <w:pPr>
        <w:pStyle w:val="Ttulo2"/>
      </w:pPr>
      <w:bookmarkStart w:id="1" w:name="herramienta-y-regla-de-uso"/>
      <w:r>
        <w:t>Herramienta y regla de uso</w:t>
      </w:r>
    </w:p>
    <w:p w14:paraId="71D2FBC7" w14:textId="77777777" w:rsidR="005E5590" w:rsidRDefault="00000000">
      <w:pPr>
        <w:pStyle w:val="FirstParagraph"/>
      </w:pPr>
      <w:r>
        <w:t>Trabajamos con GitHub Copilot en Visual Studio Code, con el agente personalizado “Arquitectura” y sus skills SOLID, y con asistentes de línea de comandos para el análisis del código y la generación de los diagramas.</w:t>
      </w:r>
    </w:p>
    <w:p w14:paraId="4611FA9A" w14:textId="77777777" w:rsidR="005E5590" w:rsidRDefault="00000000">
      <w:pPr>
        <w:pStyle w:val="Textoindependiente"/>
      </w:pPr>
      <w:r>
        <w:t>La regla que nos pusimos desde el principio fue simple: primero se lee y se entiende el código, y después se le pregunta a la herramienta. Ninguna propuesta suya se aceptó sin verificarla contra el código; las que no resistían la verificación se rechazaron con argumento por escrito. No fue un proceso de aceptar casi todo: de doce propuestas, siete terminaron rechazadas o corregidas.</w:t>
      </w:r>
    </w:p>
    <w:p w14:paraId="3AC7C2C8" w14:textId="77777777" w:rsidR="005E5590" w:rsidRDefault="00000000">
      <w:pPr>
        <w:pStyle w:val="Ttulo2"/>
      </w:pPr>
      <w:bookmarkStart w:id="2" w:name="Xc24ba6b41eb3b1e341f44b95f37df9839895fbe"/>
      <w:bookmarkEnd w:id="1"/>
      <w:r>
        <w:t>T1. Propuestas de la herramienta y decisiones del equipo</w:t>
      </w:r>
    </w:p>
    <w:p w14:paraId="1C884E85" w14:textId="77777777" w:rsidR="005E5590" w:rsidRDefault="00000000">
      <w:pPr>
        <w:pStyle w:val="FirstParagraph"/>
      </w:pPr>
      <w:r>
        <w:t>Cada fila es una propuesta concreta de la herramienta y lo que el equipo hizo con ella.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5E5590" w14:paraId="3FD3190E" w14:textId="77777777" w:rsidTr="00937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34391251" w14:textId="4118337A" w:rsidR="005E5590" w:rsidRDefault="005E5590">
            <w:pPr>
              <w:pStyle w:val="Compact"/>
            </w:pP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C808AA4" w14:textId="77777777" w:rsidR="005E5590" w:rsidRDefault="00000000">
            <w:pPr>
              <w:pStyle w:val="Compact"/>
            </w:pPr>
            <w:r>
              <w:t>Qué propuso la herramienta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A53678E" w14:textId="77777777" w:rsidR="005E5590" w:rsidRDefault="00000000">
            <w:pPr>
              <w:pStyle w:val="Compact"/>
            </w:pPr>
            <w:r>
              <w:t>Decisión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CB89259" w14:textId="77777777" w:rsidR="005E5590" w:rsidRDefault="00000000">
            <w:pPr>
              <w:pStyle w:val="Compact"/>
            </w:pPr>
            <w:r>
              <w:t>Argumento del equipo</w:t>
            </w:r>
          </w:p>
        </w:tc>
      </w:tr>
      <w:tr w:rsidR="005E5590" w14:paraId="47F99B2B" w14:textId="77777777" w:rsidTr="00937068">
        <w:tc>
          <w:tcPr>
            <w:tcW w:w="1980" w:type="dxa"/>
          </w:tcPr>
          <w:p w14:paraId="2074F4D2" w14:textId="77777777" w:rsidR="005E5590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1E0E1BF" w14:textId="77777777" w:rsidR="005E5590" w:rsidRDefault="00000000">
            <w:pPr>
              <w:pStyle w:val="Compact"/>
            </w:pPr>
            <w:r>
              <w:t xml:space="preserve">Usar </w:t>
            </w:r>
            <w:r>
              <w:rPr>
                <w:rStyle w:val="VerbatimChar"/>
              </w:rPr>
              <w:t>ProductoFactory</w:t>
            </w:r>
            <w:r>
              <w:t xml:space="preserve"> dentro de </w:t>
            </w:r>
            <w:r>
              <w:rPr>
                <w:rStyle w:val="VerbatimChar"/>
              </w:rPr>
              <w:t>ServicioProducto.CargarDesdeArchivo</w:t>
            </w:r>
            <w:r>
              <w:t xml:space="preserve"> para centralizar la creación</w:t>
            </w:r>
          </w:p>
        </w:tc>
        <w:tc>
          <w:tcPr>
            <w:tcW w:w="1980" w:type="dxa"/>
          </w:tcPr>
          <w:p w14:paraId="6B4144D6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1980" w:type="dxa"/>
          </w:tcPr>
          <w:p w14:paraId="41FAA786" w14:textId="77777777" w:rsidR="005E5590" w:rsidRDefault="00000000">
            <w:pPr>
              <w:pStyle w:val="Compact"/>
            </w:pPr>
            <w:r>
              <w:t xml:space="preserve">La factory fija </w:t>
            </w:r>
            <w:r>
              <w:rPr>
                <w:rStyle w:val="VerbatimChar"/>
              </w:rPr>
              <w:t>StockMinimo = 5</w:t>
            </w:r>
            <w:r>
              <w:t xml:space="preserve"> (L23) y </w:t>
            </w:r>
            <w:r>
              <w:rPr>
                <w:rStyle w:val="VerbatimChar"/>
              </w:rPr>
              <w:t>FechaVencimiento = Now.AddMonths(6)</w:t>
            </w:r>
            <w:r>
              <w:t xml:space="preserve"> (L24), mientras el método actual los lee del archivo (L103-104). Cambiar la creación alteraría las alertas de stock y vencimiento, es decir, la conducta observable, que la restricción dura prohíbe. Además es código muerto: conectarlo no </w:t>
            </w:r>
            <w:r>
              <w:lastRenderedPageBreak/>
              <w:t>resuelve ningún punto de dolor. Queda como R-01 del diagnóstico</w:t>
            </w:r>
          </w:p>
        </w:tc>
      </w:tr>
      <w:tr w:rsidR="005E5590" w14:paraId="225C8114" w14:textId="77777777" w:rsidTr="00937068">
        <w:tc>
          <w:tcPr>
            <w:tcW w:w="1980" w:type="dxa"/>
          </w:tcPr>
          <w:p w14:paraId="4DC29224" w14:textId="77777777" w:rsidR="005E5590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980" w:type="dxa"/>
          </w:tcPr>
          <w:p w14:paraId="3C6D60E5" w14:textId="77777777" w:rsidR="005E5590" w:rsidRDefault="00000000">
            <w:pPr>
              <w:pStyle w:val="Compact"/>
            </w:pPr>
            <w:r>
              <w:t xml:space="preserve">Ampliar </w:t>
            </w:r>
            <w:r>
              <w:rPr>
                <w:rStyle w:val="VerbatimChar"/>
              </w:rPr>
              <w:t>DatosProducto</w:t>
            </w:r>
            <w:r>
              <w:t xml:space="preserve"> con </w:t>
            </w:r>
            <w:r>
              <w:rPr>
                <w:rStyle w:val="VerbatimChar"/>
              </w:rPr>
              <w:t>Marca</w:t>
            </w:r>
            <w:r>
              <w:t xml:space="preserve">, </w:t>
            </w:r>
            <w:r>
              <w:rPr>
                <w:rStyle w:val="VerbatimChar"/>
              </w:rPr>
              <w:t>Presentacion</w:t>
            </w:r>
            <w:r>
              <w:t xml:space="preserve"> y </w:t>
            </w:r>
            <w:r>
              <w:rPr>
                <w:rStyle w:val="VerbatimChar"/>
              </w:rPr>
              <w:t>Categoria</w:t>
            </w:r>
            <w:r>
              <w:t xml:space="preserve"> para que los creadores de SC-1 pudieran construir sus objetos</w:t>
            </w:r>
          </w:p>
        </w:tc>
        <w:tc>
          <w:tcPr>
            <w:tcW w:w="1980" w:type="dxa"/>
          </w:tcPr>
          <w:p w14:paraId="4B2B07A9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1980" w:type="dxa"/>
          </w:tcPr>
          <w:p w14:paraId="4CD1A966" w14:textId="77777777" w:rsidR="005E5590" w:rsidRDefault="00000000">
            <w:pPr>
              <w:pStyle w:val="Compact"/>
            </w:pPr>
            <w:r>
              <w:t xml:space="preserve">Convertiría el DTO en la unión de los campos de todos los tipos: cada producto nuevo obligaría a modificarlo. Es el defecto H-06 movido del cargador al DTO. La métrica del criterio 5 habría quedado en 1 clase modificada en vez de 0, incumpliendo los criterios de aceptación 1 y 5 del propio ADR-006. Se adoptó </w:t>
            </w:r>
            <w:r>
              <w:rPr>
                <w:rStyle w:val="VerbatimChar"/>
              </w:rPr>
              <w:t>Extra: IReadOnlyList&lt;string&gt;</w:t>
            </w:r>
            <w:r>
              <w:t>, donde cada creador interpreta solo sus columnas</w:t>
            </w:r>
          </w:p>
        </w:tc>
      </w:tr>
      <w:tr w:rsidR="005E5590" w14:paraId="671E2785" w14:textId="77777777" w:rsidTr="00937068">
        <w:tc>
          <w:tcPr>
            <w:tcW w:w="1980" w:type="dxa"/>
          </w:tcPr>
          <w:p w14:paraId="51D099A2" w14:textId="77777777" w:rsidR="005E5590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4AA2ACA0" w14:textId="77777777" w:rsidR="005E5590" w:rsidRDefault="00000000">
            <w:pPr>
              <w:pStyle w:val="Compact"/>
            </w:pPr>
            <w:r>
              <w:t>Agregar validación de stock disponible antes de descontar, para corregir el inventario negativo</w:t>
            </w:r>
          </w:p>
        </w:tc>
        <w:tc>
          <w:tcPr>
            <w:tcW w:w="1980" w:type="dxa"/>
          </w:tcPr>
          <w:p w14:paraId="5DC5489F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1980" w:type="dxa"/>
          </w:tcPr>
          <w:p w14:paraId="747FD513" w14:textId="77777777" w:rsidR="005E5590" w:rsidRDefault="00000000">
            <w:pPr>
              <w:pStyle w:val="Compact"/>
            </w:pPr>
            <w:r>
              <w:t xml:space="preserve">Es el hallazgo H-07 y es un defecto real, pero corregirlo cambia una regla de negocio. La restricción dura lo prohíbe explícitamente y la penalización es de 0.5 por caso. Se documenta como deuda técnica consciente y se usa </w:t>
            </w:r>
            <w:r>
              <w:lastRenderedPageBreak/>
              <w:t>como caso de caracterización CC-09</w:t>
            </w:r>
          </w:p>
        </w:tc>
      </w:tr>
      <w:tr w:rsidR="005E5590" w14:paraId="43ED9A93" w14:textId="77777777" w:rsidTr="00937068">
        <w:tc>
          <w:tcPr>
            <w:tcW w:w="1980" w:type="dxa"/>
          </w:tcPr>
          <w:p w14:paraId="0ADF0FA2" w14:textId="77777777" w:rsidR="005E5590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1980" w:type="dxa"/>
          </w:tcPr>
          <w:p w14:paraId="2A676610" w14:textId="77777777" w:rsidR="005E5590" w:rsidRDefault="00000000">
            <w:pPr>
              <w:pStyle w:val="Compact"/>
            </w:pPr>
            <w:r>
              <w:t>Agregar al menú una opción para dar de alta productos</w:t>
            </w:r>
          </w:p>
        </w:tc>
        <w:tc>
          <w:tcPr>
            <w:tcW w:w="1980" w:type="dxa"/>
          </w:tcPr>
          <w:p w14:paraId="5BC32DBB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1980" w:type="dxa"/>
          </w:tcPr>
          <w:p w14:paraId="69BE486E" w14:textId="77777777" w:rsidR="005E5590" w:rsidRDefault="00000000">
            <w:pPr>
              <w:pStyle w:val="Compact"/>
            </w:pPr>
            <w:r>
              <w:t>Ninguna solicitud de cambio la pide. Sería funcionalidad nueva, no rediseño, y alteraría la conducta observable. El sistema original solo carga productos desde el archivo al arrancar</w:t>
            </w:r>
          </w:p>
        </w:tc>
      </w:tr>
      <w:tr w:rsidR="005E5590" w14:paraId="505653F0" w14:textId="77777777" w:rsidTr="00937068">
        <w:tc>
          <w:tcPr>
            <w:tcW w:w="1980" w:type="dxa"/>
          </w:tcPr>
          <w:p w14:paraId="0D4FC17D" w14:textId="77777777" w:rsidR="005E5590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47BE81D8" w14:textId="77777777" w:rsidR="005E5590" w:rsidRDefault="00000000">
            <w:pPr>
              <w:pStyle w:val="Compact"/>
            </w:pPr>
            <w:r>
              <w:t>Eliminar el código muerto (</w:t>
            </w:r>
            <w:r>
              <w:rPr>
                <w:rStyle w:val="VerbatimChar"/>
              </w:rPr>
              <w:t>ProductoFactory</w:t>
            </w:r>
            <w:r>
              <w:t xml:space="preserve">, </w:t>
            </w:r>
            <w:r>
              <w:rPr>
                <w:rStyle w:val="VerbatimChar"/>
              </w:rPr>
              <w:t>AspectoValidacion</w:t>
            </w:r>
            <w:r>
              <w:t xml:space="preserve">, </w:t>
            </w:r>
            <w:r>
              <w:rPr>
                <w:rStyle w:val="VerbatimChar"/>
              </w:rPr>
              <w:t>ServicioDescuento</w:t>
            </w:r>
            <w:r>
              <w:t xml:space="preserve">, </w:t>
            </w:r>
            <w:r>
              <w:rPr>
                <w:rStyle w:val="VerbatimChar"/>
              </w:rPr>
              <w:t>ServicioNotificacion</w:t>
            </w:r>
            <w:r>
              <w:t xml:space="preserve"> y sus dos interfaces)</w:t>
            </w:r>
          </w:p>
        </w:tc>
        <w:tc>
          <w:tcPr>
            <w:tcW w:w="1980" w:type="dxa"/>
          </w:tcPr>
          <w:p w14:paraId="72882677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1980" w:type="dxa"/>
          </w:tcPr>
          <w:p w14:paraId="6C388BC1" w14:textId="77777777" w:rsidR="005E5590" w:rsidRDefault="00000000">
            <w:pPr>
              <w:pStyle w:val="Compact"/>
            </w:pPr>
            <w:r>
              <w:t>Borrarlo es un cambio que ningún punto de dolor exige y que ningún ADR respalda. Se documenta como H-08 y se conserva en negro en el TO-BE, declarado deuda técnica consciente. Es el límite deliberado al rediseño para evitar sobre-ingeniería</w:t>
            </w:r>
          </w:p>
        </w:tc>
      </w:tr>
      <w:tr w:rsidR="005E5590" w14:paraId="003CF76D" w14:textId="77777777" w:rsidTr="00937068">
        <w:tc>
          <w:tcPr>
            <w:tcW w:w="1980" w:type="dxa"/>
          </w:tcPr>
          <w:p w14:paraId="1ADEFC86" w14:textId="77777777" w:rsidR="005E5590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778A6E74" w14:textId="77777777" w:rsidR="005E5590" w:rsidRDefault="00000000">
            <w:pPr>
              <w:pStyle w:val="Compact"/>
            </w:pPr>
            <w:r>
              <w:t xml:space="preserve">Resolver la carga de varios tipos con un </w:t>
            </w:r>
            <w:r>
              <w:rPr>
                <w:rStyle w:val="VerbatimChar"/>
              </w:rPr>
              <w:t>if</w:t>
            </w:r>
            <w:r>
              <w:t>/</w:t>
            </w:r>
            <w:r>
              <w:rPr>
                <w:rStyle w:val="VerbatimChar"/>
              </w:rPr>
              <w:t>switch</w:t>
            </w:r>
            <w:r>
              <w:t xml:space="preserve"> por tipo dentro de </w:t>
            </w:r>
            <w:r>
              <w:rPr>
                <w:rStyle w:val="VerbatimChar"/>
              </w:rPr>
              <w:t>CargadorProductosTxt</w:t>
            </w:r>
          </w:p>
        </w:tc>
        <w:tc>
          <w:tcPr>
            <w:tcW w:w="1980" w:type="dxa"/>
          </w:tcPr>
          <w:p w14:paraId="14BC46D0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1980" w:type="dxa"/>
          </w:tcPr>
          <w:p w14:paraId="15F557FB" w14:textId="77777777" w:rsidR="005E5590" w:rsidRDefault="00000000">
            <w:pPr>
              <w:pStyle w:val="Compact"/>
            </w:pPr>
            <w:r>
              <w:t>Cada producto futuro volvería a modificar el cargador: es H-06 movido de sitio. Registrado como alternativa 1 descartada en ADR-006</w:t>
            </w:r>
          </w:p>
        </w:tc>
      </w:tr>
      <w:tr w:rsidR="005E5590" w14:paraId="0436AFC9" w14:textId="77777777" w:rsidTr="00937068">
        <w:tc>
          <w:tcPr>
            <w:tcW w:w="1980" w:type="dxa"/>
          </w:tcPr>
          <w:p w14:paraId="3DECCFC3" w14:textId="77777777" w:rsidR="005E5590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40EB4A67" w14:textId="77777777" w:rsidR="005E5590" w:rsidRDefault="00000000">
            <w:pPr>
              <w:pStyle w:val="Compact"/>
            </w:pPr>
            <w:r>
              <w:t xml:space="preserve">Un cargador TXT por cada tipo de </w:t>
            </w:r>
            <w:r>
              <w:lastRenderedPageBreak/>
              <w:t>producto</w:t>
            </w:r>
          </w:p>
        </w:tc>
        <w:tc>
          <w:tcPr>
            <w:tcW w:w="1980" w:type="dxa"/>
          </w:tcPr>
          <w:p w14:paraId="1D921C20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Rechazado</w:t>
            </w:r>
          </w:p>
        </w:tc>
        <w:tc>
          <w:tcPr>
            <w:tcW w:w="1980" w:type="dxa"/>
          </w:tcPr>
          <w:p w14:paraId="094DAEC7" w14:textId="77777777" w:rsidR="005E5590" w:rsidRDefault="00000000">
            <w:pPr>
              <w:pStyle w:val="Compact"/>
            </w:pPr>
            <w:r>
              <w:t xml:space="preserve">Duplicaría en cada cargador la lectura, </w:t>
            </w:r>
            <w:r>
              <w:lastRenderedPageBreak/>
              <w:t>el delimitador y las conversiones, que es justo la responsabilidad que ADR-002 acababa de concentrar en un solo sitio. Registrado como alternativa 2 descartada en ADR-006</w:t>
            </w:r>
          </w:p>
        </w:tc>
      </w:tr>
      <w:tr w:rsidR="005E5590" w14:paraId="5AE8A55A" w14:textId="77777777" w:rsidTr="00937068">
        <w:tc>
          <w:tcPr>
            <w:tcW w:w="1980" w:type="dxa"/>
          </w:tcPr>
          <w:p w14:paraId="41025AEE" w14:textId="77777777" w:rsidR="005E5590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1980" w:type="dxa"/>
          </w:tcPr>
          <w:p w14:paraId="12673D0C" w14:textId="77777777" w:rsidR="005E5590" w:rsidRDefault="00000000">
            <w:pPr>
              <w:pStyle w:val="Compact"/>
            </w:pPr>
            <w:r>
              <w:t xml:space="preserve">Colorear la jerarquía </w:t>
            </w:r>
            <w:r>
              <w:rPr>
                <w:rStyle w:val="VerbatimChar"/>
              </w:rPr>
              <w:t>Producto</w:t>
            </w:r>
            <w:r>
              <w:t xml:space="preserve"> con el color de LSP en el diagrama TO-BE</w:t>
            </w:r>
          </w:p>
        </w:tc>
        <w:tc>
          <w:tcPr>
            <w:tcW w:w="1980" w:type="dxa"/>
          </w:tcPr>
          <w:p w14:paraId="1D9DAE02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Corregido</w:t>
            </w:r>
          </w:p>
        </w:tc>
        <w:tc>
          <w:tcPr>
            <w:tcW w:w="1980" w:type="dxa"/>
          </w:tcPr>
          <w:p w14:paraId="4529427E" w14:textId="77777777" w:rsidR="005E5590" w:rsidRDefault="00000000">
            <w:pPr>
              <w:pStyle w:val="Compact"/>
            </w:pPr>
            <w:r>
              <w:t>LSP aquí no es una intervención sino una verificación que la jerarquía pasa, y por eso se conserva. Colorearla la haría leer como intervenida, contra la convención de que lo conservado va en negro. Se dejó en negro y LSP se acredita con una nota enlazada</w:t>
            </w:r>
          </w:p>
        </w:tc>
      </w:tr>
      <w:tr w:rsidR="005E5590" w14:paraId="5B32ACA7" w14:textId="77777777" w:rsidTr="00937068">
        <w:tc>
          <w:tcPr>
            <w:tcW w:w="1980" w:type="dxa"/>
          </w:tcPr>
          <w:p w14:paraId="2A1C55C6" w14:textId="77777777" w:rsidR="005E5590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1C134BDF" w14:textId="77777777" w:rsidR="005E5590" w:rsidRDefault="00000000">
            <w:pPr>
              <w:pStyle w:val="Compact"/>
            </w:pPr>
            <w:r>
              <w:t xml:space="preserve">Mostrar en </w:t>
            </w:r>
            <w:r>
              <w:rPr>
                <w:rStyle w:val="VerbatimChar"/>
              </w:rPr>
              <w:t>Cosmetico</w:t>
            </w:r>
            <w:r>
              <w:t xml:space="preserve"> y </w:t>
            </w:r>
            <w:r>
              <w:rPr>
                <w:rStyle w:val="VerbatimChar"/>
              </w:rPr>
              <w:t>Comestible</w:t>
            </w:r>
            <w:r>
              <w:t xml:space="preserve"> solo sus atributos propios</w:t>
            </w:r>
          </w:p>
        </w:tc>
        <w:tc>
          <w:tcPr>
            <w:tcW w:w="1980" w:type="dxa"/>
          </w:tcPr>
          <w:p w14:paraId="2B5273AB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Corregido</w:t>
            </w:r>
          </w:p>
        </w:tc>
        <w:tc>
          <w:tcPr>
            <w:tcW w:w="1980" w:type="dxa"/>
          </w:tcPr>
          <w:p w14:paraId="152C2FCE" w14:textId="77777777" w:rsidR="005E5590" w:rsidRDefault="00000000">
            <w:pPr>
              <w:pStyle w:val="Compact"/>
            </w:pPr>
            <w:r>
              <w:t xml:space="preserve">Sin </w:t>
            </w:r>
            <w:r>
              <w:rPr>
                <w:rStyle w:val="VerbatimChar"/>
              </w:rPr>
              <w:t>Stock</w:t>
            </w:r>
            <w:r>
              <w:t xml:space="preserve"> y </w:t>
            </w:r>
            <w:r>
              <w:rPr>
                <w:rStyle w:val="VerbatimChar"/>
              </w:rPr>
              <w:t>FechaVencimiento</w:t>
            </w:r>
            <w:r>
              <w:t xml:space="preserve"> visibles, el diagrama sugiere que el monitoreo no aplica a los tipos nuevos, lo contrario de lo que afirma la verificación LSP. Se añadieron los miembros heredados bajo un separador explícito</w:t>
            </w:r>
          </w:p>
        </w:tc>
      </w:tr>
      <w:tr w:rsidR="005E5590" w14:paraId="60311CB7" w14:textId="77777777" w:rsidTr="00937068">
        <w:tc>
          <w:tcPr>
            <w:tcW w:w="1980" w:type="dxa"/>
          </w:tcPr>
          <w:p w14:paraId="42167310" w14:textId="77777777" w:rsidR="005E5590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1980" w:type="dxa"/>
          </w:tcPr>
          <w:p w14:paraId="7248F1F8" w14:textId="77777777" w:rsidR="005E5590" w:rsidRDefault="00000000">
            <w:pPr>
              <w:pStyle w:val="Compact"/>
            </w:pPr>
            <w:r>
              <w:t>Reconstruir el diagrama TO-BE desde cero</w:t>
            </w:r>
          </w:p>
        </w:tc>
        <w:tc>
          <w:tcPr>
            <w:tcW w:w="1980" w:type="dxa"/>
          </w:tcPr>
          <w:p w14:paraId="7377AA08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Corregido</w:t>
            </w:r>
          </w:p>
        </w:tc>
        <w:tc>
          <w:tcPr>
            <w:tcW w:w="1980" w:type="dxa"/>
          </w:tcPr>
          <w:p w14:paraId="50C2E752" w14:textId="77777777" w:rsidR="005E5590" w:rsidRDefault="00000000">
            <w:pPr>
              <w:pStyle w:val="Compact"/>
            </w:pPr>
            <w:r>
              <w:t xml:space="preserve">Reconstruir a mano introdujo tres errores: atributos incompletos, enums olvidados y código muerto ausente. Se cambió el método: transformar el </w:t>
            </w:r>
            <w:r>
              <w:rPr>
                <w:rStyle w:val="VerbatimChar"/>
              </w:rPr>
              <w:t>.drawio</w:t>
            </w:r>
            <w:r>
              <w:t xml:space="preserve"> del AS-IS conservando cada caja en su posición. Así lo conservado es literalmente la misma caja y los dos diagramas se comparan lado a lado</w:t>
            </w:r>
          </w:p>
        </w:tc>
      </w:tr>
      <w:tr w:rsidR="005E5590" w14:paraId="6F0BDE77" w14:textId="77777777" w:rsidTr="00937068">
        <w:tc>
          <w:tcPr>
            <w:tcW w:w="1980" w:type="dxa"/>
          </w:tcPr>
          <w:p w14:paraId="57276FD9" w14:textId="77777777" w:rsidR="005E5590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1EFAA9BB" w14:textId="77777777" w:rsidR="005E5590" w:rsidRDefault="00000000">
            <w:pPr>
              <w:pStyle w:val="Compact"/>
            </w:pPr>
            <w:r>
              <w:t>Selector de creadores por clave resuelto en el composition root</w:t>
            </w:r>
          </w:p>
        </w:tc>
        <w:tc>
          <w:tcPr>
            <w:tcW w:w="1980" w:type="dxa"/>
          </w:tcPr>
          <w:p w14:paraId="114E32DE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Aceptado</w:t>
            </w:r>
          </w:p>
        </w:tc>
        <w:tc>
          <w:tcPr>
            <w:tcW w:w="1980" w:type="dxa"/>
          </w:tcPr>
          <w:p w14:paraId="00023084" w14:textId="77777777" w:rsidR="005E5590" w:rsidRDefault="00000000">
            <w:pPr>
              <w:pStyle w:val="Compact"/>
            </w:pPr>
            <w:r>
              <w:t>Es la única alternativa donde agregar un tipo no modifica ninguna clase: una clase de dominio, un creador y una línea de registro. Se aceptó el costo de una indirección más y de que un tipo mal escrito falle en ejecución. Es ADR-006</w:t>
            </w:r>
          </w:p>
        </w:tc>
      </w:tr>
      <w:tr w:rsidR="005E5590" w14:paraId="5418708A" w14:textId="77777777" w:rsidTr="00937068">
        <w:tc>
          <w:tcPr>
            <w:tcW w:w="1980" w:type="dxa"/>
          </w:tcPr>
          <w:p w14:paraId="35626302" w14:textId="77777777" w:rsidR="005E5590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1A7D1B05" w14:textId="77777777" w:rsidR="005E5590" w:rsidRDefault="00000000">
            <w:pPr>
              <w:pStyle w:val="Compact"/>
            </w:pPr>
            <w:r>
              <w:t xml:space="preserve">Tres interfaces de carga de una operación cada una en lugar de una </w:t>
            </w:r>
            <w:r>
              <w:rPr>
                <w:rStyle w:val="VerbatimChar"/>
              </w:rPr>
              <w:t>ICargador</w:t>
            </w:r>
            <w:r>
              <w:t xml:space="preserve"> general</w:t>
            </w:r>
          </w:p>
        </w:tc>
        <w:tc>
          <w:tcPr>
            <w:tcW w:w="1980" w:type="dxa"/>
          </w:tcPr>
          <w:p w14:paraId="4C8259BF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Aceptado</w:t>
            </w:r>
          </w:p>
        </w:tc>
        <w:tc>
          <w:tcPr>
            <w:tcW w:w="1980" w:type="dxa"/>
          </w:tcPr>
          <w:p w14:paraId="3FB9C070" w14:textId="77777777" w:rsidR="005E5590" w:rsidRDefault="00000000">
            <w:pPr>
              <w:pStyle w:val="Compact"/>
            </w:pPr>
            <w:r>
              <w:rPr>
                <w:rStyle w:val="VerbatimChar"/>
              </w:rPr>
              <w:t>ServicioUsuario</w:t>
            </w:r>
            <w:r>
              <w:t xml:space="preserve"> no tiene por qué conocer cómo se cargan los productos. Cada servicio depende solo de la capacidad que usa. </w:t>
            </w:r>
            <w:r>
              <w:lastRenderedPageBreak/>
              <w:t>Es la aplicación de ISP en ADR-002</w:t>
            </w:r>
          </w:p>
        </w:tc>
      </w:tr>
    </w:tbl>
    <w:p w14:paraId="48A22E88" w14:textId="77777777" w:rsidR="005E5590" w:rsidRDefault="00000000">
      <w:pPr>
        <w:pStyle w:val="Ttulo2"/>
      </w:pPr>
      <w:bookmarkStart w:id="3" w:name="t2.-balance-de-decisiones"/>
      <w:bookmarkEnd w:id="2"/>
      <w:r>
        <w:lastRenderedPageBreak/>
        <w:t>T2. Balance de decisiones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8"/>
        <w:gridCol w:w="1174"/>
      </w:tblGrid>
      <w:tr w:rsidR="005E5590" w14:paraId="2BBE61EB" w14:textId="77777777" w:rsidTr="005E5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DFED6D" w14:textId="77777777" w:rsidR="005E5590" w:rsidRDefault="00000000">
            <w:pPr>
              <w:pStyle w:val="Compact"/>
            </w:pPr>
            <w:r>
              <w:t>Decisión</w:t>
            </w:r>
          </w:p>
        </w:tc>
        <w:tc>
          <w:tcPr>
            <w:tcW w:w="0" w:type="auto"/>
          </w:tcPr>
          <w:p w14:paraId="79A43627" w14:textId="77777777" w:rsidR="005E5590" w:rsidRDefault="00000000">
            <w:pPr>
              <w:pStyle w:val="Compact"/>
            </w:pPr>
            <w:r>
              <w:t>Cantidad</w:t>
            </w:r>
          </w:p>
        </w:tc>
      </w:tr>
      <w:tr w:rsidR="005E5590" w14:paraId="59D80FE1" w14:textId="77777777">
        <w:tc>
          <w:tcPr>
            <w:tcW w:w="0" w:type="auto"/>
          </w:tcPr>
          <w:p w14:paraId="41BF2FA4" w14:textId="77777777" w:rsidR="005E5590" w:rsidRDefault="00000000">
            <w:pPr>
              <w:pStyle w:val="Compact"/>
            </w:pPr>
            <w:r>
              <w:t>Aceptado</w:t>
            </w:r>
          </w:p>
        </w:tc>
        <w:tc>
          <w:tcPr>
            <w:tcW w:w="0" w:type="auto"/>
          </w:tcPr>
          <w:p w14:paraId="5E93740D" w14:textId="77777777" w:rsidR="005E5590" w:rsidRDefault="00000000">
            <w:pPr>
              <w:pStyle w:val="Compact"/>
            </w:pPr>
            <w:r>
              <w:t>2</w:t>
            </w:r>
          </w:p>
        </w:tc>
      </w:tr>
      <w:tr w:rsidR="005E5590" w14:paraId="34A0632C" w14:textId="77777777">
        <w:tc>
          <w:tcPr>
            <w:tcW w:w="0" w:type="auto"/>
          </w:tcPr>
          <w:p w14:paraId="50E61FED" w14:textId="77777777" w:rsidR="005E5590" w:rsidRDefault="00000000">
            <w:pPr>
              <w:pStyle w:val="Compact"/>
            </w:pPr>
            <w:r>
              <w:t>Corregido</w:t>
            </w:r>
          </w:p>
        </w:tc>
        <w:tc>
          <w:tcPr>
            <w:tcW w:w="0" w:type="auto"/>
          </w:tcPr>
          <w:p w14:paraId="2763A43C" w14:textId="77777777" w:rsidR="005E5590" w:rsidRDefault="00000000">
            <w:pPr>
              <w:pStyle w:val="Compact"/>
            </w:pPr>
            <w:r>
              <w:t>3</w:t>
            </w:r>
          </w:p>
        </w:tc>
      </w:tr>
      <w:tr w:rsidR="005E5590" w14:paraId="181046E0" w14:textId="77777777">
        <w:tc>
          <w:tcPr>
            <w:tcW w:w="0" w:type="auto"/>
          </w:tcPr>
          <w:p w14:paraId="08094C81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Rechazado</w:t>
            </w:r>
          </w:p>
        </w:tc>
        <w:tc>
          <w:tcPr>
            <w:tcW w:w="0" w:type="auto"/>
          </w:tcPr>
          <w:p w14:paraId="67C8A935" w14:textId="77777777" w:rsidR="005E5590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</w:tr>
    </w:tbl>
    <w:p w14:paraId="437BB313" w14:textId="77777777" w:rsidR="005E5590" w:rsidRDefault="00000000">
      <w:pPr>
        <w:pStyle w:val="Ttulo2"/>
      </w:pPr>
      <w:bookmarkStart w:id="4" w:name="el-límite-deliberado-al-rediseño"/>
      <w:bookmarkEnd w:id="3"/>
      <w:r>
        <w:t>El límite deliberado al rediseño</w:t>
      </w:r>
    </w:p>
    <w:p w14:paraId="7B91C67A" w14:textId="77777777" w:rsidR="005E5590" w:rsidRDefault="00000000">
      <w:pPr>
        <w:pStyle w:val="FirstParagraph"/>
      </w:pPr>
      <w:r>
        <w:t xml:space="preserve">Tres cosas que la herramienta propuso y el equipo decidió </w:t>
      </w:r>
      <w:r>
        <w:rPr>
          <w:b/>
          <w:bCs/>
        </w:rPr>
        <w:t>no</w:t>
      </w:r>
      <w:r>
        <w:t xml:space="preserve"> hacer, no por falta de tiempo sino por criterio:</w:t>
      </w:r>
    </w:p>
    <w:p w14:paraId="227829B6" w14:textId="77777777" w:rsidR="005E55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corregir el stock negativo</w:t>
      </w:r>
      <w:r>
        <w:t xml:space="preserve"> (H-07), aunque es un defecto real: la restricción dura lo prohíbe.</w:t>
      </w:r>
    </w:p>
    <w:p w14:paraId="76E4FA77" w14:textId="77777777" w:rsidR="005E55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eliminar el código muerto</w:t>
      </w:r>
      <w:r>
        <w:t xml:space="preserve"> (H-08): ningún punto de dolor lo exige.</w:t>
      </w:r>
    </w:p>
    <w:p w14:paraId="49698EC8" w14:textId="77777777" w:rsidR="005E559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No introducir interfaces para </w:t>
      </w:r>
      <w:r>
        <w:rPr>
          <w:rStyle w:val="VerbatimChar"/>
          <w:b/>
          <w:bCs/>
        </w:rPr>
        <w:t>ServicioVenta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ServicioFidelizacion</w:t>
      </w:r>
      <w:r>
        <w:rPr>
          <w:b/>
          <w:bCs/>
        </w:rPr>
        <w:t xml:space="preserve"> ni </w:t>
      </w:r>
      <w:r>
        <w:rPr>
          <w:rStyle w:val="VerbatimChar"/>
          <w:b/>
          <w:bCs/>
        </w:rPr>
        <w:t>ServicioMonitoreoProductos</w:t>
      </w:r>
      <w:r>
        <w:t>: tienen una sola implementación y no hay ninguna solicitud de cambio que pida variarlas. Una interfaz con una sola implementación es sobre-ingeniería, no diseño.</w:t>
      </w:r>
    </w:p>
    <w:p w14:paraId="719769B1" w14:textId="77777777" w:rsidR="005E5590" w:rsidRDefault="00000000">
      <w:pPr>
        <w:pStyle w:val="FirstParagraph"/>
      </w:pPr>
      <w:r>
        <w:t>Los tres quedan documentados como deuda técnica consciente y se exponen en el video (minutos 17-20 del guion sugerido).</w:t>
      </w:r>
      <w:bookmarkEnd w:id="0"/>
      <w:bookmarkEnd w:id="4"/>
    </w:p>
    <w:sectPr w:rsidR="005E559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3E12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9AE8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756083">
    <w:abstractNumId w:val="0"/>
  </w:num>
  <w:num w:numId="2" w16cid:durableId="19959139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590"/>
    <w:rsid w:val="000B7458"/>
    <w:rsid w:val="005E5590"/>
    <w:rsid w:val="0093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60111"/>
  <w15:docId w15:val="{656D93C7-43DE-4809-BAA4-3181C816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898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Jose Garcia Duque</cp:lastModifiedBy>
  <cp:revision>2</cp:revision>
  <dcterms:created xsi:type="dcterms:W3CDTF">2026-08-10T00:58:00Z</dcterms:created>
  <dcterms:modified xsi:type="dcterms:W3CDTF">2026-08-10T00:59:00Z</dcterms:modified>
</cp:coreProperties>
</file>