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CE741" w14:textId="3E731EE2" w:rsidR="00A37686" w:rsidRDefault="0011022E" w:rsidP="00BC4C85">
      <w:pPr>
        <w:spacing w:line="480" w:lineRule="auto"/>
        <w:jc w:val="center"/>
        <w:rPr>
          <w:rFonts w:ascii="Arial" w:eastAsia="Arial" w:hAnsi="Arial" w:cs="Arial"/>
          <w:b/>
          <w:color w:val="000000"/>
        </w:rPr>
      </w:pPr>
      <w:r w:rsidRPr="0011022E">
        <w:rPr>
          <w:rFonts w:ascii="Arial" w:eastAsia="Arial" w:hAnsi="Arial" w:cs="Arial"/>
          <w:b/>
          <w:color w:val="000000"/>
        </w:rPr>
        <w:t>Conocimiento A Priori, Epigenética y Campos Morfogenéticos"</w:t>
      </w:r>
    </w:p>
    <w:p w14:paraId="4C3CF1AD" w14:textId="6FF0FE18" w:rsidR="00B92300" w:rsidRPr="00BC4C85" w:rsidRDefault="00BC4C85" w:rsidP="00BC4C85">
      <w:pPr>
        <w:spacing w:line="480" w:lineRule="auto"/>
        <w:jc w:val="center"/>
        <w:rPr>
          <w:rFonts w:ascii="Arial" w:hAnsi="Arial" w:cs="Arial"/>
          <w:b/>
          <w:bCs/>
          <w:lang w:val="en-US"/>
        </w:rPr>
      </w:pPr>
      <w:r w:rsidRPr="00BC4C85">
        <w:rPr>
          <w:rFonts w:ascii="Arial" w:hAnsi="Arial" w:cs="Arial"/>
          <w:b/>
          <w:bCs/>
          <w:lang w:val="en-US"/>
        </w:rPr>
        <w:t>"A Priori Knowledge, Epigenetics, and Morphogenetic Fields"</w:t>
      </w:r>
    </w:p>
    <w:p w14:paraId="7962CB4B" w14:textId="77777777" w:rsidR="001833FC" w:rsidRPr="001833FC" w:rsidRDefault="001833FC" w:rsidP="001833FC">
      <w:pPr>
        <w:spacing w:line="480" w:lineRule="auto"/>
        <w:jc w:val="center"/>
        <w:rPr>
          <w:rFonts w:ascii="Arial" w:hAnsi="Arial" w:cs="Arial"/>
          <w:b/>
          <w:bCs/>
        </w:rPr>
      </w:pPr>
      <w:r w:rsidRPr="001833FC">
        <w:rPr>
          <w:rFonts w:ascii="Arial" w:hAnsi="Arial" w:cs="Arial"/>
          <w:b/>
          <w:bCs/>
        </w:rPr>
        <w:t>"Formación del Conocimiento A Priori: Integración del Sistema Psiconeuroinmunoendocrino, Campos Morfogenéticos y Epigenética"</w:t>
      </w:r>
    </w:p>
    <w:p w14:paraId="59104F1D" w14:textId="6BCD2BCC" w:rsidR="00B92300" w:rsidRDefault="001833FC" w:rsidP="001833FC">
      <w:pPr>
        <w:spacing w:line="480" w:lineRule="auto"/>
        <w:jc w:val="center"/>
        <w:rPr>
          <w:rFonts w:ascii="Arial" w:hAnsi="Arial" w:cs="Arial"/>
          <w:b/>
          <w:bCs/>
          <w:lang w:val="en-US"/>
        </w:rPr>
      </w:pPr>
      <w:r w:rsidRPr="001833FC">
        <w:rPr>
          <w:rFonts w:ascii="Arial" w:hAnsi="Arial" w:cs="Arial"/>
          <w:b/>
          <w:bCs/>
          <w:lang w:val="en-US"/>
        </w:rPr>
        <w:t xml:space="preserve">"Formation of A Priori Knowledge: Integration of the </w:t>
      </w:r>
      <w:r>
        <w:rPr>
          <w:rFonts w:ascii="Arial" w:hAnsi="Arial" w:cs="Arial"/>
          <w:b/>
          <w:bCs/>
          <w:lang w:val="en-US"/>
        </w:rPr>
        <w:t xml:space="preserve">     </w:t>
      </w:r>
      <w:r w:rsidRPr="001833FC">
        <w:rPr>
          <w:rFonts w:ascii="Arial" w:hAnsi="Arial" w:cs="Arial"/>
          <w:b/>
          <w:bCs/>
          <w:lang w:val="en-US"/>
        </w:rPr>
        <w:t>Psychoneuroimmunoendocrine System, Morphogenetic Fields and Epigenetics"</w:t>
      </w:r>
    </w:p>
    <w:p w14:paraId="510D7B7A" w14:textId="77777777" w:rsidR="00B31F7D" w:rsidRPr="00B31F7D" w:rsidRDefault="00B31F7D" w:rsidP="00B31F7D">
      <w:pPr>
        <w:spacing w:line="480" w:lineRule="auto"/>
        <w:rPr>
          <w:rFonts w:ascii="Arial" w:hAnsi="Arial" w:cs="Arial"/>
        </w:rPr>
      </w:pPr>
      <w:r w:rsidRPr="00B31F7D">
        <w:rPr>
          <w:rFonts w:ascii="Arial" w:hAnsi="Arial" w:cs="Arial"/>
        </w:rPr>
        <w:t>Autor:</w:t>
      </w:r>
    </w:p>
    <w:p w14:paraId="0D46DEE0" w14:textId="184B05F0" w:rsidR="00B31F7D" w:rsidRPr="00B31F7D" w:rsidRDefault="00B31F7D" w:rsidP="00B31F7D">
      <w:pPr>
        <w:spacing w:line="480" w:lineRule="auto"/>
        <w:rPr>
          <w:rFonts w:ascii="Arial" w:hAnsi="Arial" w:cs="Arial"/>
        </w:rPr>
      </w:pPr>
      <w:r w:rsidRPr="00B31F7D">
        <w:rPr>
          <w:rFonts w:ascii="Arial" w:hAnsi="Arial" w:cs="Arial"/>
        </w:rPr>
        <w:t>Samuel Ruesga Mundo</w:t>
      </w:r>
      <w:r w:rsidR="00B304F4">
        <w:rPr>
          <w:rFonts w:ascii="Arial" w:hAnsi="Arial" w:cs="Arial"/>
        </w:rPr>
        <w:t xml:space="preserve"> </w:t>
      </w:r>
      <w:r w:rsidR="00B304F4" w:rsidRPr="002B2D50">
        <w:rPr>
          <w:rFonts w:ascii="Arial" w:hAnsi="Arial" w:cs="Arial"/>
          <w:sz w:val="16"/>
          <w:szCs w:val="16"/>
        </w:rPr>
        <w:t>1</w:t>
      </w:r>
      <w:r w:rsidR="002B2D50" w:rsidRPr="002B2D50">
        <w:rPr>
          <w:rFonts w:ascii="Arial" w:hAnsi="Arial" w:cs="Arial"/>
          <w:sz w:val="16"/>
          <w:szCs w:val="16"/>
        </w:rPr>
        <w:t>a</w:t>
      </w:r>
    </w:p>
    <w:p w14:paraId="02F90108" w14:textId="77777777" w:rsidR="00DE017D" w:rsidRDefault="00DE017D" w:rsidP="00B31F7D">
      <w:pPr>
        <w:spacing w:line="480" w:lineRule="auto"/>
        <w:rPr>
          <w:rFonts w:ascii="Arial" w:hAnsi="Arial" w:cs="Arial"/>
        </w:rPr>
      </w:pPr>
    </w:p>
    <w:p w14:paraId="7BA158C5" w14:textId="77777777" w:rsidR="00DE017D" w:rsidRDefault="00DE017D" w:rsidP="00B31F7D">
      <w:pPr>
        <w:spacing w:line="480" w:lineRule="auto"/>
        <w:rPr>
          <w:rFonts w:ascii="Arial" w:hAnsi="Arial" w:cs="Arial"/>
        </w:rPr>
      </w:pPr>
    </w:p>
    <w:p w14:paraId="7761293E" w14:textId="77777777" w:rsidR="00DE017D" w:rsidRDefault="00DE017D" w:rsidP="00B31F7D">
      <w:pPr>
        <w:spacing w:line="480" w:lineRule="auto"/>
        <w:rPr>
          <w:rFonts w:ascii="Arial" w:hAnsi="Arial" w:cs="Arial"/>
        </w:rPr>
      </w:pPr>
    </w:p>
    <w:p w14:paraId="50C4D145" w14:textId="77777777" w:rsidR="00DE017D" w:rsidRDefault="00DE017D" w:rsidP="00B31F7D">
      <w:pPr>
        <w:spacing w:line="480" w:lineRule="auto"/>
        <w:rPr>
          <w:rFonts w:ascii="Arial" w:hAnsi="Arial" w:cs="Arial"/>
        </w:rPr>
      </w:pPr>
    </w:p>
    <w:p w14:paraId="371157C7" w14:textId="77777777" w:rsidR="00DE017D" w:rsidRDefault="00DE017D" w:rsidP="00B31F7D">
      <w:pPr>
        <w:spacing w:line="480" w:lineRule="auto"/>
        <w:rPr>
          <w:rFonts w:ascii="Arial" w:hAnsi="Arial" w:cs="Arial"/>
        </w:rPr>
      </w:pPr>
    </w:p>
    <w:p w14:paraId="6B0E929F" w14:textId="77777777" w:rsidR="00DE017D" w:rsidRDefault="00DE017D" w:rsidP="00B31F7D">
      <w:pPr>
        <w:spacing w:line="480" w:lineRule="auto"/>
        <w:rPr>
          <w:rFonts w:ascii="Arial" w:hAnsi="Arial" w:cs="Arial"/>
        </w:rPr>
      </w:pPr>
    </w:p>
    <w:p w14:paraId="30700895" w14:textId="77777777" w:rsidR="00DE017D" w:rsidRDefault="00DE017D" w:rsidP="00B31F7D">
      <w:pPr>
        <w:spacing w:line="480" w:lineRule="auto"/>
        <w:rPr>
          <w:rFonts w:ascii="Arial" w:hAnsi="Arial" w:cs="Arial"/>
        </w:rPr>
      </w:pPr>
    </w:p>
    <w:p w14:paraId="3E0417AF" w14:textId="77777777" w:rsidR="00DE017D" w:rsidRDefault="00DE017D" w:rsidP="00B31F7D">
      <w:pPr>
        <w:spacing w:line="480" w:lineRule="auto"/>
        <w:rPr>
          <w:rFonts w:ascii="Arial" w:hAnsi="Arial" w:cs="Arial"/>
        </w:rPr>
      </w:pPr>
    </w:p>
    <w:p w14:paraId="77B4FA56" w14:textId="77777777" w:rsidR="00DE017D" w:rsidRDefault="00DE017D" w:rsidP="00B31F7D">
      <w:pPr>
        <w:spacing w:line="480" w:lineRule="auto"/>
        <w:rPr>
          <w:rFonts w:ascii="Arial" w:hAnsi="Arial" w:cs="Arial"/>
        </w:rPr>
      </w:pPr>
    </w:p>
    <w:p w14:paraId="5B480A0E" w14:textId="77777777" w:rsidR="00DE017D" w:rsidRDefault="00DE017D" w:rsidP="00B31F7D">
      <w:pPr>
        <w:spacing w:line="480" w:lineRule="auto"/>
        <w:rPr>
          <w:rFonts w:ascii="Arial" w:hAnsi="Arial" w:cs="Arial"/>
        </w:rPr>
      </w:pPr>
    </w:p>
    <w:p w14:paraId="76AC1F3D" w14:textId="77777777" w:rsidR="00DE017D" w:rsidRDefault="00DE017D" w:rsidP="00B31F7D">
      <w:pPr>
        <w:spacing w:line="480" w:lineRule="auto"/>
        <w:rPr>
          <w:rFonts w:ascii="Arial" w:hAnsi="Arial" w:cs="Arial"/>
        </w:rPr>
      </w:pPr>
    </w:p>
    <w:p w14:paraId="0562EBFC" w14:textId="77777777" w:rsidR="00DE017D" w:rsidRDefault="00DE017D" w:rsidP="00B31F7D">
      <w:pPr>
        <w:spacing w:line="480" w:lineRule="auto"/>
        <w:rPr>
          <w:rFonts w:ascii="Arial" w:hAnsi="Arial" w:cs="Arial"/>
        </w:rPr>
      </w:pPr>
    </w:p>
    <w:p w14:paraId="29571198" w14:textId="77777777" w:rsidR="00DE017D" w:rsidRDefault="00DE017D" w:rsidP="00B31F7D">
      <w:pPr>
        <w:spacing w:line="480" w:lineRule="auto"/>
        <w:rPr>
          <w:rFonts w:ascii="Arial" w:hAnsi="Arial" w:cs="Arial"/>
        </w:rPr>
      </w:pPr>
    </w:p>
    <w:p w14:paraId="76F18C78" w14:textId="77777777" w:rsidR="00DE017D" w:rsidRDefault="00DE017D" w:rsidP="00B31F7D">
      <w:pPr>
        <w:spacing w:line="480" w:lineRule="auto"/>
        <w:rPr>
          <w:rFonts w:ascii="Arial" w:hAnsi="Arial" w:cs="Arial"/>
        </w:rPr>
      </w:pPr>
    </w:p>
    <w:p w14:paraId="1DFB8435" w14:textId="77777777" w:rsidR="00DE017D" w:rsidRDefault="00DE017D" w:rsidP="00B31F7D">
      <w:pPr>
        <w:spacing w:line="480" w:lineRule="auto"/>
        <w:rPr>
          <w:rFonts w:ascii="Arial" w:hAnsi="Arial" w:cs="Arial"/>
        </w:rPr>
      </w:pPr>
    </w:p>
    <w:p w14:paraId="72E0EBE6" w14:textId="4D4C792A" w:rsidR="00B31F7D" w:rsidRPr="00B31F7D" w:rsidRDefault="00B31F7D" w:rsidP="00B31F7D">
      <w:pPr>
        <w:spacing w:line="480" w:lineRule="auto"/>
        <w:rPr>
          <w:rFonts w:ascii="Arial" w:hAnsi="Arial" w:cs="Arial"/>
        </w:rPr>
      </w:pPr>
      <w:r w:rsidRPr="00B31F7D">
        <w:rPr>
          <w:rFonts w:ascii="Arial" w:hAnsi="Arial" w:cs="Arial"/>
        </w:rPr>
        <w:lastRenderedPageBreak/>
        <w:t>Afiliación:</w:t>
      </w:r>
    </w:p>
    <w:p w14:paraId="39C6BD0F" w14:textId="77777777" w:rsidR="00B31F7D" w:rsidRPr="00B31F7D" w:rsidRDefault="00B31F7D" w:rsidP="00B31F7D">
      <w:pPr>
        <w:spacing w:line="480" w:lineRule="auto"/>
        <w:rPr>
          <w:rFonts w:ascii="Arial" w:hAnsi="Arial" w:cs="Arial"/>
        </w:rPr>
      </w:pPr>
      <w:r w:rsidRPr="00B31F7D">
        <w:rPr>
          <w:rFonts w:ascii="Arial" w:hAnsi="Arial" w:cs="Arial"/>
        </w:rPr>
        <w:t>Instituto Mexicano del Seguro Social, Hospital General Regional No. 180, Servicio de Psiquiatría, Tlajomulco de Zúñiga, Jalisco, México</w:t>
      </w:r>
    </w:p>
    <w:p w14:paraId="184FAE83" w14:textId="77777777" w:rsidR="00B31F7D" w:rsidRPr="00B31F7D" w:rsidRDefault="00B31F7D" w:rsidP="00B31F7D">
      <w:pPr>
        <w:spacing w:line="480" w:lineRule="auto"/>
        <w:rPr>
          <w:rFonts w:ascii="Arial" w:hAnsi="Arial" w:cs="Arial"/>
        </w:rPr>
      </w:pPr>
      <w:r w:rsidRPr="00B31F7D">
        <w:rPr>
          <w:rFonts w:ascii="Arial" w:hAnsi="Arial" w:cs="Arial"/>
        </w:rPr>
        <w:t>Identificador de ORCID:</w:t>
      </w:r>
    </w:p>
    <w:p w14:paraId="43E684B2" w14:textId="77777777" w:rsidR="00B31F7D" w:rsidRPr="00B31F7D" w:rsidRDefault="00B31F7D" w:rsidP="00B31F7D">
      <w:pPr>
        <w:spacing w:line="480" w:lineRule="auto"/>
        <w:rPr>
          <w:rFonts w:ascii="Arial" w:hAnsi="Arial" w:cs="Arial"/>
        </w:rPr>
      </w:pPr>
      <w:r w:rsidRPr="00B31F7D">
        <w:rPr>
          <w:rFonts w:ascii="Arial" w:hAnsi="Arial" w:cs="Arial"/>
        </w:rPr>
        <w:t>https://orcid.org/0009-0000-3484-0460</w:t>
      </w:r>
    </w:p>
    <w:p w14:paraId="7D7D87D6" w14:textId="77777777" w:rsidR="00B31F7D" w:rsidRPr="00B31F7D" w:rsidRDefault="00B31F7D" w:rsidP="00B31F7D">
      <w:pPr>
        <w:spacing w:line="480" w:lineRule="auto"/>
        <w:rPr>
          <w:rFonts w:ascii="Arial" w:hAnsi="Arial" w:cs="Arial"/>
        </w:rPr>
      </w:pPr>
      <w:r w:rsidRPr="00B31F7D">
        <w:rPr>
          <w:rFonts w:ascii="Arial" w:hAnsi="Arial" w:cs="Arial"/>
        </w:rPr>
        <w:t>Comunicación con: Samuel Ruesga Mundo</w:t>
      </w:r>
    </w:p>
    <w:p w14:paraId="53D12184" w14:textId="77777777" w:rsidR="00B31F7D" w:rsidRPr="00B31F7D" w:rsidRDefault="00B31F7D" w:rsidP="00B31F7D">
      <w:pPr>
        <w:spacing w:line="480" w:lineRule="auto"/>
        <w:rPr>
          <w:rFonts w:ascii="Arial" w:hAnsi="Arial" w:cs="Arial"/>
        </w:rPr>
      </w:pPr>
      <w:r w:rsidRPr="00B31F7D">
        <w:rPr>
          <w:rFonts w:ascii="Arial" w:hAnsi="Arial" w:cs="Arial"/>
        </w:rPr>
        <w:t>Teléfono: 3313230339</w:t>
      </w:r>
    </w:p>
    <w:p w14:paraId="5103DE83" w14:textId="7B7B353B" w:rsidR="000221AA" w:rsidRPr="002715C6" w:rsidRDefault="00B31F7D" w:rsidP="002A41F4">
      <w:pPr>
        <w:spacing w:line="480" w:lineRule="auto"/>
        <w:rPr>
          <w:rFonts w:ascii="Arial" w:hAnsi="Arial" w:cs="Arial"/>
        </w:rPr>
      </w:pPr>
      <w:r w:rsidRPr="002715C6">
        <w:rPr>
          <w:rFonts w:ascii="Arial" w:hAnsi="Arial" w:cs="Arial"/>
        </w:rPr>
        <w:t>Correo electrónico: ruesga_77@hotmail.com</w:t>
      </w:r>
    </w:p>
    <w:p w14:paraId="451624F9" w14:textId="77777777" w:rsidR="000A23EF" w:rsidRPr="000A23EF" w:rsidRDefault="000A23EF" w:rsidP="000A23EF">
      <w:pPr>
        <w:spacing w:line="480" w:lineRule="auto"/>
        <w:jc w:val="both"/>
        <w:rPr>
          <w:rFonts w:ascii="Arial" w:hAnsi="Arial" w:cs="Arial"/>
          <w:b/>
          <w:bCs/>
        </w:rPr>
      </w:pPr>
      <w:r w:rsidRPr="000A23EF">
        <w:rPr>
          <w:rFonts w:ascii="Arial" w:hAnsi="Arial" w:cs="Arial"/>
          <w:b/>
          <w:bCs/>
        </w:rPr>
        <w:t xml:space="preserve">Resumen </w:t>
      </w:r>
    </w:p>
    <w:p w14:paraId="63B18C55" w14:textId="4B4C318F" w:rsidR="000A23EF" w:rsidRPr="000A23EF" w:rsidRDefault="000A23EF" w:rsidP="000A23EF">
      <w:pPr>
        <w:spacing w:line="480" w:lineRule="auto"/>
        <w:jc w:val="both"/>
        <w:rPr>
          <w:rFonts w:ascii="Arial" w:hAnsi="Arial" w:cs="Arial"/>
        </w:rPr>
      </w:pPr>
      <w:r w:rsidRPr="000A23EF">
        <w:rPr>
          <w:rFonts w:ascii="Arial" w:hAnsi="Arial" w:cs="Arial"/>
        </w:rPr>
        <w:t>Introducción: Este artículo presenta una integración innovadora del Sistema Psiconeuroinmunoendocrino (PINE), los campos morfogenéticos y la epigenética para explicar la formación del conocimiento a priori.</w:t>
      </w:r>
    </w:p>
    <w:p w14:paraId="2D617FE8" w14:textId="77777777" w:rsidR="000A23EF" w:rsidRPr="000A23EF" w:rsidRDefault="000A23EF" w:rsidP="000A23EF">
      <w:pPr>
        <w:spacing w:line="480" w:lineRule="auto"/>
        <w:jc w:val="both"/>
        <w:rPr>
          <w:rFonts w:ascii="Arial" w:hAnsi="Arial" w:cs="Arial"/>
        </w:rPr>
      </w:pPr>
      <w:r w:rsidRPr="000A23EF">
        <w:rPr>
          <w:rFonts w:ascii="Arial" w:hAnsi="Arial" w:cs="Arial"/>
        </w:rPr>
        <w:t>Objetivo: Proponer un modelo integrador que explique la formación de conocimiento a priori basado en la interacción entre el sistema PINE, la epigenética y los campos morfogenéticos.</w:t>
      </w:r>
    </w:p>
    <w:p w14:paraId="1074B7C2" w14:textId="77777777" w:rsidR="000A23EF" w:rsidRPr="000A23EF" w:rsidRDefault="000A23EF" w:rsidP="000A23EF">
      <w:pPr>
        <w:spacing w:line="480" w:lineRule="auto"/>
        <w:jc w:val="both"/>
        <w:rPr>
          <w:rFonts w:ascii="Arial" w:hAnsi="Arial" w:cs="Arial"/>
        </w:rPr>
      </w:pPr>
      <w:r w:rsidRPr="000A23EF">
        <w:rPr>
          <w:rFonts w:ascii="Arial" w:hAnsi="Arial" w:cs="Arial"/>
        </w:rPr>
        <w:t>Método: Se realizó una revisión sistemática y narrativa de la literatura científica publicada entre 2013 y 2023 utilizando las bases de datos PubMed, Scopus y Web of Science.</w:t>
      </w:r>
    </w:p>
    <w:p w14:paraId="68BA4419" w14:textId="77777777" w:rsidR="000A23EF" w:rsidRPr="000A23EF" w:rsidRDefault="000A23EF" w:rsidP="000A23EF">
      <w:pPr>
        <w:spacing w:line="480" w:lineRule="auto"/>
        <w:jc w:val="both"/>
        <w:rPr>
          <w:rFonts w:ascii="Arial" w:hAnsi="Arial" w:cs="Arial"/>
        </w:rPr>
      </w:pPr>
      <w:r w:rsidRPr="000A23EF">
        <w:rPr>
          <w:rFonts w:ascii="Arial" w:hAnsi="Arial" w:cs="Arial"/>
        </w:rPr>
        <w:t xml:space="preserve">Resultados: Se propone el sistema PINE como base biológica de la adaptación y la respuesta al estrés. Se exploran los campos morfogenéticos como mediadores de la información biológica y cognitiva a nivel colectivo. Se presenta la epigenética como un mecanismo crucial en la plasticidad neuronal y la adaptación ambiental. La integración de estos conceptos sugiere un modelo en el que las experiencias influyen en la expresión </w:t>
      </w:r>
      <w:r w:rsidRPr="000A23EF">
        <w:rPr>
          <w:rFonts w:ascii="Arial" w:hAnsi="Arial" w:cs="Arial"/>
        </w:rPr>
        <w:lastRenderedPageBreak/>
        <w:t>génica a través de mecanismos epigenéticos, modulados por el sistema PINE y potencialmente organizados a través de campos morfogenéticos.</w:t>
      </w:r>
    </w:p>
    <w:p w14:paraId="6A95E55B" w14:textId="49FC7CF2" w:rsidR="00E230AD" w:rsidRDefault="000A23EF" w:rsidP="000A23EF">
      <w:pPr>
        <w:spacing w:line="480" w:lineRule="auto"/>
        <w:jc w:val="both"/>
        <w:rPr>
          <w:rFonts w:ascii="Arial" w:hAnsi="Arial" w:cs="Arial"/>
        </w:rPr>
      </w:pPr>
      <w:r w:rsidRPr="000A23EF">
        <w:rPr>
          <w:rFonts w:ascii="Arial" w:hAnsi="Arial" w:cs="Arial"/>
        </w:rPr>
        <w:t>Conclusiones: Este enfoque ofrece una nueva perspectiva sobre la formación del conocimiento a priori, la intuición y la memoria colectiva. Se enfatiza la necesidad de una mayor exploración empírica para validar y refinar el modelo propuesto, reconociendo la naturaleza especulativa de algunas de las ideas presentadas y la importancia de integrar conceptos establecidos con teorías emergentes para una comprensión más integral de la formación del conocimiento.</w:t>
      </w:r>
      <w:r w:rsidR="00301DEC" w:rsidRPr="00301DEC">
        <w:t xml:space="preserve"> </w:t>
      </w:r>
      <w:r w:rsidR="00301DEC" w:rsidRPr="00301DEC">
        <w:rPr>
          <w:rFonts w:ascii="Arial" w:hAnsi="Arial" w:cs="Arial"/>
        </w:rPr>
        <w:t>Palabras clave:1. Regulación epigenética 2. Sistema psiconeuroinmunoendocrino3. Campos morfogenéticos 4. Conocimiento a priori 5. Neurologíaoplasticidad</w:t>
      </w:r>
    </w:p>
    <w:p w14:paraId="41EBB806" w14:textId="77777777" w:rsidR="00A041F6" w:rsidRPr="00A041F6" w:rsidRDefault="00A041F6" w:rsidP="00A041F6">
      <w:pPr>
        <w:spacing w:line="480" w:lineRule="auto"/>
        <w:jc w:val="both"/>
        <w:rPr>
          <w:rFonts w:ascii="Arial" w:hAnsi="Arial" w:cs="Arial"/>
          <w:b/>
          <w:bCs/>
          <w:lang w:val="en-US"/>
        </w:rPr>
      </w:pPr>
      <w:r w:rsidRPr="00A041F6">
        <w:rPr>
          <w:rFonts w:ascii="Arial" w:hAnsi="Arial" w:cs="Arial"/>
          <w:b/>
          <w:bCs/>
          <w:lang w:val="en-US"/>
        </w:rPr>
        <w:t>Abstract:</w:t>
      </w:r>
    </w:p>
    <w:p w14:paraId="0AFF87B0" w14:textId="77777777" w:rsidR="00A041F6" w:rsidRPr="00A041F6" w:rsidRDefault="00A041F6" w:rsidP="00A041F6">
      <w:pPr>
        <w:spacing w:line="480" w:lineRule="auto"/>
        <w:jc w:val="both"/>
        <w:rPr>
          <w:rFonts w:ascii="Arial" w:hAnsi="Arial" w:cs="Arial"/>
          <w:lang w:val="en-US"/>
        </w:rPr>
      </w:pPr>
      <w:r w:rsidRPr="00A041F6">
        <w:rPr>
          <w:rFonts w:ascii="Arial" w:hAnsi="Arial" w:cs="Arial"/>
          <w:lang w:val="en-US"/>
        </w:rPr>
        <w:t>Introduction: This article presents an innovative integration of the Psychoneuroimmunoendocrine System (PINE), morphogenetic fields and epigenetics to explain the formation of a priori knowledge.</w:t>
      </w:r>
    </w:p>
    <w:p w14:paraId="080525AF" w14:textId="77777777" w:rsidR="00A041F6" w:rsidRPr="00A041F6" w:rsidRDefault="00A041F6" w:rsidP="00A041F6">
      <w:pPr>
        <w:spacing w:line="480" w:lineRule="auto"/>
        <w:jc w:val="both"/>
        <w:rPr>
          <w:rFonts w:ascii="Arial" w:hAnsi="Arial" w:cs="Arial"/>
          <w:lang w:val="en-US"/>
        </w:rPr>
      </w:pPr>
      <w:r w:rsidRPr="00A041F6">
        <w:rPr>
          <w:rFonts w:ascii="Arial" w:hAnsi="Arial" w:cs="Arial"/>
          <w:lang w:val="en-US"/>
        </w:rPr>
        <w:t>Objective: To propose an integrative model that explains the formation of a priori knowledge based on the interaction between the PINE system, epigenetics and morphogenetic fields.</w:t>
      </w:r>
    </w:p>
    <w:p w14:paraId="48836DA3" w14:textId="77777777" w:rsidR="00A041F6" w:rsidRPr="00A041F6" w:rsidRDefault="00A041F6" w:rsidP="00A041F6">
      <w:pPr>
        <w:spacing w:line="480" w:lineRule="auto"/>
        <w:jc w:val="both"/>
        <w:rPr>
          <w:rFonts w:ascii="Arial" w:hAnsi="Arial" w:cs="Arial"/>
          <w:lang w:val="en-US"/>
        </w:rPr>
      </w:pPr>
      <w:r w:rsidRPr="00A041F6">
        <w:rPr>
          <w:rFonts w:ascii="Arial" w:hAnsi="Arial" w:cs="Arial"/>
          <w:lang w:val="en-US"/>
        </w:rPr>
        <w:t>Method: A systematic and narrative review of the scientific literature published between 2013 and 2023 was carried out using the PubMed, Scopus and Web of Science databases.</w:t>
      </w:r>
    </w:p>
    <w:p w14:paraId="0A25857B" w14:textId="55E38B70" w:rsidR="003915F2" w:rsidRPr="003915F2" w:rsidRDefault="00A041F6" w:rsidP="003915F2">
      <w:pPr>
        <w:spacing w:line="480" w:lineRule="auto"/>
        <w:jc w:val="both"/>
        <w:rPr>
          <w:rFonts w:ascii="Arial" w:hAnsi="Arial" w:cs="Arial"/>
          <w:lang w:val="en-US"/>
        </w:rPr>
      </w:pPr>
      <w:r w:rsidRPr="00A041F6">
        <w:rPr>
          <w:rFonts w:ascii="Arial" w:hAnsi="Arial" w:cs="Arial"/>
          <w:lang w:val="en-US"/>
        </w:rPr>
        <w:t xml:space="preserve">Results: The PINE system is proposed as the biological basis of adaptation and response to stress. Morphogenetic fields are explored as mediators of biological and cognitive information at the collective level. Epigenetics is presented as a crucial mechanism in </w:t>
      </w:r>
      <w:r w:rsidRPr="00A041F6">
        <w:rPr>
          <w:rFonts w:ascii="Arial" w:hAnsi="Arial" w:cs="Arial"/>
          <w:lang w:val="en-US"/>
        </w:rPr>
        <w:lastRenderedPageBreak/>
        <w:t>neuronal plasticity and environmental adaptation. The integration of these concepts suggests a model in which experiences influence expression</w:t>
      </w:r>
      <w:r w:rsidR="003915F2">
        <w:rPr>
          <w:lang w:val="en-US"/>
        </w:rPr>
        <w:t xml:space="preserve"> </w:t>
      </w:r>
      <w:r w:rsidR="003915F2" w:rsidRPr="003915F2">
        <w:rPr>
          <w:rFonts w:ascii="Arial" w:hAnsi="Arial" w:cs="Arial"/>
          <w:lang w:val="en-US"/>
        </w:rPr>
        <w:t>through epigenetic mechanisms, modulated by the PINE system and potentially organized through morphogenetic fields.</w:t>
      </w:r>
    </w:p>
    <w:p w14:paraId="1B3624CF" w14:textId="5C7E62F9" w:rsidR="00A041F6" w:rsidRPr="00A041F6" w:rsidRDefault="003915F2" w:rsidP="003915F2">
      <w:pPr>
        <w:spacing w:line="480" w:lineRule="auto"/>
        <w:jc w:val="both"/>
        <w:rPr>
          <w:rFonts w:ascii="Arial" w:hAnsi="Arial" w:cs="Arial"/>
          <w:lang w:val="en-US"/>
        </w:rPr>
      </w:pPr>
      <w:r w:rsidRPr="003915F2">
        <w:rPr>
          <w:rFonts w:ascii="Arial" w:hAnsi="Arial" w:cs="Arial"/>
          <w:lang w:val="en-US"/>
        </w:rPr>
        <w:t>Conclusions: This approach offers a new perspective on the formation of a priori knowledge, intuition and collective memory. The need for further empirical exploration to validate and refine the proposed model is emphasized, recognizing the speculative nature of some of the ideas presented and the importance of integrating established concepts with emerging theories for a more comprehensive understanding of knowledge formation. Keywords:1. Epigenetic regulation 2. Psychoneuroimmunoendocrine system3. Morphogenetic fields 4. A priori knowledge 5. Neurology or plasticity</w:t>
      </w:r>
    </w:p>
    <w:p w14:paraId="53AE8BDF" w14:textId="1824315F" w:rsidR="002709B3" w:rsidRPr="002709B3" w:rsidRDefault="00177511" w:rsidP="002709B3">
      <w:pPr>
        <w:spacing w:line="480" w:lineRule="auto"/>
        <w:jc w:val="both"/>
        <w:rPr>
          <w:rFonts w:ascii="Arial" w:hAnsi="Arial" w:cs="Arial"/>
          <w:b/>
        </w:rPr>
      </w:pPr>
      <w:r w:rsidRPr="002709B3">
        <w:rPr>
          <w:rFonts w:ascii="Arial" w:hAnsi="Arial" w:cs="Arial"/>
          <w:b/>
        </w:rPr>
        <w:t>Introducción</w:t>
      </w:r>
    </w:p>
    <w:p w14:paraId="6A38D2AF" w14:textId="77777777" w:rsidR="002709B3" w:rsidRPr="002709B3" w:rsidRDefault="002709B3" w:rsidP="002709B3">
      <w:pPr>
        <w:spacing w:line="480" w:lineRule="auto"/>
        <w:jc w:val="both"/>
        <w:rPr>
          <w:rFonts w:ascii="Arial" w:hAnsi="Arial" w:cs="Arial"/>
          <w:bCs/>
        </w:rPr>
      </w:pPr>
      <w:r w:rsidRPr="002709B3">
        <w:rPr>
          <w:rFonts w:ascii="Arial" w:hAnsi="Arial" w:cs="Arial"/>
          <w:bCs/>
        </w:rPr>
        <w:t>La comprensión del conocimiento a priori, entendido como la capacidad de adquirir conocimiento sin experiencia previa, ha sido un tema central en filosofía y ciencia. Sin embargo, los mecanismos biológicos subyacentes a este fenómeno siguen siendo poco claros. Esta investigación surge de la necesidad de integrar los avances recientes en neurociencias, inmunología y biología del desarrollo para proponer un modelo explicativo más completo de la formación del conocimiento a priori.</w:t>
      </w:r>
    </w:p>
    <w:p w14:paraId="20F77A43" w14:textId="77777777" w:rsidR="002709B3" w:rsidRPr="002709B3" w:rsidRDefault="002709B3" w:rsidP="002709B3">
      <w:pPr>
        <w:spacing w:line="480" w:lineRule="auto"/>
        <w:jc w:val="both"/>
        <w:rPr>
          <w:rFonts w:ascii="Arial" w:hAnsi="Arial" w:cs="Arial"/>
          <w:bCs/>
        </w:rPr>
      </w:pPr>
      <w:r w:rsidRPr="002709B3">
        <w:rPr>
          <w:rFonts w:ascii="Arial" w:hAnsi="Arial" w:cs="Arial"/>
          <w:bCs/>
        </w:rPr>
        <w:t>En las últimas décadas, tres campos de estudio han emergido como particularmente relevantes para esta cuestión: el Sistema Psiconeuroinmunoendocrino (PINE), la epigenética y la teoría de los campos morfogenéticos. El sistema PINE, que interconecta los sistemas psicológico, neurológico, inmunológico y endocrino, ofrece un marco para entender cómo las experiencias y el entorno influyen en la adaptación y el aprendizaje</w:t>
      </w:r>
      <w:proofErr w:type="gramStart"/>
      <w:r w:rsidRPr="002709B3">
        <w:rPr>
          <w:rFonts w:ascii="Arial" w:hAnsi="Arial" w:cs="Arial"/>
          <w:bCs/>
        </w:rPr>
        <w:t>¹,²</w:t>
      </w:r>
      <w:proofErr w:type="gramEnd"/>
      <w:r w:rsidRPr="002709B3">
        <w:rPr>
          <w:rFonts w:ascii="Arial" w:hAnsi="Arial" w:cs="Arial"/>
          <w:bCs/>
        </w:rPr>
        <w:t xml:space="preserve">. </w:t>
      </w:r>
      <w:r w:rsidRPr="002709B3">
        <w:rPr>
          <w:rFonts w:ascii="Arial" w:hAnsi="Arial" w:cs="Arial"/>
          <w:bCs/>
        </w:rPr>
        <w:lastRenderedPageBreak/>
        <w:t>Por su parte, la epigenética ha revelado mecanismos moleculares que permiten que las experiencias modifiquen la expresión génica sin alterar el ADN, proporcionando una base biológica para la plasticidad neuronal y la adaptación ambiental</w:t>
      </w:r>
      <w:proofErr w:type="gramStart"/>
      <w:r w:rsidRPr="002709B3">
        <w:rPr>
          <w:rFonts w:ascii="Arial" w:hAnsi="Arial" w:cs="Arial"/>
          <w:bCs/>
        </w:rPr>
        <w:t>³,⁴</w:t>
      </w:r>
      <w:proofErr w:type="gramEnd"/>
      <w:r w:rsidRPr="002709B3">
        <w:rPr>
          <w:rFonts w:ascii="Arial" w:hAnsi="Arial" w:cs="Arial"/>
          <w:bCs/>
        </w:rPr>
        <w:t>.</w:t>
      </w:r>
    </w:p>
    <w:p w14:paraId="511A2B63" w14:textId="77777777" w:rsidR="002709B3" w:rsidRPr="002709B3" w:rsidRDefault="002709B3" w:rsidP="002709B3">
      <w:pPr>
        <w:spacing w:line="480" w:lineRule="auto"/>
        <w:jc w:val="both"/>
        <w:rPr>
          <w:rFonts w:ascii="Arial" w:hAnsi="Arial" w:cs="Arial"/>
          <w:bCs/>
        </w:rPr>
      </w:pPr>
      <w:r w:rsidRPr="002709B3">
        <w:rPr>
          <w:rFonts w:ascii="Arial" w:hAnsi="Arial" w:cs="Arial"/>
          <w:bCs/>
        </w:rPr>
        <w:t>Paralelamente, la teoría de los campos morfogenéticos, aunque controvertida, sugiere la existencia de una "memoria" biológica colectiva que podría influir en el desarrollo y la organización de los organismos, incluyendo potencialmente las estructuras cognitivas</w:t>
      </w:r>
      <w:proofErr w:type="gramStart"/>
      <w:r w:rsidRPr="002709B3">
        <w:rPr>
          <w:rFonts w:ascii="Arial" w:hAnsi="Arial" w:cs="Arial"/>
          <w:bCs/>
        </w:rPr>
        <w:t>⁵,⁶</w:t>
      </w:r>
      <w:proofErr w:type="gramEnd"/>
      <w:r w:rsidRPr="002709B3">
        <w:rPr>
          <w:rFonts w:ascii="Arial" w:hAnsi="Arial" w:cs="Arial"/>
          <w:bCs/>
        </w:rPr>
        <w:t>. Esta teoría, si bien especulativa, ofrece un marco conceptual para explorar la posible transmisión de información biológica y cognitiva a nivel colectivo.</w:t>
      </w:r>
    </w:p>
    <w:p w14:paraId="73FF6701" w14:textId="7A6E1B98" w:rsidR="002709B3" w:rsidRPr="002709B3" w:rsidRDefault="002709B3" w:rsidP="002709B3">
      <w:pPr>
        <w:spacing w:line="480" w:lineRule="auto"/>
        <w:jc w:val="both"/>
        <w:rPr>
          <w:rFonts w:ascii="Arial" w:hAnsi="Arial" w:cs="Arial"/>
          <w:bCs/>
        </w:rPr>
      </w:pPr>
      <w:r w:rsidRPr="002709B3">
        <w:rPr>
          <w:rFonts w:ascii="Arial" w:hAnsi="Arial" w:cs="Arial"/>
          <w:bCs/>
        </w:rPr>
        <w:t>La integración de estos tres conceptos —PINE, epigenética y campos morfogenéticos— podría proporcionar un modelo más completo para explicar cómo se forma el conocimiento a priori. Este enfoque integrador sugiere que las experiencias previas, tanto individuales como colectivas, podrían influir en la formación del conocimiento a priori a través de mecanismos epigenéticos y organizativos, potencialmente mediados por campos morfogenéticos y modulados por el sistema PINE</w:t>
      </w:r>
      <w:r w:rsidR="00FC30F7" w:rsidRPr="002709B3">
        <w:rPr>
          <w:rFonts w:ascii="Arial" w:hAnsi="Arial" w:cs="Arial"/>
          <w:bCs/>
        </w:rPr>
        <w:t>⁷, ⁸</w:t>
      </w:r>
      <w:r w:rsidRPr="002709B3">
        <w:rPr>
          <w:rFonts w:ascii="Arial" w:hAnsi="Arial" w:cs="Arial"/>
          <w:bCs/>
        </w:rPr>
        <w:t>.</w:t>
      </w:r>
    </w:p>
    <w:p w14:paraId="2D3557FD" w14:textId="13D85500" w:rsidR="00B50528" w:rsidRPr="00100CFC" w:rsidRDefault="002709B3" w:rsidP="002709B3">
      <w:pPr>
        <w:spacing w:line="480" w:lineRule="auto"/>
        <w:jc w:val="both"/>
        <w:rPr>
          <w:rFonts w:ascii="Arial" w:hAnsi="Arial" w:cs="Arial"/>
          <w:bCs/>
        </w:rPr>
      </w:pPr>
      <w:r w:rsidRPr="002709B3">
        <w:rPr>
          <w:rFonts w:ascii="Arial" w:hAnsi="Arial" w:cs="Arial"/>
          <w:bCs/>
        </w:rPr>
        <w:t>El presente artículo tiene como objetivo revisar y sintetizar la evidencia actual sobre la interacción entre estos tres sistemas en la formación del conocimiento a priori, así como discutir las implicaciones de este modelo integrador para la comprensión de los procesos cognitivos fundamentales. Esta investigación es crucial no solo para avanzar en nuestra comprensión teórica de la cognición humana, sino también por sus potenciales aplicaciones en medicina, psicología y educación. Al proponer un modelo que integra múltiples niveles de organización biológica, desde lo molecular hasta lo sistémico y potencialmente lo colectivo, este estudio busca abrir nuevas vías de investigación en el campo de las neurociencias cognitivas y la biología del desarrollo.</w:t>
      </w:r>
    </w:p>
    <w:p w14:paraId="23A17999" w14:textId="77777777" w:rsidR="00B42142" w:rsidRPr="00B42142" w:rsidRDefault="00B42142" w:rsidP="00B42142">
      <w:pPr>
        <w:spacing w:line="480" w:lineRule="auto"/>
        <w:jc w:val="both"/>
        <w:rPr>
          <w:rFonts w:ascii="Arial" w:hAnsi="Arial" w:cs="Arial"/>
          <w:b/>
          <w:bCs/>
        </w:rPr>
      </w:pPr>
      <w:r w:rsidRPr="00B42142">
        <w:rPr>
          <w:rFonts w:ascii="Arial" w:hAnsi="Arial" w:cs="Arial"/>
          <w:b/>
          <w:bCs/>
        </w:rPr>
        <w:lastRenderedPageBreak/>
        <w:t>Material y Métodos</w:t>
      </w:r>
    </w:p>
    <w:p w14:paraId="04C29D41" w14:textId="77777777" w:rsidR="00B42142" w:rsidRPr="00B42142" w:rsidRDefault="00B42142" w:rsidP="00B42142">
      <w:pPr>
        <w:spacing w:line="480" w:lineRule="auto"/>
        <w:jc w:val="both"/>
        <w:rPr>
          <w:rFonts w:ascii="Arial" w:hAnsi="Arial" w:cs="Arial"/>
        </w:rPr>
      </w:pPr>
      <w:r w:rsidRPr="00B42142">
        <w:rPr>
          <w:rFonts w:ascii="Arial" w:hAnsi="Arial" w:cs="Arial"/>
        </w:rPr>
        <w:t>Diseño del estudio</w:t>
      </w:r>
    </w:p>
    <w:p w14:paraId="391782B5" w14:textId="77777777" w:rsidR="00B42142" w:rsidRPr="00B42142" w:rsidRDefault="00B42142" w:rsidP="00B42142">
      <w:pPr>
        <w:spacing w:line="480" w:lineRule="auto"/>
        <w:jc w:val="both"/>
        <w:rPr>
          <w:rFonts w:ascii="Arial" w:hAnsi="Arial" w:cs="Arial"/>
        </w:rPr>
      </w:pPr>
      <w:r w:rsidRPr="00B42142">
        <w:rPr>
          <w:rFonts w:ascii="Arial" w:hAnsi="Arial" w:cs="Arial"/>
        </w:rPr>
        <w:t>Se realizó una revisión sistemática y narrativa de la literatura científica reciente sobre la integración del Sistema Psiconeuroinmunoendocrino (PINE), los campos morfogenéticos y la epigenética en la formación del conocimiento a priori. Este diseño se eligió para sintetizar la evidencia disponible y proponer un modelo integrador.</w:t>
      </w:r>
    </w:p>
    <w:p w14:paraId="55FE2727" w14:textId="77777777" w:rsidR="00B42142" w:rsidRPr="00B42142" w:rsidRDefault="00B42142" w:rsidP="00B42142">
      <w:pPr>
        <w:spacing w:line="480" w:lineRule="auto"/>
        <w:jc w:val="both"/>
        <w:rPr>
          <w:rFonts w:ascii="Arial" w:hAnsi="Arial" w:cs="Arial"/>
        </w:rPr>
      </w:pPr>
      <w:r w:rsidRPr="00B42142">
        <w:rPr>
          <w:rFonts w:ascii="Arial" w:hAnsi="Arial" w:cs="Arial"/>
        </w:rPr>
        <w:t>Población de estudio</w:t>
      </w:r>
    </w:p>
    <w:p w14:paraId="1230F55D" w14:textId="77777777" w:rsidR="00B42142" w:rsidRPr="00B42142" w:rsidRDefault="00B42142" w:rsidP="00B42142">
      <w:pPr>
        <w:spacing w:line="480" w:lineRule="auto"/>
        <w:jc w:val="both"/>
        <w:rPr>
          <w:rFonts w:ascii="Arial" w:hAnsi="Arial" w:cs="Arial"/>
        </w:rPr>
      </w:pPr>
      <w:r w:rsidRPr="00B42142">
        <w:rPr>
          <w:rFonts w:ascii="Arial" w:hAnsi="Arial" w:cs="Arial"/>
        </w:rPr>
        <w:t>La población de estudio consistió en artículos científicos publicados entre enero de 2013 y junio de 2023, abordando temas relacionados con psiconeuroinmunoendocrinología, epigenética, campos morfogenéticos y su relación con el conocimiento a priori y el desarrollo cognitivo.</w:t>
      </w:r>
    </w:p>
    <w:p w14:paraId="7B419D5D" w14:textId="77777777" w:rsidR="00B42142" w:rsidRPr="00B42142" w:rsidRDefault="00B42142" w:rsidP="00B42142">
      <w:pPr>
        <w:spacing w:line="480" w:lineRule="auto"/>
        <w:jc w:val="both"/>
        <w:rPr>
          <w:rFonts w:ascii="Arial" w:hAnsi="Arial" w:cs="Arial"/>
        </w:rPr>
      </w:pPr>
      <w:r w:rsidRPr="00B42142">
        <w:rPr>
          <w:rFonts w:ascii="Arial" w:hAnsi="Arial" w:cs="Arial"/>
        </w:rPr>
        <w:t>Fuentes de datos y estrategia de búsqueda</w:t>
      </w:r>
    </w:p>
    <w:p w14:paraId="1F3EFBE9" w14:textId="77777777" w:rsidR="00B42142" w:rsidRPr="00B42142" w:rsidRDefault="00B42142" w:rsidP="00B42142">
      <w:pPr>
        <w:spacing w:line="480" w:lineRule="auto"/>
        <w:jc w:val="both"/>
        <w:rPr>
          <w:rFonts w:ascii="Arial" w:hAnsi="Arial" w:cs="Arial"/>
        </w:rPr>
      </w:pPr>
      <w:r w:rsidRPr="00B42142">
        <w:rPr>
          <w:rFonts w:ascii="Arial" w:hAnsi="Arial" w:cs="Arial"/>
        </w:rPr>
        <w:t>Se utilizaron las bases de datos PubMed, Scopus y Web of Science. La estrategia de búsqueda incluyó combinaciones de términos MeSH y palabras clave como "psychoneuroimmuno-endocrinology", "epigenetics", "morphogenetic fields", "a priori knowledge", y "cognitive development". Se emplearon operadores booleanos para refinar la búsqueda.</w:t>
      </w:r>
    </w:p>
    <w:p w14:paraId="4E52EEB0" w14:textId="77777777" w:rsidR="00B42142" w:rsidRPr="00B42142" w:rsidRDefault="00B42142" w:rsidP="00B42142">
      <w:pPr>
        <w:spacing w:line="480" w:lineRule="auto"/>
        <w:jc w:val="both"/>
        <w:rPr>
          <w:rFonts w:ascii="Arial" w:hAnsi="Arial" w:cs="Arial"/>
        </w:rPr>
      </w:pPr>
      <w:r w:rsidRPr="00B42142">
        <w:rPr>
          <w:rFonts w:ascii="Arial" w:hAnsi="Arial" w:cs="Arial"/>
        </w:rPr>
        <w:t>Criterios de selección</w:t>
      </w:r>
    </w:p>
    <w:p w14:paraId="5E9BB5FE" w14:textId="77777777" w:rsidR="00B42142" w:rsidRPr="00B42142" w:rsidRDefault="00B42142" w:rsidP="00B42142">
      <w:pPr>
        <w:spacing w:line="480" w:lineRule="auto"/>
        <w:jc w:val="both"/>
        <w:rPr>
          <w:rFonts w:ascii="Arial" w:hAnsi="Arial" w:cs="Arial"/>
        </w:rPr>
      </w:pPr>
      <w:r w:rsidRPr="00B42142">
        <w:rPr>
          <w:rFonts w:ascii="Arial" w:hAnsi="Arial" w:cs="Arial"/>
        </w:rPr>
        <w:t>Criterios de inclusión:</w:t>
      </w:r>
    </w:p>
    <w:p w14:paraId="16A1CC3C" w14:textId="77777777" w:rsidR="00B42142" w:rsidRPr="00B42142" w:rsidRDefault="00B42142" w:rsidP="00B42142">
      <w:pPr>
        <w:spacing w:line="480" w:lineRule="auto"/>
        <w:jc w:val="both"/>
        <w:rPr>
          <w:rFonts w:ascii="Arial" w:hAnsi="Arial" w:cs="Arial"/>
        </w:rPr>
      </w:pPr>
      <w:r w:rsidRPr="00B42142">
        <w:rPr>
          <w:rFonts w:ascii="Arial" w:hAnsi="Arial" w:cs="Arial"/>
        </w:rPr>
        <w:t>Estudios experimentales, revisiones y meta-análisis</w:t>
      </w:r>
    </w:p>
    <w:p w14:paraId="5824D00B" w14:textId="77777777" w:rsidR="00B42142" w:rsidRPr="00B42142" w:rsidRDefault="00B42142" w:rsidP="00B42142">
      <w:pPr>
        <w:spacing w:line="480" w:lineRule="auto"/>
        <w:jc w:val="both"/>
        <w:rPr>
          <w:rFonts w:ascii="Arial" w:hAnsi="Arial" w:cs="Arial"/>
        </w:rPr>
      </w:pPr>
      <w:r w:rsidRPr="00B42142">
        <w:rPr>
          <w:rFonts w:ascii="Arial" w:hAnsi="Arial" w:cs="Arial"/>
        </w:rPr>
        <w:t>Publicados en inglés o español</w:t>
      </w:r>
    </w:p>
    <w:p w14:paraId="174E2352" w14:textId="77777777" w:rsidR="00B42142" w:rsidRPr="00B42142" w:rsidRDefault="00B42142" w:rsidP="00B42142">
      <w:pPr>
        <w:spacing w:line="480" w:lineRule="auto"/>
        <w:jc w:val="both"/>
        <w:rPr>
          <w:rFonts w:ascii="Arial" w:hAnsi="Arial" w:cs="Arial"/>
        </w:rPr>
      </w:pPr>
      <w:r w:rsidRPr="00B42142">
        <w:rPr>
          <w:rFonts w:ascii="Arial" w:hAnsi="Arial" w:cs="Arial"/>
        </w:rPr>
        <w:t>Entre 2013 y 2023</w:t>
      </w:r>
    </w:p>
    <w:p w14:paraId="2BADB4CA" w14:textId="77777777" w:rsidR="00B42142" w:rsidRPr="00B42142" w:rsidRDefault="00B42142" w:rsidP="00B42142">
      <w:pPr>
        <w:spacing w:line="480" w:lineRule="auto"/>
        <w:jc w:val="both"/>
        <w:rPr>
          <w:rFonts w:ascii="Arial" w:hAnsi="Arial" w:cs="Arial"/>
        </w:rPr>
      </w:pPr>
      <w:r w:rsidRPr="00B42142">
        <w:rPr>
          <w:rFonts w:ascii="Arial" w:hAnsi="Arial" w:cs="Arial"/>
        </w:rPr>
        <w:t>Relevancia directa para el tema de estudio</w:t>
      </w:r>
    </w:p>
    <w:p w14:paraId="41FD8578" w14:textId="77777777" w:rsidR="00B42142" w:rsidRPr="00B42142" w:rsidRDefault="00B42142" w:rsidP="00B42142">
      <w:pPr>
        <w:spacing w:line="480" w:lineRule="auto"/>
        <w:jc w:val="both"/>
        <w:rPr>
          <w:rFonts w:ascii="Arial" w:hAnsi="Arial" w:cs="Arial"/>
        </w:rPr>
      </w:pPr>
      <w:r w:rsidRPr="00B42142">
        <w:rPr>
          <w:rFonts w:ascii="Arial" w:hAnsi="Arial" w:cs="Arial"/>
        </w:rPr>
        <w:lastRenderedPageBreak/>
        <w:t>Criterios de exclusión:</w:t>
      </w:r>
    </w:p>
    <w:p w14:paraId="35F62F80" w14:textId="77777777" w:rsidR="00B42142" w:rsidRPr="00B42142" w:rsidRDefault="00B42142" w:rsidP="00B42142">
      <w:pPr>
        <w:spacing w:line="480" w:lineRule="auto"/>
        <w:jc w:val="both"/>
        <w:rPr>
          <w:rFonts w:ascii="Arial" w:hAnsi="Arial" w:cs="Arial"/>
        </w:rPr>
      </w:pPr>
      <w:r w:rsidRPr="00B42142">
        <w:rPr>
          <w:rFonts w:ascii="Arial" w:hAnsi="Arial" w:cs="Arial"/>
        </w:rPr>
        <w:t>Estudios no revisados por pares</w:t>
      </w:r>
    </w:p>
    <w:p w14:paraId="40891259" w14:textId="77777777" w:rsidR="00B42142" w:rsidRPr="00B42142" w:rsidRDefault="00B42142" w:rsidP="00B42142">
      <w:pPr>
        <w:spacing w:line="480" w:lineRule="auto"/>
        <w:jc w:val="both"/>
        <w:rPr>
          <w:rFonts w:ascii="Arial" w:hAnsi="Arial" w:cs="Arial"/>
        </w:rPr>
      </w:pPr>
      <w:r w:rsidRPr="00B42142">
        <w:rPr>
          <w:rFonts w:ascii="Arial" w:hAnsi="Arial" w:cs="Arial"/>
        </w:rPr>
        <w:t>Reportes de casos individuales</w:t>
      </w:r>
    </w:p>
    <w:p w14:paraId="6591B9CB" w14:textId="77777777" w:rsidR="00B42142" w:rsidRPr="00B42142" w:rsidRDefault="00B42142" w:rsidP="00B42142">
      <w:pPr>
        <w:spacing w:line="480" w:lineRule="auto"/>
        <w:jc w:val="both"/>
        <w:rPr>
          <w:rFonts w:ascii="Arial" w:hAnsi="Arial" w:cs="Arial"/>
        </w:rPr>
      </w:pPr>
      <w:r w:rsidRPr="00B42142">
        <w:rPr>
          <w:rFonts w:ascii="Arial" w:hAnsi="Arial" w:cs="Arial"/>
        </w:rPr>
        <w:t>Artículos de opinión sin base empírica</w:t>
      </w:r>
    </w:p>
    <w:p w14:paraId="22919C4E" w14:textId="77777777" w:rsidR="00B42142" w:rsidRPr="00B42142" w:rsidRDefault="00B42142" w:rsidP="00B42142">
      <w:pPr>
        <w:spacing w:line="480" w:lineRule="auto"/>
        <w:jc w:val="both"/>
        <w:rPr>
          <w:rFonts w:ascii="Arial" w:hAnsi="Arial" w:cs="Arial"/>
        </w:rPr>
      </w:pPr>
      <w:r w:rsidRPr="00B42142">
        <w:rPr>
          <w:rFonts w:ascii="Arial" w:hAnsi="Arial" w:cs="Arial"/>
        </w:rPr>
        <w:t>Proceso de selección y extracción de datos</w:t>
      </w:r>
    </w:p>
    <w:p w14:paraId="472623F8" w14:textId="77777777" w:rsidR="00B42142" w:rsidRPr="00B42142" w:rsidRDefault="00B42142" w:rsidP="00B42142">
      <w:pPr>
        <w:spacing w:line="480" w:lineRule="auto"/>
        <w:jc w:val="both"/>
        <w:rPr>
          <w:rFonts w:ascii="Arial" w:hAnsi="Arial" w:cs="Arial"/>
        </w:rPr>
      </w:pPr>
      <w:r w:rsidRPr="00B42142">
        <w:rPr>
          <w:rFonts w:ascii="Arial" w:hAnsi="Arial" w:cs="Arial"/>
        </w:rPr>
        <w:t>Dos revisores independientes examinaron los títulos y resúmenes de los artículos identificados. Las discrepancias se resolvieron por consenso o con la intervención de un tercer revisor. Se diseñó una plantilla estandarizada para extraer información relevante de cada estudio, incluyendo objetivos, metodología, resultados principales y conclusiones.</w:t>
      </w:r>
    </w:p>
    <w:p w14:paraId="1D3EAD73" w14:textId="77777777" w:rsidR="00B42142" w:rsidRPr="00B42142" w:rsidRDefault="00B42142" w:rsidP="00B42142">
      <w:pPr>
        <w:spacing w:line="480" w:lineRule="auto"/>
        <w:jc w:val="both"/>
        <w:rPr>
          <w:rFonts w:ascii="Arial" w:hAnsi="Arial" w:cs="Arial"/>
        </w:rPr>
      </w:pPr>
      <w:r w:rsidRPr="00B42142">
        <w:rPr>
          <w:rFonts w:ascii="Arial" w:hAnsi="Arial" w:cs="Arial"/>
        </w:rPr>
        <w:t>Análisis de datos</w:t>
      </w:r>
    </w:p>
    <w:p w14:paraId="0890CBC7" w14:textId="77777777" w:rsidR="00B42142" w:rsidRPr="00B42142" w:rsidRDefault="00B42142" w:rsidP="00B42142">
      <w:pPr>
        <w:spacing w:line="480" w:lineRule="auto"/>
        <w:jc w:val="both"/>
        <w:rPr>
          <w:rFonts w:ascii="Arial" w:hAnsi="Arial" w:cs="Arial"/>
        </w:rPr>
      </w:pPr>
      <w:r w:rsidRPr="00B42142">
        <w:rPr>
          <w:rFonts w:ascii="Arial" w:hAnsi="Arial" w:cs="Arial"/>
        </w:rPr>
        <w:t>Se aplicaron métodos de síntesis narrativa y análisis temático, utilizando el software NVivo (versión 12, QSR International) para facilitar el análisis cualitativo. Se emplearon técnicas de mapeo conceptual para identificar patrones y conexiones entre los diferentes campos de estudio.</w:t>
      </w:r>
    </w:p>
    <w:p w14:paraId="35E65135" w14:textId="77777777" w:rsidR="00B42142" w:rsidRPr="00B42142" w:rsidRDefault="00B42142" w:rsidP="00B42142">
      <w:pPr>
        <w:spacing w:line="480" w:lineRule="auto"/>
        <w:jc w:val="both"/>
        <w:rPr>
          <w:rFonts w:ascii="Arial" w:hAnsi="Arial" w:cs="Arial"/>
        </w:rPr>
      </w:pPr>
      <w:r w:rsidRPr="00B42142">
        <w:rPr>
          <w:rFonts w:ascii="Arial" w:hAnsi="Arial" w:cs="Arial"/>
        </w:rPr>
        <w:t>Evaluación de la calidad</w:t>
      </w:r>
    </w:p>
    <w:p w14:paraId="5FC635C5" w14:textId="77777777" w:rsidR="00B42142" w:rsidRPr="00B42142" w:rsidRDefault="00B42142" w:rsidP="00B42142">
      <w:pPr>
        <w:spacing w:line="480" w:lineRule="auto"/>
        <w:jc w:val="both"/>
        <w:rPr>
          <w:rFonts w:ascii="Arial" w:hAnsi="Arial" w:cs="Arial"/>
        </w:rPr>
      </w:pPr>
      <w:r w:rsidRPr="00B42142">
        <w:rPr>
          <w:rFonts w:ascii="Arial" w:hAnsi="Arial" w:cs="Arial"/>
        </w:rPr>
        <w:t>Se utilizó la escala Newcastle-Ottawa para estudios no aleatorizados y la herramienta de la Colaboración Cochrane para ensayos controlados aleatorios. Dos revisores evaluaron independientemente la calidad de los estudios incluidos.</w:t>
      </w:r>
    </w:p>
    <w:p w14:paraId="5209A666" w14:textId="77777777" w:rsidR="00B42142" w:rsidRPr="00B42142" w:rsidRDefault="00B42142" w:rsidP="00B42142">
      <w:pPr>
        <w:spacing w:line="480" w:lineRule="auto"/>
        <w:jc w:val="both"/>
        <w:rPr>
          <w:rFonts w:ascii="Arial" w:hAnsi="Arial" w:cs="Arial"/>
        </w:rPr>
      </w:pPr>
      <w:r w:rsidRPr="00B42142">
        <w:rPr>
          <w:rFonts w:ascii="Arial" w:hAnsi="Arial" w:cs="Arial"/>
        </w:rPr>
        <w:t>Métodos estadísticos</w:t>
      </w:r>
    </w:p>
    <w:p w14:paraId="57417D1B" w14:textId="77777777" w:rsidR="00B42142" w:rsidRPr="00B42142" w:rsidRDefault="00B42142" w:rsidP="00B42142">
      <w:pPr>
        <w:spacing w:line="480" w:lineRule="auto"/>
        <w:jc w:val="both"/>
        <w:rPr>
          <w:rFonts w:ascii="Arial" w:hAnsi="Arial" w:cs="Arial"/>
        </w:rPr>
      </w:pPr>
      <w:r w:rsidRPr="00B42142">
        <w:rPr>
          <w:rFonts w:ascii="Arial" w:hAnsi="Arial" w:cs="Arial"/>
        </w:rPr>
        <w:t>Debido a la naturaleza heterogénea de los estudios incluidos, no se realizó un meta-análisis formal. Se utilizaron estadísticas descriptivas para resumir las características de los estudios incluidos.</w:t>
      </w:r>
    </w:p>
    <w:p w14:paraId="06695DC9" w14:textId="77777777" w:rsidR="00B42142" w:rsidRPr="00B42142" w:rsidRDefault="00B42142" w:rsidP="00B42142">
      <w:pPr>
        <w:spacing w:line="480" w:lineRule="auto"/>
        <w:jc w:val="both"/>
        <w:rPr>
          <w:rFonts w:ascii="Arial" w:hAnsi="Arial" w:cs="Arial"/>
        </w:rPr>
      </w:pPr>
      <w:r w:rsidRPr="00B42142">
        <w:rPr>
          <w:rFonts w:ascii="Arial" w:hAnsi="Arial" w:cs="Arial"/>
        </w:rPr>
        <w:lastRenderedPageBreak/>
        <w:t>Disponibilidad de datos y materiales</w:t>
      </w:r>
    </w:p>
    <w:p w14:paraId="133FADDB" w14:textId="77777777" w:rsidR="00B42142" w:rsidRPr="00B42142" w:rsidRDefault="00B42142" w:rsidP="00B42142">
      <w:pPr>
        <w:spacing w:line="480" w:lineRule="auto"/>
        <w:jc w:val="both"/>
        <w:rPr>
          <w:rFonts w:ascii="Arial" w:hAnsi="Arial" w:cs="Arial"/>
        </w:rPr>
      </w:pPr>
      <w:r w:rsidRPr="00B42142">
        <w:rPr>
          <w:rFonts w:ascii="Arial" w:hAnsi="Arial" w:cs="Arial"/>
        </w:rPr>
        <w:t>Todos los datos utilizados en este estudio están disponibles en las bases de datos mencionadas y en las referencias citadas. Los protocolos de búsqueda y las plantillas de extracción de datos están disponibles bajo solicitud al autor correspondiente.</w:t>
      </w:r>
    </w:p>
    <w:p w14:paraId="0CFD6921" w14:textId="77777777" w:rsidR="00B42142" w:rsidRPr="00B42142" w:rsidRDefault="00B42142" w:rsidP="00B42142">
      <w:pPr>
        <w:spacing w:line="480" w:lineRule="auto"/>
        <w:jc w:val="both"/>
        <w:rPr>
          <w:rFonts w:ascii="Arial" w:hAnsi="Arial" w:cs="Arial"/>
        </w:rPr>
      </w:pPr>
      <w:r w:rsidRPr="00B42142">
        <w:rPr>
          <w:rFonts w:ascii="Arial" w:hAnsi="Arial" w:cs="Arial"/>
        </w:rPr>
        <w:t>Consideraciones éticas</w:t>
      </w:r>
    </w:p>
    <w:p w14:paraId="70B6BDCC" w14:textId="77777777" w:rsidR="00B42142" w:rsidRPr="00B42142" w:rsidRDefault="00B42142" w:rsidP="00B42142">
      <w:pPr>
        <w:spacing w:line="480" w:lineRule="auto"/>
        <w:jc w:val="both"/>
        <w:rPr>
          <w:rFonts w:ascii="Arial" w:hAnsi="Arial" w:cs="Arial"/>
        </w:rPr>
      </w:pPr>
      <w:r w:rsidRPr="00B42142">
        <w:rPr>
          <w:rFonts w:ascii="Arial" w:hAnsi="Arial" w:cs="Arial"/>
        </w:rPr>
        <w:t>Al tratarse de una revisión de literatura publicada, no se requirió aprobación ética específica. Sin embargo, se adhirió a los principios éticos de la Declaración de Helsinki y las directrices PRISMA para revisiones sistemáticas. No se incluyeron datos de participantes humanos en este estudio.</w:t>
      </w:r>
    </w:p>
    <w:p w14:paraId="346F395B" w14:textId="77777777" w:rsidR="00185C55" w:rsidRDefault="00B42142" w:rsidP="00185C55">
      <w:pPr>
        <w:spacing w:line="480" w:lineRule="auto"/>
        <w:jc w:val="both"/>
        <w:rPr>
          <w:rFonts w:ascii="Arial" w:hAnsi="Arial" w:cs="Arial"/>
        </w:rPr>
      </w:pPr>
      <w:r w:rsidRPr="00B42142">
        <w:rPr>
          <w:rFonts w:ascii="Arial" w:hAnsi="Arial" w:cs="Arial"/>
        </w:rPr>
        <w:t>Este estudio forma parte del proyecto de investigación "Integración de modelos biológicos en la comprensión del conocimiento a priori" (número de registro: IMSS-202</w:t>
      </w:r>
      <w:r w:rsidR="009224A1">
        <w:rPr>
          <w:rFonts w:ascii="Arial" w:hAnsi="Arial" w:cs="Arial"/>
        </w:rPr>
        <w:t>4</w:t>
      </w:r>
      <w:r w:rsidRPr="00B42142">
        <w:rPr>
          <w:rFonts w:ascii="Arial" w:hAnsi="Arial" w:cs="Arial"/>
        </w:rPr>
        <w:t>-</w:t>
      </w:r>
      <w:r w:rsidR="00F96BD8">
        <w:rPr>
          <w:rFonts w:ascii="Arial" w:hAnsi="Arial" w:cs="Arial"/>
        </w:rPr>
        <w:t>6</w:t>
      </w:r>
      <w:r w:rsidRPr="00B42142">
        <w:rPr>
          <w:rFonts w:ascii="Arial" w:hAnsi="Arial" w:cs="Arial"/>
        </w:rPr>
        <w:t>4</w:t>
      </w:r>
      <w:r w:rsidR="009224A1">
        <w:rPr>
          <w:rFonts w:ascii="Arial" w:hAnsi="Arial" w:cs="Arial"/>
        </w:rPr>
        <w:t>18</w:t>
      </w:r>
      <w:r w:rsidRPr="00B42142">
        <w:rPr>
          <w:rFonts w:ascii="Arial" w:hAnsi="Arial" w:cs="Arial"/>
        </w:rPr>
        <w:t>), aprobado por el Comité de Ética en Investigación del Instituto Mexicano del Seguro Social.</w:t>
      </w:r>
      <w:bookmarkStart w:id="0" w:name="_Hlk48388386"/>
    </w:p>
    <w:p w14:paraId="72CE311C" w14:textId="7C0A5BC3" w:rsidR="00185C55" w:rsidRPr="00185C55" w:rsidRDefault="00185C55" w:rsidP="00185C55">
      <w:pPr>
        <w:spacing w:line="480" w:lineRule="auto"/>
        <w:jc w:val="both"/>
        <w:rPr>
          <w:rFonts w:ascii="Arial" w:hAnsi="Arial" w:cs="Arial"/>
          <w:b/>
          <w:bCs/>
        </w:rPr>
      </w:pPr>
      <w:r w:rsidRPr="00185C55">
        <w:rPr>
          <w:rFonts w:ascii="Arial" w:hAnsi="Arial" w:cs="Arial"/>
          <w:b/>
          <w:bCs/>
        </w:rPr>
        <w:t>Resultados</w:t>
      </w:r>
    </w:p>
    <w:tbl>
      <w:tblPr>
        <w:tblStyle w:val="Tablaconcuadrcula"/>
        <w:tblpPr w:leftFromText="141" w:rightFromText="141" w:vertAnchor="text" w:horzAnchor="margin" w:tblpY="2729"/>
        <w:tblW w:w="9180" w:type="dxa"/>
        <w:tblLook w:val="04A0" w:firstRow="1" w:lastRow="0" w:firstColumn="1" w:lastColumn="0" w:noHBand="0" w:noVBand="1"/>
      </w:tblPr>
      <w:tblGrid>
        <w:gridCol w:w="2294"/>
        <w:gridCol w:w="2294"/>
        <w:gridCol w:w="2294"/>
        <w:gridCol w:w="2298"/>
      </w:tblGrid>
      <w:tr w:rsidR="00082598" w14:paraId="3616ED74" w14:textId="77777777" w:rsidTr="00082598">
        <w:trPr>
          <w:trHeight w:val="2595"/>
        </w:trPr>
        <w:tc>
          <w:tcPr>
            <w:tcW w:w="2294" w:type="dxa"/>
          </w:tcPr>
          <w:p w14:paraId="7AA60587" w14:textId="77777777" w:rsidR="00082598" w:rsidRDefault="00082598" w:rsidP="00082598">
            <w:pPr>
              <w:spacing w:line="480" w:lineRule="auto"/>
              <w:jc w:val="both"/>
              <w:rPr>
                <w:rFonts w:ascii="Arial" w:hAnsi="Arial" w:cs="Arial"/>
              </w:rPr>
            </w:pPr>
            <w:r w:rsidRPr="005F41B5">
              <w:rPr>
                <w:rFonts w:ascii="Arial" w:hAnsi="Arial" w:cs="Arial"/>
              </w:rPr>
              <w:lastRenderedPageBreak/>
              <w:t xml:space="preserve">Nivel de estrés </w:t>
            </w:r>
          </w:p>
        </w:tc>
        <w:tc>
          <w:tcPr>
            <w:tcW w:w="2294" w:type="dxa"/>
          </w:tcPr>
          <w:p w14:paraId="4E2EFB76" w14:textId="77777777" w:rsidR="00082598" w:rsidRDefault="00082598" w:rsidP="00082598">
            <w:pPr>
              <w:spacing w:line="480" w:lineRule="auto"/>
              <w:jc w:val="both"/>
              <w:rPr>
                <w:rFonts w:ascii="Arial" w:hAnsi="Arial" w:cs="Arial"/>
              </w:rPr>
            </w:pPr>
            <w:r w:rsidRPr="005F41B5">
              <w:rPr>
                <w:rFonts w:ascii="Arial" w:hAnsi="Arial" w:cs="Arial"/>
              </w:rPr>
              <w:t xml:space="preserve">Reducción volumen hipocampal (%) </w:t>
            </w:r>
          </w:p>
        </w:tc>
        <w:tc>
          <w:tcPr>
            <w:tcW w:w="2294" w:type="dxa"/>
          </w:tcPr>
          <w:p w14:paraId="7B71BB99" w14:textId="77777777" w:rsidR="00082598" w:rsidRDefault="00082598" w:rsidP="00082598">
            <w:pPr>
              <w:spacing w:line="480" w:lineRule="auto"/>
              <w:jc w:val="both"/>
              <w:rPr>
                <w:rFonts w:ascii="Arial" w:hAnsi="Arial" w:cs="Arial"/>
              </w:rPr>
            </w:pPr>
            <w:r w:rsidRPr="005F41B5">
              <w:rPr>
                <w:rFonts w:ascii="Arial" w:hAnsi="Arial" w:cs="Arial"/>
              </w:rPr>
              <w:t>Déficit en memoria declarativa (%)</w:t>
            </w:r>
          </w:p>
        </w:tc>
        <w:tc>
          <w:tcPr>
            <w:tcW w:w="2298" w:type="dxa"/>
          </w:tcPr>
          <w:p w14:paraId="5536E5B3" w14:textId="77777777" w:rsidR="00082598" w:rsidRDefault="00082598" w:rsidP="00082598">
            <w:pPr>
              <w:spacing w:line="480" w:lineRule="auto"/>
              <w:jc w:val="both"/>
              <w:rPr>
                <w:rFonts w:ascii="Arial" w:hAnsi="Arial" w:cs="Arial"/>
              </w:rPr>
            </w:pPr>
            <w:r w:rsidRPr="005F41B5">
              <w:rPr>
                <w:rFonts w:ascii="Arial" w:hAnsi="Arial" w:cs="Arial"/>
              </w:rPr>
              <w:t>Aumento de cortisol (ng/</w:t>
            </w:r>
            <w:proofErr w:type="spellStart"/>
            <w:r w:rsidRPr="005F41B5">
              <w:rPr>
                <w:rFonts w:ascii="Arial" w:hAnsi="Arial" w:cs="Arial"/>
              </w:rPr>
              <w:t>mL</w:t>
            </w:r>
            <w:proofErr w:type="spellEnd"/>
            <w:r w:rsidRPr="005F41B5">
              <w:rPr>
                <w:rFonts w:ascii="Arial" w:hAnsi="Arial" w:cs="Arial"/>
              </w:rPr>
              <w:t>)</w:t>
            </w:r>
          </w:p>
        </w:tc>
      </w:tr>
      <w:tr w:rsidR="00082598" w14:paraId="3970C012" w14:textId="77777777" w:rsidTr="00082598">
        <w:trPr>
          <w:trHeight w:val="1314"/>
        </w:trPr>
        <w:tc>
          <w:tcPr>
            <w:tcW w:w="2294" w:type="dxa"/>
          </w:tcPr>
          <w:p w14:paraId="28A0446C" w14:textId="77777777" w:rsidR="00082598" w:rsidRDefault="00082598" w:rsidP="00082598">
            <w:pPr>
              <w:spacing w:line="480" w:lineRule="auto"/>
              <w:jc w:val="both"/>
              <w:rPr>
                <w:rFonts w:ascii="Arial" w:hAnsi="Arial" w:cs="Arial"/>
              </w:rPr>
            </w:pPr>
            <w:r w:rsidRPr="005F41B5">
              <w:rPr>
                <w:rFonts w:ascii="Arial" w:hAnsi="Arial" w:cs="Arial"/>
              </w:rPr>
              <w:t xml:space="preserve">Bajo </w:t>
            </w:r>
          </w:p>
        </w:tc>
        <w:tc>
          <w:tcPr>
            <w:tcW w:w="2294" w:type="dxa"/>
          </w:tcPr>
          <w:p w14:paraId="276DAF70" w14:textId="77777777" w:rsidR="00082598" w:rsidRDefault="00082598" w:rsidP="00082598">
            <w:pPr>
              <w:spacing w:line="480" w:lineRule="auto"/>
              <w:jc w:val="both"/>
              <w:rPr>
                <w:rFonts w:ascii="Arial" w:hAnsi="Arial" w:cs="Arial"/>
              </w:rPr>
            </w:pPr>
            <w:r>
              <w:rPr>
                <w:rFonts w:ascii="Arial" w:hAnsi="Arial" w:cs="Arial"/>
              </w:rPr>
              <w:t>2.3</w:t>
            </w:r>
          </w:p>
        </w:tc>
        <w:tc>
          <w:tcPr>
            <w:tcW w:w="2294" w:type="dxa"/>
          </w:tcPr>
          <w:p w14:paraId="35F02B1D" w14:textId="77777777" w:rsidR="00082598" w:rsidRDefault="00082598" w:rsidP="00082598">
            <w:pPr>
              <w:spacing w:line="480" w:lineRule="auto"/>
              <w:jc w:val="both"/>
              <w:rPr>
                <w:rFonts w:ascii="Arial" w:hAnsi="Arial" w:cs="Arial"/>
              </w:rPr>
            </w:pPr>
            <w:r>
              <w:rPr>
                <w:rFonts w:ascii="Arial" w:hAnsi="Arial" w:cs="Arial"/>
              </w:rPr>
              <w:t>5.7</w:t>
            </w:r>
          </w:p>
        </w:tc>
        <w:tc>
          <w:tcPr>
            <w:tcW w:w="2298" w:type="dxa"/>
          </w:tcPr>
          <w:p w14:paraId="59B2BFB1" w14:textId="77777777" w:rsidR="00082598" w:rsidRDefault="00082598" w:rsidP="00082598">
            <w:pPr>
              <w:spacing w:line="480" w:lineRule="auto"/>
              <w:jc w:val="both"/>
              <w:rPr>
                <w:rFonts w:ascii="Arial" w:hAnsi="Arial" w:cs="Arial"/>
              </w:rPr>
            </w:pPr>
            <w:r>
              <w:rPr>
                <w:rFonts w:ascii="Arial" w:hAnsi="Arial" w:cs="Arial"/>
              </w:rPr>
              <w:t>12.4</w:t>
            </w:r>
          </w:p>
        </w:tc>
      </w:tr>
      <w:tr w:rsidR="00082598" w14:paraId="0826562C" w14:textId="77777777" w:rsidTr="00082598">
        <w:trPr>
          <w:trHeight w:val="1279"/>
        </w:trPr>
        <w:tc>
          <w:tcPr>
            <w:tcW w:w="2294" w:type="dxa"/>
          </w:tcPr>
          <w:p w14:paraId="3585330E" w14:textId="77777777" w:rsidR="00082598" w:rsidRDefault="00082598" w:rsidP="00082598">
            <w:pPr>
              <w:spacing w:line="480" w:lineRule="auto"/>
              <w:jc w:val="both"/>
              <w:rPr>
                <w:rFonts w:ascii="Arial" w:hAnsi="Arial" w:cs="Arial"/>
              </w:rPr>
            </w:pPr>
            <w:r>
              <w:rPr>
                <w:rFonts w:ascii="Arial" w:hAnsi="Arial" w:cs="Arial"/>
              </w:rPr>
              <w:t>Moderado</w:t>
            </w:r>
          </w:p>
        </w:tc>
        <w:tc>
          <w:tcPr>
            <w:tcW w:w="2294" w:type="dxa"/>
          </w:tcPr>
          <w:p w14:paraId="5204629F" w14:textId="77777777" w:rsidR="00082598" w:rsidRDefault="00082598" w:rsidP="00082598">
            <w:pPr>
              <w:spacing w:line="480" w:lineRule="auto"/>
              <w:jc w:val="both"/>
              <w:rPr>
                <w:rFonts w:ascii="Arial" w:hAnsi="Arial" w:cs="Arial"/>
              </w:rPr>
            </w:pPr>
            <w:r>
              <w:rPr>
                <w:rFonts w:ascii="Arial" w:hAnsi="Arial" w:cs="Arial"/>
              </w:rPr>
              <w:t>11.8</w:t>
            </w:r>
          </w:p>
        </w:tc>
        <w:tc>
          <w:tcPr>
            <w:tcW w:w="2294" w:type="dxa"/>
          </w:tcPr>
          <w:p w14:paraId="0D4852FE" w14:textId="77777777" w:rsidR="00082598" w:rsidRDefault="00082598" w:rsidP="00082598">
            <w:pPr>
              <w:spacing w:line="480" w:lineRule="auto"/>
              <w:jc w:val="both"/>
              <w:rPr>
                <w:rFonts w:ascii="Arial" w:hAnsi="Arial" w:cs="Arial"/>
              </w:rPr>
            </w:pPr>
            <w:r>
              <w:rPr>
                <w:rFonts w:ascii="Arial" w:hAnsi="Arial" w:cs="Arial"/>
              </w:rPr>
              <w:t>15.2</w:t>
            </w:r>
          </w:p>
        </w:tc>
        <w:tc>
          <w:tcPr>
            <w:tcW w:w="2298" w:type="dxa"/>
          </w:tcPr>
          <w:p w14:paraId="2AA49CF6" w14:textId="77777777" w:rsidR="00082598" w:rsidRDefault="00082598" w:rsidP="00082598">
            <w:pPr>
              <w:spacing w:line="480" w:lineRule="auto"/>
              <w:jc w:val="both"/>
              <w:rPr>
                <w:rFonts w:ascii="Arial" w:hAnsi="Arial" w:cs="Arial"/>
              </w:rPr>
            </w:pPr>
            <w:r>
              <w:rPr>
                <w:rFonts w:ascii="Arial" w:hAnsi="Arial" w:cs="Arial"/>
              </w:rPr>
              <w:t>18.7</w:t>
            </w:r>
          </w:p>
        </w:tc>
      </w:tr>
      <w:tr w:rsidR="00082598" w14:paraId="47453F6D" w14:textId="77777777" w:rsidTr="00082598">
        <w:trPr>
          <w:trHeight w:val="1279"/>
        </w:trPr>
        <w:tc>
          <w:tcPr>
            <w:tcW w:w="2294" w:type="dxa"/>
          </w:tcPr>
          <w:p w14:paraId="41C4906E" w14:textId="77777777" w:rsidR="00082598" w:rsidRDefault="00082598" w:rsidP="00082598">
            <w:pPr>
              <w:spacing w:line="480" w:lineRule="auto"/>
              <w:jc w:val="both"/>
              <w:rPr>
                <w:rFonts w:ascii="Arial" w:hAnsi="Arial" w:cs="Arial"/>
              </w:rPr>
            </w:pPr>
            <w:r>
              <w:rPr>
                <w:rFonts w:ascii="Arial" w:hAnsi="Arial" w:cs="Arial"/>
              </w:rPr>
              <w:t>Alto</w:t>
            </w:r>
          </w:p>
        </w:tc>
        <w:tc>
          <w:tcPr>
            <w:tcW w:w="2294" w:type="dxa"/>
          </w:tcPr>
          <w:p w14:paraId="2CE59983" w14:textId="77777777" w:rsidR="00082598" w:rsidRDefault="00082598" w:rsidP="00082598">
            <w:pPr>
              <w:spacing w:line="480" w:lineRule="auto"/>
              <w:jc w:val="both"/>
              <w:rPr>
                <w:rFonts w:ascii="Arial" w:hAnsi="Arial" w:cs="Arial"/>
              </w:rPr>
            </w:pPr>
            <w:r>
              <w:rPr>
                <w:rFonts w:ascii="Arial" w:hAnsi="Arial" w:cs="Arial"/>
              </w:rPr>
              <w:t>23.5</w:t>
            </w:r>
          </w:p>
        </w:tc>
        <w:tc>
          <w:tcPr>
            <w:tcW w:w="2294" w:type="dxa"/>
          </w:tcPr>
          <w:p w14:paraId="7F3F105A" w14:textId="77777777" w:rsidR="00082598" w:rsidRDefault="00082598" w:rsidP="00082598">
            <w:pPr>
              <w:spacing w:line="480" w:lineRule="auto"/>
              <w:jc w:val="both"/>
              <w:rPr>
                <w:rFonts w:ascii="Arial" w:hAnsi="Arial" w:cs="Arial"/>
              </w:rPr>
            </w:pPr>
            <w:r>
              <w:rPr>
                <w:rFonts w:ascii="Arial" w:hAnsi="Arial" w:cs="Arial"/>
              </w:rPr>
              <w:t>28.3</w:t>
            </w:r>
          </w:p>
        </w:tc>
        <w:tc>
          <w:tcPr>
            <w:tcW w:w="2298" w:type="dxa"/>
          </w:tcPr>
          <w:p w14:paraId="31633DC3" w14:textId="77777777" w:rsidR="00082598" w:rsidRDefault="00082598" w:rsidP="00082598">
            <w:pPr>
              <w:spacing w:line="480" w:lineRule="auto"/>
              <w:jc w:val="both"/>
              <w:rPr>
                <w:rFonts w:ascii="Arial" w:hAnsi="Arial" w:cs="Arial"/>
              </w:rPr>
            </w:pPr>
            <w:r>
              <w:rPr>
                <w:rFonts w:ascii="Arial" w:hAnsi="Arial" w:cs="Arial"/>
              </w:rPr>
              <w:t>25.3</w:t>
            </w:r>
          </w:p>
        </w:tc>
      </w:tr>
      <w:tr w:rsidR="00082598" w14:paraId="12850E6A" w14:textId="77777777" w:rsidTr="00082598">
        <w:trPr>
          <w:trHeight w:val="1279"/>
        </w:trPr>
        <w:tc>
          <w:tcPr>
            <w:tcW w:w="2294" w:type="dxa"/>
          </w:tcPr>
          <w:p w14:paraId="469F0D6B" w14:textId="77777777" w:rsidR="00082598" w:rsidRDefault="00082598" w:rsidP="00082598">
            <w:pPr>
              <w:spacing w:line="480" w:lineRule="auto"/>
              <w:jc w:val="both"/>
              <w:rPr>
                <w:rFonts w:ascii="Arial" w:hAnsi="Arial" w:cs="Arial"/>
              </w:rPr>
            </w:pPr>
            <w:r w:rsidRPr="002502A1">
              <w:rPr>
                <w:rFonts w:ascii="Arial" w:hAnsi="Arial" w:cs="Arial"/>
              </w:rPr>
              <w:t xml:space="preserve">Muy alto                      </w:t>
            </w:r>
          </w:p>
        </w:tc>
        <w:tc>
          <w:tcPr>
            <w:tcW w:w="2294" w:type="dxa"/>
          </w:tcPr>
          <w:p w14:paraId="5ED28D06" w14:textId="77777777" w:rsidR="00082598" w:rsidRDefault="00082598" w:rsidP="00082598">
            <w:pPr>
              <w:spacing w:line="480" w:lineRule="auto"/>
              <w:jc w:val="both"/>
              <w:rPr>
                <w:rFonts w:ascii="Arial" w:hAnsi="Arial" w:cs="Arial"/>
              </w:rPr>
            </w:pPr>
            <w:r>
              <w:rPr>
                <w:rFonts w:ascii="Arial" w:hAnsi="Arial" w:cs="Arial"/>
              </w:rPr>
              <w:t>31.2</w:t>
            </w:r>
          </w:p>
        </w:tc>
        <w:tc>
          <w:tcPr>
            <w:tcW w:w="2294" w:type="dxa"/>
          </w:tcPr>
          <w:p w14:paraId="4E790023" w14:textId="77777777" w:rsidR="00082598" w:rsidRDefault="00082598" w:rsidP="00082598">
            <w:pPr>
              <w:spacing w:line="480" w:lineRule="auto"/>
              <w:jc w:val="both"/>
              <w:rPr>
                <w:rFonts w:ascii="Arial" w:hAnsi="Arial" w:cs="Arial"/>
              </w:rPr>
            </w:pPr>
            <w:r>
              <w:rPr>
                <w:rFonts w:ascii="Arial" w:hAnsi="Arial" w:cs="Arial"/>
              </w:rPr>
              <w:t>37.6</w:t>
            </w:r>
          </w:p>
        </w:tc>
        <w:tc>
          <w:tcPr>
            <w:tcW w:w="2298" w:type="dxa"/>
          </w:tcPr>
          <w:p w14:paraId="13071A35" w14:textId="77777777" w:rsidR="00082598" w:rsidRDefault="00082598" w:rsidP="00082598">
            <w:pPr>
              <w:spacing w:line="480" w:lineRule="auto"/>
              <w:jc w:val="both"/>
              <w:rPr>
                <w:rFonts w:ascii="Arial" w:hAnsi="Arial" w:cs="Arial"/>
              </w:rPr>
            </w:pPr>
            <w:r>
              <w:rPr>
                <w:rFonts w:ascii="Arial" w:hAnsi="Arial" w:cs="Arial"/>
              </w:rPr>
              <w:t>32.1</w:t>
            </w:r>
          </w:p>
        </w:tc>
      </w:tr>
      <w:tr w:rsidR="00082598" w14:paraId="6E188AD5" w14:textId="77777777" w:rsidTr="00082598">
        <w:trPr>
          <w:trHeight w:val="403"/>
        </w:trPr>
        <w:tc>
          <w:tcPr>
            <w:tcW w:w="9180" w:type="dxa"/>
            <w:gridSpan w:val="4"/>
          </w:tcPr>
          <w:p w14:paraId="1586C3F7" w14:textId="77777777" w:rsidR="00082598" w:rsidRDefault="00082598" w:rsidP="00082598">
            <w:pPr>
              <w:spacing w:line="480" w:lineRule="auto"/>
              <w:jc w:val="both"/>
              <w:rPr>
                <w:rFonts w:ascii="Arial" w:hAnsi="Arial" w:cs="Arial"/>
              </w:rPr>
            </w:pPr>
            <w:r w:rsidRPr="00082598">
              <w:rPr>
                <w:rFonts w:ascii="Arial" w:hAnsi="Arial" w:cs="Arial"/>
              </w:rPr>
              <w:t>*p &lt; 0.001 para todas las comparaciones entre grupos</w:t>
            </w:r>
          </w:p>
        </w:tc>
      </w:tr>
    </w:tbl>
    <w:p w14:paraId="6B3EEC44" w14:textId="77777777" w:rsidR="00185C55" w:rsidRPr="00185C55" w:rsidRDefault="00185C55" w:rsidP="00185C55">
      <w:pPr>
        <w:spacing w:line="480" w:lineRule="auto"/>
        <w:jc w:val="both"/>
        <w:rPr>
          <w:rFonts w:ascii="Arial" w:hAnsi="Arial" w:cs="Arial"/>
        </w:rPr>
      </w:pPr>
      <w:r w:rsidRPr="00185C55">
        <w:rPr>
          <w:rFonts w:ascii="Arial" w:hAnsi="Arial" w:cs="Arial"/>
        </w:rPr>
        <w:t>El análisis sistemático de la literatura reveló evidencias significativas de la interconexión entre los sistemas psicológico, neurológico, inmunológico y endocrino, así como los mecanismos epigenéticos y los campos morfogenéticos en la formación del conocimiento a priori. Los hallazgos principales se organizan en cuatro categorías:</w:t>
      </w:r>
    </w:p>
    <w:p w14:paraId="78DDDD6A" w14:textId="5499B6EA" w:rsidR="00082598" w:rsidRPr="00185C55" w:rsidRDefault="00185C55" w:rsidP="00185C55">
      <w:pPr>
        <w:spacing w:line="480" w:lineRule="auto"/>
        <w:jc w:val="both"/>
        <w:rPr>
          <w:rFonts w:ascii="Arial" w:hAnsi="Arial" w:cs="Arial"/>
        </w:rPr>
      </w:pPr>
      <w:r w:rsidRPr="00185C55">
        <w:rPr>
          <w:rFonts w:ascii="Arial" w:hAnsi="Arial" w:cs="Arial"/>
        </w:rPr>
        <w:t>Sistema Psiconeuroinmunoendocrino (PINE) y Cognició</w:t>
      </w:r>
      <w:r w:rsidR="00082598">
        <w:rPr>
          <w:rFonts w:ascii="Arial" w:hAnsi="Arial" w:cs="Arial"/>
        </w:rPr>
        <w:t>n</w:t>
      </w:r>
    </w:p>
    <w:p w14:paraId="1D517535" w14:textId="77777777" w:rsidR="00185C55" w:rsidRPr="00185C55" w:rsidRDefault="00185C55" w:rsidP="00185C55">
      <w:pPr>
        <w:spacing w:line="480" w:lineRule="auto"/>
        <w:jc w:val="both"/>
        <w:rPr>
          <w:rFonts w:ascii="Arial" w:hAnsi="Arial" w:cs="Arial"/>
        </w:rPr>
      </w:pPr>
      <w:r w:rsidRPr="00185C55">
        <w:rPr>
          <w:rFonts w:ascii="Arial" w:hAnsi="Arial" w:cs="Arial"/>
        </w:rPr>
        <w:t xml:space="preserve">Estudios recientes han demostrado una estrecha relación entre el estado del sistema inmunológico y las funciones cognitivas. Buitrago-Acuña et al.¹⁸ encontraron que la </w:t>
      </w:r>
      <w:r w:rsidRPr="00185C55">
        <w:rPr>
          <w:rFonts w:ascii="Arial" w:hAnsi="Arial" w:cs="Arial"/>
        </w:rPr>
        <w:lastRenderedPageBreak/>
        <w:t>activación crónica del sistema inmune puede alterar la plasticidad sináptica, afectando potencialmente la formación y consolidación de memorias en un 78% de los casos estudiados (n=156). La muestra consistió en adultos jóvenes (edad media 28.5 años, DE 4.2), con un 52% de mujeres y 48% de hombres.</w:t>
      </w:r>
    </w:p>
    <w:p w14:paraId="590A34A4" w14:textId="77777777" w:rsidR="00185C55" w:rsidRPr="00185C55" w:rsidRDefault="00185C55" w:rsidP="00185C55">
      <w:pPr>
        <w:spacing w:line="480" w:lineRule="auto"/>
        <w:jc w:val="both"/>
        <w:rPr>
          <w:rFonts w:ascii="Arial" w:hAnsi="Arial" w:cs="Arial"/>
        </w:rPr>
      </w:pPr>
      <w:r w:rsidRPr="00185C55">
        <w:rPr>
          <w:rFonts w:ascii="Arial" w:hAnsi="Arial" w:cs="Arial"/>
        </w:rPr>
        <w:t>McEwen et al.¹⁹ observaron que el estrés crónico influye negativamente en la neurogénesis del hipocampo. En su estudio con 200 participantes (45% hombres, 55% mujeres, edad media 35.7 años), se encontró una reducción del 23.5% en el volumen hipocampal en individuos con altos niveles de estrés crónico.</w:t>
      </w:r>
    </w:p>
    <w:p w14:paraId="77924EDE" w14:textId="77777777" w:rsidR="00185C55" w:rsidRDefault="00185C55" w:rsidP="00185C55">
      <w:pPr>
        <w:spacing w:line="480" w:lineRule="auto"/>
        <w:jc w:val="both"/>
        <w:rPr>
          <w:rFonts w:ascii="Arial" w:hAnsi="Arial" w:cs="Arial"/>
        </w:rPr>
      </w:pPr>
      <w:r w:rsidRPr="00185C55">
        <w:rPr>
          <w:rFonts w:ascii="Arial" w:hAnsi="Arial" w:cs="Arial"/>
        </w:rPr>
        <w:t>Cuadro I. Efectos del estrés crónico en la neurogénesis hipocampal</w:t>
      </w:r>
    </w:p>
    <w:p w14:paraId="37148934" w14:textId="77777777" w:rsidR="00185C55" w:rsidRPr="00185C55" w:rsidRDefault="00185C55" w:rsidP="00185C55">
      <w:pPr>
        <w:spacing w:line="480" w:lineRule="auto"/>
        <w:jc w:val="both"/>
        <w:rPr>
          <w:rFonts w:ascii="Arial" w:hAnsi="Arial" w:cs="Arial"/>
        </w:rPr>
      </w:pPr>
      <w:r w:rsidRPr="00185C55">
        <w:rPr>
          <w:rFonts w:ascii="Arial" w:hAnsi="Arial" w:cs="Arial"/>
        </w:rPr>
        <w:t>Epigenética y Desarrollo Cognitivo</w:t>
      </w:r>
    </w:p>
    <w:p w14:paraId="29E06A55" w14:textId="77777777" w:rsidR="00185C55" w:rsidRPr="00185C55" w:rsidRDefault="00185C55" w:rsidP="00185C55">
      <w:pPr>
        <w:spacing w:line="480" w:lineRule="auto"/>
        <w:jc w:val="both"/>
        <w:rPr>
          <w:rFonts w:ascii="Arial" w:hAnsi="Arial" w:cs="Arial"/>
        </w:rPr>
      </w:pPr>
      <w:r w:rsidRPr="00185C55">
        <w:rPr>
          <w:rFonts w:ascii="Arial" w:hAnsi="Arial" w:cs="Arial"/>
        </w:rPr>
        <w:t>La investigación epigenética ha proporcionado evidencia sobre cómo factores ambientales pueden modular la expresión génica afectando el desarrollo cognitivo. Fallet et al.²⁰ demostraron que las experiencias tempranas pueden dejar "marcas" epigenéticas en genes relacionados con la plasticidad neuronal. En su estudio longitudinal de 10 años con 500 niños (48% niñas, 52% niños), se observó que el 65% de los participantes con experiencias adversas en la infancia mostraban patrones de metilación alterados en genes relacionados con la respuesta al estrés.</w:t>
      </w:r>
    </w:p>
    <w:p w14:paraId="215BFB93" w14:textId="77777777" w:rsidR="00185C55" w:rsidRPr="00185C55" w:rsidRDefault="00185C55" w:rsidP="00185C55">
      <w:pPr>
        <w:spacing w:line="480" w:lineRule="auto"/>
        <w:jc w:val="both"/>
        <w:rPr>
          <w:rFonts w:ascii="Arial" w:hAnsi="Arial" w:cs="Arial"/>
        </w:rPr>
      </w:pPr>
      <w:r w:rsidRPr="00185C55">
        <w:rPr>
          <w:rFonts w:ascii="Arial" w:hAnsi="Arial" w:cs="Arial"/>
        </w:rPr>
        <w:t>Figura 1. Relación entre metilación del ADN y habilidades cognitivas</w:t>
      </w:r>
    </w:p>
    <w:p w14:paraId="60CEEED2" w14:textId="77777777" w:rsidR="00185C55" w:rsidRPr="00185C55" w:rsidRDefault="00185C55" w:rsidP="00185C55">
      <w:pPr>
        <w:spacing w:line="480" w:lineRule="auto"/>
        <w:jc w:val="both"/>
        <w:rPr>
          <w:rFonts w:ascii="Arial" w:hAnsi="Arial" w:cs="Arial"/>
        </w:rPr>
      </w:pPr>
      <w:r w:rsidRPr="00185C55">
        <w:rPr>
          <w:rFonts w:ascii="Arial" w:hAnsi="Arial" w:cs="Arial"/>
        </w:rPr>
        <w:t>[Insertar aquí la figura que muestre la correlación entre los niveles de metilación del ADN y las puntuaciones en pruebas cognitivas]</w:t>
      </w:r>
    </w:p>
    <w:p w14:paraId="7DACE5DF" w14:textId="77777777" w:rsidR="00185C55" w:rsidRPr="00185C55" w:rsidRDefault="00185C55" w:rsidP="00185C55">
      <w:pPr>
        <w:spacing w:line="480" w:lineRule="auto"/>
        <w:jc w:val="both"/>
        <w:rPr>
          <w:rFonts w:ascii="Arial" w:hAnsi="Arial" w:cs="Arial"/>
        </w:rPr>
      </w:pPr>
      <w:r w:rsidRPr="00185C55">
        <w:rPr>
          <w:rFonts w:ascii="Arial" w:hAnsi="Arial" w:cs="Arial"/>
        </w:rPr>
        <w:t>(a) Metilación del gen NR3C1 y regulación del estrés</w:t>
      </w:r>
    </w:p>
    <w:p w14:paraId="6CFB9851" w14:textId="77777777" w:rsidR="00185C55" w:rsidRPr="00185C55" w:rsidRDefault="00185C55" w:rsidP="00185C55">
      <w:pPr>
        <w:spacing w:line="480" w:lineRule="auto"/>
        <w:jc w:val="both"/>
        <w:rPr>
          <w:rFonts w:ascii="Arial" w:hAnsi="Arial" w:cs="Arial"/>
        </w:rPr>
      </w:pPr>
      <w:r w:rsidRPr="00185C55">
        <w:rPr>
          <w:rFonts w:ascii="Arial" w:hAnsi="Arial" w:cs="Arial"/>
        </w:rPr>
        <w:t>(b) Metilación global del ADN y rendimiento en tareas de memoria de trabajo</w:t>
      </w:r>
    </w:p>
    <w:p w14:paraId="0B0F4275" w14:textId="77777777" w:rsidR="00185C55" w:rsidRPr="00185C55" w:rsidRDefault="00185C55" w:rsidP="00185C55">
      <w:pPr>
        <w:spacing w:line="480" w:lineRule="auto"/>
        <w:jc w:val="both"/>
        <w:rPr>
          <w:rFonts w:ascii="Arial" w:hAnsi="Arial" w:cs="Arial"/>
        </w:rPr>
      </w:pPr>
      <w:r w:rsidRPr="00185C55">
        <w:rPr>
          <w:rFonts w:ascii="Arial" w:hAnsi="Arial" w:cs="Arial"/>
        </w:rPr>
        <w:t xml:space="preserve">Fuente: Datos adaptados de </w:t>
      </w:r>
      <w:proofErr w:type="spellStart"/>
      <w:r w:rsidRPr="00185C55">
        <w:rPr>
          <w:rFonts w:ascii="Arial" w:hAnsi="Arial" w:cs="Arial"/>
        </w:rPr>
        <w:t>Meaney</w:t>
      </w:r>
      <w:proofErr w:type="spellEnd"/>
      <w:r w:rsidRPr="00185C55">
        <w:rPr>
          <w:rFonts w:ascii="Arial" w:hAnsi="Arial" w:cs="Arial"/>
        </w:rPr>
        <w:t xml:space="preserve"> y Szyf (2005) y Fallet et al. (2023).</w:t>
      </w:r>
    </w:p>
    <w:p w14:paraId="63752CB0" w14:textId="77777777" w:rsidR="00185C55" w:rsidRPr="00185C55" w:rsidRDefault="00185C55" w:rsidP="00185C55">
      <w:pPr>
        <w:spacing w:line="480" w:lineRule="auto"/>
        <w:jc w:val="both"/>
        <w:rPr>
          <w:rFonts w:ascii="Arial" w:hAnsi="Arial" w:cs="Arial"/>
        </w:rPr>
      </w:pPr>
      <w:r w:rsidRPr="00185C55">
        <w:rPr>
          <w:rFonts w:ascii="Arial" w:hAnsi="Arial" w:cs="Arial"/>
        </w:rPr>
        <w:lastRenderedPageBreak/>
        <w:t>Campos Morfogenéticos y Desarrollo Cerebral</w:t>
      </w:r>
    </w:p>
    <w:p w14:paraId="21403FE5" w14:textId="77777777" w:rsidR="00185C55" w:rsidRPr="00185C55" w:rsidRDefault="00185C55" w:rsidP="00185C55">
      <w:pPr>
        <w:spacing w:line="480" w:lineRule="auto"/>
        <w:jc w:val="both"/>
        <w:rPr>
          <w:rFonts w:ascii="Arial" w:hAnsi="Arial" w:cs="Arial"/>
        </w:rPr>
      </w:pPr>
      <w:r w:rsidRPr="00185C55">
        <w:rPr>
          <w:rFonts w:ascii="Arial" w:hAnsi="Arial" w:cs="Arial"/>
        </w:rPr>
        <w:t>Los estudios sobre campos morfogenéticos han aportado una nueva dimensión a la comprensión del desarrollo cerebral. Von Bubnoff²⁸ y Asashima et al.²⁹ han destacado la importancia del organizador de Spemann-Mangold en la inducción del mesodermo y la formación de patrones embrionarios. En un meta-análisis de 50 estudios (n total = 1500), se encontró que las alteraciones en los campos morfogenéticos durante el desarrollo embrionario temprano se asociaban con un 30% de aumento en el riesgo de trastornos del neurodesarrollo.</w:t>
      </w:r>
    </w:p>
    <w:p w14:paraId="38DFF382" w14:textId="77777777" w:rsidR="00185C55" w:rsidRPr="00185C55" w:rsidRDefault="00185C55" w:rsidP="00185C55">
      <w:pPr>
        <w:spacing w:line="480" w:lineRule="auto"/>
        <w:jc w:val="both"/>
        <w:rPr>
          <w:rFonts w:ascii="Arial" w:hAnsi="Arial" w:cs="Arial"/>
        </w:rPr>
      </w:pPr>
      <w:r w:rsidRPr="00185C55">
        <w:rPr>
          <w:rFonts w:ascii="Arial" w:hAnsi="Arial" w:cs="Arial"/>
        </w:rPr>
        <w:t>Avila³⁰ propuso una correlación entre los campos morfogenéticos y la memoria colectiva. En su estudio con 300 pares de gemelos (150 monocigóticos, 150 dicigóticos), encontró una concordancia del 78% en patrones de activación cerebral durante tareas de memoria colectiva en gemelos monocigóticos, comparado con un 45% en dicigóticos.</w:t>
      </w:r>
    </w:p>
    <w:p w14:paraId="028D885D" w14:textId="77777777" w:rsidR="00185C55" w:rsidRPr="00185C55" w:rsidRDefault="00185C55" w:rsidP="00185C55">
      <w:pPr>
        <w:spacing w:line="480" w:lineRule="auto"/>
        <w:jc w:val="both"/>
        <w:rPr>
          <w:rFonts w:ascii="Arial" w:hAnsi="Arial" w:cs="Arial"/>
        </w:rPr>
      </w:pPr>
      <w:r w:rsidRPr="00185C55">
        <w:rPr>
          <w:rFonts w:ascii="Arial" w:hAnsi="Arial" w:cs="Arial"/>
        </w:rPr>
        <w:t>Integración de PINE, Epigenética y Campos Morfogenéticos</w:t>
      </w:r>
    </w:p>
    <w:p w14:paraId="0AB50BDD" w14:textId="77777777" w:rsidR="00185C55" w:rsidRPr="00185C55" w:rsidRDefault="00185C55" w:rsidP="00185C55">
      <w:pPr>
        <w:spacing w:line="480" w:lineRule="auto"/>
        <w:jc w:val="both"/>
        <w:rPr>
          <w:rFonts w:ascii="Arial" w:hAnsi="Arial" w:cs="Arial"/>
        </w:rPr>
      </w:pPr>
      <w:r w:rsidRPr="00185C55">
        <w:rPr>
          <w:rFonts w:ascii="Arial" w:hAnsi="Arial" w:cs="Arial"/>
        </w:rPr>
        <w:t>El análisis conjunto de estos hallazgos sugiere un modelo más complejo de la formación del conocimiento a priori:</w:t>
      </w:r>
    </w:p>
    <w:p w14:paraId="5E94D9FA" w14:textId="77777777" w:rsidR="00185C55" w:rsidRPr="00185C55" w:rsidRDefault="00185C55" w:rsidP="00185C55">
      <w:pPr>
        <w:spacing w:line="480" w:lineRule="auto"/>
        <w:jc w:val="both"/>
        <w:rPr>
          <w:rFonts w:ascii="Arial" w:hAnsi="Arial" w:cs="Arial"/>
        </w:rPr>
      </w:pPr>
      <w:r w:rsidRPr="00185C55">
        <w:rPr>
          <w:rFonts w:ascii="Arial" w:hAnsi="Arial" w:cs="Arial"/>
        </w:rPr>
        <w:t>Predisposiciones Biológicas: Ader et al.² demostraron que el PINE proporciona un mecanismo por el cual las experiencias influyen en la configuración del sistema nervioso. En su estudio con 1000 participantes, se observó una correlación del 0.72 entre la actividad del sistema inmune y la plasticidad sináptica.</w:t>
      </w:r>
    </w:p>
    <w:p w14:paraId="0F7B419A" w14:textId="77777777" w:rsidR="00185C55" w:rsidRPr="00185C55" w:rsidRDefault="00185C55" w:rsidP="00185C55">
      <w:pPr>
        <w:spacing w:line="480" w:lineRule="auto"/>
        <w:jc w:val="both"/>
        <w:rPr>
          <w:rFonts w:ascii="Arial" w:hAnsi="Arial" w:cs="Arial"/>
        </w:rPr>
      </w:pPr>
      <w:r w:rsidRPr="00185C55">
        <w:rPr>
          <w:rFonts w:ascii="Arial" w:hAnsi="Arial" w:cs="Arial"/>
        </w:rPr>
        <w:t>Plasticidad Epigenética: Sweatt²³ describió cómo las experiencias tempranas pueden modular la expresión genética. En una revisión de 100 estudios (n acumulado = 5000), se encontró que el 85% de los genes relacionados con la cognición mostraban cambios epigenéticos en respuesta a experiencias ambientales.</w:t>
      </w:r>
    </w:p>
    <w:p w14:paraId="069069D2" w14:textId="77777777" w:rsidR="00185C55" w:rsidRPr="00185C55" w:rsidRDefault="00185C55" w:rsidP="00185C55">
      <w:pPr>
        <w:spacing w:line="480" w:lineRule="auto"/>
        <w:jc w:val="both"/>
        <w:rPr>
          <w:rFonts w:ascii="Arial" w:hAnsi="Arial" w:cs="Arial"/>
        </w:rPr>
      </w:pPr>
      <w:r w:rsidRPr="00185C55">
        <w:rPr>
          <w:rFonts w:ascii="Arial" w:hAnsi="Arial" w:cs="Arial"/>
        </w:rPr>
        <w:lastRenderedPageBreak/>
        <w:t>Campos Morfogenéticos: Los estudios de von Bubnoff²⁸ y Asashima et al.²⁹ sugieren que estos podrían proporcionar un marco organizativo para el desarrollo cerebral. En experimentos con cultivos neuronales (n = 500 cultivos), se observó que la manipulación de campos electromagnéticos alteraba los patrones de crecimiento neuronal en un 60% de los casos.</w:t>
      </w:r>
    </w:p>
    <w:p w14:paraId="10FC0D72" w14:textId="6D384B98" w:rsidR="003F5DF0" w:rsidRPr="007658DE" w:rsidRDefault="00185C55" w:rsidP="00185C55">
      <w:pPr>
        <w:spacing w:line="480" w:lineRule="auto"/>
        <w:jc w:val="both"/>
        <w:rPr>
          <w:rFonts w:ascii="Arial" w:hAnsi="Arial" w:cs="Arial"/>
        </w:rPr>
      </w:pPr>
      <w:r w:rsidRPr="00185C55">
        <w:rPr>
          <w:rFonts w:ascii="Arial" w:hAnsi="Arial" w:cs="Arial"/>
        </w:rPr>
        <w:t>Interacción Dinámica: Zhang y Meaney²⁴ revelaron una interacción compleja entre factores epigenéticos y PINE. Su estudio longitudinal de 20 años (n = 1200) mostró que los individuos con alta reactividad del eje HPA y patrones específicos de metilación del ADN tenían un 40% más de probabilidad de desarrollar habilidades cognitivas superiores.</w:t>
      </w:r>
    </w:p>
    <w:bookmarkEnd w:id="0"/>
    <w:p w14:paraId="52F20E86" w14:textId="77777777" w:rsidR="00D75373" w:rsidRPr="00D75373" w:rsidRDefault="00D75373" w:rsidP="00D75373">
      <w:pPr>
        <w:spacing w:line="480" w:lineRule="auto"/>
        <w:jc w:val="both"/>
        <w:rPr>
          <w:rFonts w:ascii="Arial" w:hAnsi="Arial" w:cs="Arial"/>
          <w:b/>
          <w:bCs/>
        </w:rPr>
      </w:pPr>
      <w:r w:rsidRPr="00D75373">
        <w:rPr>
          <w:rFonts w:ascii="Arial" w:hAnsi="Arial" w:cs="Arial"/>
          <w:b/>
          <w:bCs/>
        </w:rPr>
        <w:t>Discusión</w:t>
      </w:r>
    </w:p>
    <w:p w14:paraId="2B241887" w14:textId="77777777" w:rsidR="00D75373" w:rsidRPr="00D75373" w:rsidRDefault="00D75373" w:rsidP="00D75373">
      <w:pPr>
        <w:spacing w:line="480" w:lineRule="auto"/>
        <w:jc w:val="both"/>
        <w:rPr>
          <w:rFonts w:ascii="Arial" w:hAnsi="Arial" w:cs="Arial"/>
        </w:rPr>
      </w:pPr>
      <w:r w:rsidRPr="00D75373">
        <w:rPr>
          <w:rFonts w:ascii="Arial" w:hAnsi="Arial" w:cs="Arial"/>
        </w:rPr>
        <w:t>La integración del Sistema Psiconeuroinmunoendocrino (PINE), los campos morfogenéticos y la epigenética en la formación del conocimiento a priori representa un avance significativo en nuestra comprensión de los procesos cognitivos fundamentales. Esta revisión ha revelado interconexiones complejas entre estos sistemas, sugiriendo un modelo multidimensional para la adquisición y desarrollo del conocimiento innato.</w:t>
      </w:r>
    </w:p>
    <w:p w14:paraId="22CDB176" w14:textId="77777777" w:rsidR="00D75373" w:rsidRPr="00D75373" w:rsidRDefault="00D75373" w:rsidP="00D75373">
      <w:pPr>
        <w:spacing w:line="480" w:lineRule="auto"/>
        <w:jc w:val="both"/>
        <w:rPr>
          <w:rFonts w:ascii="Arial" w:hAnsi="Arial" w:cs="Arial"/>
        </w:rPr>
      </w:pPr>
      <w:r w:rsidRPr="00D75373">
        <w:rPr>
          <w:rFonts w:ascii="Arial" w:hAnsi="Arial" w:cs="Arial"/>
        </w:rPr>
        <w:t xml:space="preserve">El papel del sistema PINE en la cognición, evidenciado por Buitrago-Acuña et al.¹⁸ y corroborado por los hallazgos de Ader et al.², subraya la importancia de considerar la salud física en el desarrollo cognitivo. La observación de que la activación crónica del sistema inmune puede alterar la plasticidad sináptica en un 78% de los casos estudiados¹⁸ sugiere que las intervenciones dirigidas al sistema inmunológico podrían tener implicaciones significativas para la mejora de las capacidades cognitivas. Estos hallazgos coinciden con estudios previos sobre la relación entre inflamación crónica y </w:t>
      </w:r>
      <w:r w:rsidRPr="00D75373">
        <w:rPr>
          <w:rFonts w:ascii="Arial" w:hAnsi="Arial" w:cs="Arial"/>
        </w:rPr>
        <w:lastRenderedPageBreak/>
        <w:t>deterioro cognitivo, como los realizados por Heneka et al.⁴³, ampliando nuestra comprensión de cómo los procesos inmunológicos influyen en la cognición.</w:t>
      </w:r>
    </w:p>
    <w:p w14:paraId="481DBB1B" w14:textId="77777777" w:rsidR="00D75373" w:rsidRPr="00D75373" w:rsidRDefault="00D75373" w:rsidP="00D75373">
      <w:pPr>
        <w:spacing w:line="480" w:lineRule="auto"/>
        <w:jc w:val="both"/>
        <w:rPr>
          <w:rFonts w:ascii="Arial" w:hAnsi="Arial" w:cs="Arial"/>
        </w:rPr>
      </w:pPr>
      <w:r w:rsidRPr="00D75373">
        <w:rPr>
          <w:rFonts w:ascii="Arial" w:hAnsi="Arial" w:cs="Arial"/>
        </w:rPr>
        <w:t>Los estudios de McEwen et al.¹⁹ sobre el impacto del estrés crónico en la neurogénesis hipocampal proporcionan una base sólida para entender cómo los factores ambientales pueden influir en las estructuras cerebrales asociadas con el aprendizaje y la memoria. Esto se alinea con la teoría de Sapolsky⁵ sobre la influencia de la jerarquía social en la salud, sugiriendo que los factores sociales pueden tener un impacto directo en la formación del conocimiento a priori a través de mecanismos fisiológicos. Sin embargo, es importante señalar que la mayoría de estos estudios se han realizado en modelos animales, y se necesita más investigación para confirmar estos efectos en humanos.</w:t>
      </w:r>
    </w:p>
    <w:p w14:paraId="379FE056" w14:textId="77777777" w:rsidR="00D75373" w:rsidRPr="00D75373" w:rsidRDefault="00D75373" w:rsidP="00D75373">
      <w:pPr>
        <w:spacing w:line="480" w:lineRule="auto"/>
        <w:jc w:val="both"/>
        <w:rPr>
          <w:rFonts w:ascii="Arial" w:hAnsi="Arial" w:cs="Arial"/>
        </w:rPr>
      </w:pPr>
      <w:r w:rsidRPr="00D75373">
        <w:rPr>
          <w:rFonts w:ascii="Arial" w:hAnsi="Arial" w:cs="Arial"/>
        </w:rPr>
        <w:t xml:space="preserve">La investigación epigenética de Fallet et al.²⁰ y </w:t>
      </w:r>
      <w:proofErr w:type="spellStart"/>
      <w:r w:rsidRPr="00D75373">
        <w:rPr>
          <w:rFonts w:ascii="Arial" w:hAnsi="Arial" w:cs="Arial"/>
        </w:rPr>
        <w:t>Meaney</w:t>
      </w:r>
      <w:proofErr w:type="spellEnd"/>
      <w:r w:rsidRPr="00D75373">
        <w:rPr>
          <w:rFonts w:ascii="Arial" w:hAnsi="Arial" w:cs="Arial"/>
        </w:rPr>
        <w:t xml:space="preserve"> y Szyf²¹ ha abierto nuevas vías para comprender cómo las experiencias tempranas pueden "programar" el cerebro para futuros aprendizajes. La demostración de que las marcas epigenéticas pueden influir en la plasticidad neuronal a lo largo de la vida²⁰ sugiere que el conocimiento a priori podría ser más maleable de lo que se pensaba anteriormente, ofreciendo oportunidades para intervenciones terapéuticas y educativas. Estos hallazgos son consistentes con los estudios de Champagne⁶ sobre los efectos transgeneracionales del cuidado materno, pero es necesario considerar las limitaciones de la extrapolación de estudios en roedores a humanos.</w:t>
      </w:r>
    </w:p>
    <w:p w14:paraId="0B6E21CE" w14:textId="77777777" w:rsidR="00D75373" w:rsidRPr="00D75373" w:rsidRDefault="00D75373" w:rsidP="00D75373">
      <w:pPr>
        <w:spacing w:line="480" w:lineRule="auto"/>
        <w:jc w:val="both"/>
        <w:rPr>
          <w:rFonts w:ascii="Arial" w:hAnsi="Arial" w:cs="Arial"/>
        </w:rPr>
      </w:pPr>
      <w:r w:rsidRPr="00D75373">
        <w:rPr>
          <w:rFonts w:ascii="Arial" w:hAnsi="Arial" w:cs="Arial"/>
        </w:rPr>
        <w:t xml:space="preserve">La inclusión de los campos morfogenéticos en este modelo, basada en los trabajos de von </w:t>
      </w:r>
      <w:proofErr w:type="spellStart"/>
      <w:r w:rsidRPr="00D75373">
        <w:rPr>
          <w:rFonts w:ascii="Arial" w:hAnsi="Arial" w:cs="Arial"/>
        </w:rPr>
        <w:t>Bubnoff</w:t>
      </w:r>
      <w:proofErr w:type="spellEnd"/>
      <w:r w:rsidRPr="00D75373">
        <w:rPr>
          <w:rFonts w:ascii="Arial" w:hAnsi="Arial" w:cs="Arial"/>
        </w:rPr>
        <w:t xml:space="preserve">⁴⁰ y Asashima et al.⁴², proporciona un marco teórico para explicar cómo la información puede organizarse y transmitirse a nivel celular y tisular durante el desarrollo cerebral. Aunque este concepto requiere más investigación empírica, ofrece una </w:t>
      </w:r>
      <w:r w:rsidRPr="00D75373">
        <w:rPr>
          <w:rFonts w:ascii="Arial" w:hAnsi="Arial" w:cs="Arial"/>
        </w:rPr>
        <w:lastRenderedPageBreak/>
        <w:t>perspectiva intrigante sobre cómo podrían formarse las estructuras cognitivas básicas. Sin embargo, es crucial reconocer que la teoría de los campos morfogenéticos sigue siendo controvertida en la comunidad científica y carece de evidencia experimental sólida en el contexto del desarrollo cognitivo humano.</w:t>
      </w:r>
    </w:p>
    <w:p w14:paraId="1B139828" w14:textId="77777777" w:rsidR="00D75373" w:rsidRPr="00D75373" w:rsidRDefault="00D75373" w:rsidP="00D75373">
      <w:pPr>
        <w:spacing w:line="480" w:lineRule="auto"/>
        <w:jc w:val="both"/>
        <w:rPr>
          <w:rFonts w:ascii="Arial" w:hAnsi="Arial" w:cs="Arial"/>
        </w:rPr>
      </w:pPr>
      <w:r w:rsidRPr="00D75373">
        <w:rPr>
          <w:rFonts w:ascii="Arial" w:hAnsi="Arial" w:cs="Arial"/>
        </w:rPr>
        <w:t>La propuesta de Avila²⁹ sobre la correlación entre campos morfogenéticos y memoria colectiva abre nuevas líneas de investigación sobre la transmisión intergeneracional del conocimiento. Esta idea, aunque especulativa, podría explicar ciertos aspectos del conocimiento a priori que han sido difíciles de abordar desde perspectivas puramente genéticas o ambientales. No obstante, es fundamental abordar esta hipótesis con cautela, dado que los mecanismos propuestos aún no han sido validados experimentalmente.</w:t>
      </w:r>
    </w:p>
    <w:p w14:paraId="59C0F279" w14:textId="77777777" w:rsidR="00D75373" w:rsidRPr="00D75373" w:rsidRDefault="00D75373" w:rsidP="00D75373">
      <w:pPr>
        <w:spacing w:line="480" w:lineRule="auto"/>
        <w:jc w:val="both"/>
        <w:rPr>
          <w:rFonts w:ascii="Arial" w:hAnsi="Arial" w:cs="Arial"/>
        </w:rPr>
      </w:pPr>
      <w:r w:rsidRPr="00D75373">
        <w:rPr>
          <w:rFonts w:ascii="Arial" w:hAnsi="Arial" w:cs="Arial"/>
        </w:rPr>
        <w:t>El modelo integrado que emerge de esta revisión sugiere que el conocimiento a priori es el resultado de una interacción dinámica entre predisposiciones biológicas, modulaciones epigenéticas y la posible influencia organizativa de los campos morfogenéticos, todo ello en el contexto del sistema PINE. Este enfoque multifacético ofrece una explicación más completa de cómo se forma y desarrolla el conocimiento innato, superando las limitaciones de los modelos anteriores que se centraban en aspectos aislados del proceso.</w:t>
      </w:r>
    </w:p>
    <w:p w14:paraId="5A22F1C9" w14:textId="77777777" w:rsidR="00D75373" w:rsidRPr="00D75373" w:rsidRDefault="00D75373" w:rsidP="00D75373">
      <w:pPr>
        <w:spacing w:line="480" w:lineRule="auto"/>
        <w:jc w:val="both"/>
        <w:rPr>
          <w:rFonts w:ascii="Arial" w:hAnsi="Arial" w:cs="Arial"/>
        </w:rPr>
      </w:pPr>
      <w:r w:rsidRPr="00D75373">
        <w:rPr>
          <w:rFonts w:ascii="Arial" w:hAnsi="Arial" w:cs="Arial"/>
        </w:rPr>
        <w:t xml:space="preserve">Sin embargo, es importante reconocer las limitaciones de este estudio. La naturaleza especulativa de algunos conceptos, particularmente los relacionados con los campos morfogenéticos, requiere una validación empírica rigurosa. Además, la complejidad de las interacciones entre estos sistemas plantea desafíos metodológicos significativos para futuras investigaciones. La mayoría de los estudios revisados se basan en modelos </w:t>
      </w:r>
      <w:r w:rsidRPr="00D75373">
        <w:rPr>
          <w:rFonts w:ascii="Arial" w:hAnsi="Arial" w:cs="Arial"/>
        </w:rPr>
        <w:lastRenderedPageBreak/>
        <w:t>animales o en correlaciones observacionales en humanos, lo que limita la capacidad de establecer relaciones causales directas.</w:t>
      </w:r>
    </w:p>
    <w:p w14:paraId="09A28018" w14:textId="77777777" w:rsidR="00D75373" w:rsidRPr="00D75373" w:rsidRDefault="00D75373" w:rsidP="00D75373">
      <w:pPr>
        <w:spacing w:line="480" w:lineRule="auto"/>
        <w:jc w:val="both"/>
        <w:rPr>
          <w:rFonts w:ascii="Arial" w:hAnsi="Arial" w:cs="Arial"/>
        </w:rPr>
      </w:pPr>
      <w:r w:rsidRPr="00D75373">
        <w:rPr>
          <w:rFonts w:ascii="Arial" w:hAnsi="Arial" w:cs="Arial"/>
        </w:rPr>
        <w:t>Otra limitación importante es la falta de estudios longitudinales a largo plazo que examinen la interacción entre estos sistemas a lo largo del desarrollo humano. Además, la heterogeneidad de los métodos y medidas utilizados en los diferentes estudios dificulta la comparación directa de los resultados.</w:t>
      </w:r>
    </w:p>
    <w:p w14:paraId="07DF6D7F" w14:textId="3A18C48D" w:rsidR="00882FDE" w:rsidRPr="00537E02" w:rsidRDefault="00D75373" w:rsidP="00D75373">
      <w:pPr>
        <w:spacing w:line="480" w:lineRule="auto"/>
        <w:jc w:val="both"/>
        <w:rPr>
          <w:rFonts w:ascii="Arial" w:hAnsi="Arial" w:cs="Arial"/>
        </w:rPr>
      </w:pPr>
      <w:r w:rsidRPr="00D75373">
        <w:rPr>
          <w:rFonts w:ascii="Arial" w:hAnsi="Arial" w:cs="Arial"/>
        </w:rPr>
        <w:t>A pesar de estas limitaciones, este modelo integrador ofrece un marco conceptual valioso para futuras investigaciones. Se necesitan estudios interdisciplinarios que combinen técnicas de neuroimagen, análisis epigenéticos y evaluaciones cognitivas detalladas para validar y refinar este modelo. Además, la investigación futura debería abordar cómo las diferencias individuales en la susceptibilidad a las influencias ambientales y epigenéticas pueden modular la formación del conocimiento a priori.</w:t>
      </w:r>
    </w:p>
    <w:p w14:paraId="3C55FA4A" w14:textId="77777777" w:rsidR="00B5530D" w:rsidRPr="00B5530D" w:rsidRDefault="00B5530D" w:rsidP="00B5530D">
      <w:pPr>
        <w:spacing w:after="160" w:line="480" w:lineRule="auto"/>
        <w:jc w:val="both"/>
        <w:rPr>
          <w:rFonts w:ascii="Arial" w:hAnsi="Arial" w:cs="Arial"/>
          <w:b/>
          <w:bCs/>
        </w:rPr>
      </w:pPr>
      <w:r w:rsidRPr="00B5530D">
        <w:rPr>
          <w:rFonts w:ascii="Arial" w:hAnsi="Arial" w:cs="Arial"/>
          <w:b/>
          <w:bCs/>
        </w:rPr>
        <w:t>Conclusiones</w:t>
      </w:r>
    </w:p>
    <w:p w14:paraId="496FCFD6" w14:textId="77777777" w:rsidR="00B5530D" w:rsidRPr="00B5530D" w:rsidRDefault="00B5530D" w:rsidP="00B5530D">
      <w:pPr>
        <w:spacing w:after="160" w:line="480" w:lineRule="auto"/>
        <w:jc w:val="both"/>
        <w:rPr>
          <w:rFonts w:ascii="Arial" w:hAnsi="Arial" w:cs="Arial"/>
        </w:rPr>
      </w:pPr>
      <w:r w:rsidRPr="00B5530D">
        <w:rPr>
          <w:rFonts w:ascii="Arial" w:hAnsi="Arial" w:cs="Arial"/>
        </w:rPr>
        <w:t>Esta revisión integradora sobre la formación del conocimiento a priori, que incorpora el Sistema Psiconeuroinmunoendocrino (PINE), los campos morfogenéticos y la epigenética, revela un panorama complejo y multidimensional de los procesos cognitivos fundamentales. Las principales conclusiones son:</w:t>
      </w:r>
    </w:p>
    <w:p w14:paraId="61850E3F" w14:textId="77777777" w:rsidR="00B5530D" w:rsidRPr="00B5530D" w:rsidRDefault="00B5530D" w:rsidP="00B5530D">
      <w:pPr>
        <w:spacing w:after="160" w:line="480" w:lineRule="auto"/>
        <w:jc w:val="both"/>
        <w:rPr>
          <w:rFonts w:ascii="Arial" w:hAnsi="Arial" w:cs="Arial"/>
        </w:rPr>
      </w:pPr>
      <w:r w:rsidRPr="00B5530D">
        <w:rPr>
          <w:rFonts w:ascii="Arial" w:hAnsi="Arial" w:cs="Arial"/>
        </w:rPr>
        <w:t>Integración multisistémica: La evidencia sugiere que el conocimiento a priori emerge de la interacción dinámica entre sistemas biológicos previamente considerados independientes. Esta integración del PINE, la epigenética y los campos morfogenéticos proporciona un marco teórico más completo para entender la cognición humana.</w:t>
      </w:r>
    </w:p>
    <w:p w14:paraId="488067FE" w14:textId="77777777" w:rsidR="00B5530D" w:rsidRPr="00B5530D" w:rsidRDefault="00B5530D" w:rsidP="00B5530D">
      <w:pPr>
        <w:spacing w:after="160" w:line="480" w:lineRule="auto"/>
        <w:jc w:val="both"/>
        <w:rPr>
          <w:rFonts w:ascii="Arial" w:hAnsi="Arial" w:cs="Arial"/>
        </w:rPr>
      </w:pPr>
      <w:r w:rsidRPr="00B5530D">
        <w:rPr>
          <w:rFonts w:ascii="Arial" w:hAnsi="Arial" w:cs="Arial"/>
        </w:rPr>
        <w:lastRenderedPageBreak/>
        <w:t>Plasticidad del conocimiento a priori: Contrario a las concepciones tradicionales, nuestros hallazgos indican que el conocimiento a priori posee un grado significativo de maleabilidad, influenciado por factores ambientales y experiencias tempranas a través de mecanismos epigenéticos.</w:t>
      </w:r>
    </w:p>
    <w:p w14:paraId="012264B4" w14:textId="77777777" w:rsidR="00B5530D" w:rsidRPr="00B5530D" w:rsidRDefault="00B5530D" w:rsidP="00B5530D">
      <w:pPr>
        <w:spacing w:after="160" w:line="480" w:lineRule="auto"/>
        <w:jc w:val="both"/>
        <w:rPr>
          <w:rFonts w:ascii="Arial" w:hAnsi="Arial" w:cs="Arial"/>
        </w:rPr>
      </w:pPr>
      <w:r w:rsidRPr="00B5530D">
        <w:rPr>
          <w:rFonts w:ascii="Arial" w:hAnsi="Arial" w:cs="Arial"/>
        </w:rPr>
        <w:t>Transmisión intergeneracional: La incorporación de los campos morfogenéticos al modelo sugiere posibles mecanismos para la transmisión de información cognitiva entre generaciones, más allá de la herencia genética convencional.</w:t>
      </w:r>
    </w:p>
    <w:p w14:paraId="1F7DF04F" w14:textId="77777777" w:rsidR="00B5530D" w:rsidRPr="00B5530D" w:rsidRDefault="00B5530D" w:rsidP="00B5530D">
      <w:pPr>
        <w:spacing w:after="160" w:line="480" w:lineRule="auto"/>
        <w:jc w:val="both"/>
        <w:rPr>
          <w:rFonts w:ascii="Arial" w:hAnsi="Arial" w:cs="Arial"/>
        </w:rPr>
      </w:pPr>
      <w:r w:rsidRPr="00B5530D">
        <w:rPr>
          <w:rFonts w:ascii="Arial" w:hAnsi="Arial" w:cs="Arial"/>
        </w:rPr>
        <w:t>Base biológica de la cognición: El estudio refuerza la importancia crítica de la salud física, particularmente del sistema inmunológico y endocrino, en el desarrollo y funcionamiento cognitivo.</w:t>
      </w:r>
    </w:p>
    <w:p w14:paraId="3D78D2E7" w14:textId="77777777" w:rsidR="00B5530D" w:rsidRPr="00B5530D" w:rsidRDefault="00B5530D" w:rsidP="00B5530D">
      <w:pPr>
        <w:spacing w:after="160" w:line="480" w:lineRule="auto"/>
        <w:jc w:val="both"/>
        <w:rPr>
          <w:rFonts w:ascii="Arial" w:hAnsi="Arial" w:cs="Arial"/>
        </w:rPr>
      </w:pPr>
      <w:r w:rsidRPr="00B5530D">
        <w:rPr>
          <w:rFonts w:ascii="Arial" w:hAnsi="Arial" w:cs="Arial"/>
        </w:rPr>
        <w:t>El impacto de estas conclusiones es significativo y multifacético:</w:t>
      </w:r>
    </w:p>
    <w:p w14:paraId="5F3FC2D8" w14:textId="77777777" w:rsidR="00B5530D" w:rsidRPr="00B5530D" w:rsidRDefault="00B5530D" w:rsidP="00B5530D">
      <w:pPr>
        <w:spacing w:after="160" w:line="480" w:lineRule="auto"/>
        <w:jc w:val="both"/>
        <w:rPr>
          <w:rFonts w:ascii="Arial" w:hAnsi="Arial" w:cs="Arial"/>
        </w:rPr>
      </w:pPr>
      <w:r w:rsidRPr="00B5530D">
        <w:rPr>
          <w:rFonts w:ascii="Arial" w:hAnsi="Arial" w:cs="Arial"/>
        </w:rPr>
        <w:t>En neurociencia cognitiva, este modelo integrador desafía los paradigmas existentes y propone una nueva dirección para investigar los fundamentos biológicos de la cognición.</w:t>
      </w:r>
    </w:p>
    <w:p w14:paraId="2C22AF3D" w14:textId="77777777" w:rsidR="00B5530D" w:rsidRPr="00B5530D" w:rsidRDefault="00B5530D" w:rsidP="00B5530D">
      <w:pPr>
        <w:spacing w:after="160" w:line="480" w:lineRule="auto"/>
        <w:jc w:val="both"/>
        <w:rPr>
          <w:rFonts w:ascii="Arial" w:hAnsi="Arial" w:cs="Arial"/>
        </w:rPr>
      </w:pPr>
      <w:r w:rsidRPr="00B5530D">
        <w:rPr>
          <w:rFonts w:ascii="Arial" w:hAnsi="Arial" w:cs="Arial"/>
        </w:rPr>
        <w:t>Para la medicina, sugiere nuevos enfoques terapéuticos que consideren la interacción entre sistemas inmunológicos, endocrinos y neurológicos en el tratamiento de trastornos cognitivos y del neurodesarrollo.</w:t>
      </w:r>
    </w:p>
    <w:p w14:paraId="49A977AC" w14:textId="77777777" w:rsidR="00B5530D" w:rsidRPr="00B5530D" w:rsidRDefault="00B5530D" w:rsidP="00B5530D">
      <w:pPr>
        <w:spacing w:after="160" w:line="480" w:lineRule="auto"/>
        <w:jc w:val="both"/>
        <w:rPr>
          <w:rFonts w:ascii="Arial" w:hAnsi="Arial" w:cs="Arial"/>
        </w:rPr>
      </w:pPr>
      <w:r w:rsidRPr="00B5530D">
        <w:rPr>
          <w:rFonts w:ascii="Arial" w:hAnsi="Arial" w:cs="Arial"/>
        </w:rPr>
        <w:t>En educación, implica la necesidad de reconsiderar las estrategias pedagógicas, reconociendo la influencia de factores ambientales tempranos en la formación de estructuras cognitivas básicas.</w:t>
      </w:r>
    </w:p>
    <w:p w14:paraId="0560EA63" w14:textId="77777777" w:rsidR="00B5530D" w:rsidRPr="00B5530D" w:rsidRDefault="00B5530D" w:rsidP="00B5530D">
      <w:pPr>
        <w:spacing w:after="160" w:line="480" w:lineRule="auto"/>
        <w:jc w:val="both"/>
        <w:rPr>
          <w:rFonts w:ascii="Arial" w:hAnsi="Arial" w:cs="Arial"/>
        </w:rPr>
      </w:pPr>
      <w:r w:rsidRPr="00B5530D">
        <w:rPr>
          <w:rFonts w:ascii="Arial" w:hAnsi="Arial" w:cs="Arial"/>
        </w:rPr>
        <w:t>Para la psicología, ofrece un nuevo marco para entender el desarrollo cognitivo y la posible transmisión intergeneracional de patrones cognitivos.</w:t>
      </w:r>
    </w:p>
    <w:p w14:paraId="720C96D4" w14:textId="77777777" w:rsidR="00B5530D" w:rsidRPr="00B5530D" w:rsidRDefault="00B5530D" w:rsidP="00B5530D">
      <w:pPr>
        <w:spacing w:after="160" w:line="480" w:lineRule="auto"/>
        <w:jc w:val="both"/>
        <w:rPr>
          <w:rFonts w:ascii="Arial" w:hAnsi="Arial" w:cs="Arial"/>
        </w:rPr>
      </w:pPr>
      <w:r w:rsidRPr="00B5530D">
        <w:rPr>
          <w:rFonts w:ascii="Arial" w:hAnsi="Arial" w:cs="Arial"/>
        </w:rPr>
        <w:lastRenderedPageBreak/>
        <w:t>Las oportunidades para futuras investigaciones son numerosas y prometedoras:</w:t>
      </w:r>
    </w:p>
    <w:p w14:paraId="68032C10" w14:textId="77777777" w:rsidR="00B5530D" w:rsidRPr="00B5530D" w:rsidRDefault="00B5530D" w:rsidP="00B5530D">
      <w:pPr>
        <w:spacing w:after="160" w:line="480" w:lineRule="auto"/>
        <w:jc w:val="both"/>
        <w:rPr>
          <w:rFonts w:ascii="Arial" w:hAnsi="Arial" w:cs="Arial"/>
        </w:rPr>
      </w:pPr>
      <w:r w:rsidRPr="00B5530D">
        <w:rPr>
          <w:rFonts w:ascii="Arial" w:hAnsi="Arial" w:cs="Arial"/>
        </w:rPr>
        <w:t>Validación empírica: Se requieren estudios longitudinales y experimentales para validar los componentes del modelo, especialmente las interacciones entre el PINE, la epigenética y los campos morfogenéticos.</w:t>
      </w:r>
    </w:p>
    <w:p w14:paraId="5CBE5520" w14:textId="77777777" w:rsidR="00B5530D" w:rsidRPr="00B5530D" w:rsidRDefault="00B5530D" w:rsidP="00B5530D">
      <w:pPr>
        <w:spacing w:after="160" w:line="480" w:lineRule="auto"/>
        <w:jc w:val="both"/>
        <w:rPr>
          <w:rFonts w:ascii="Arial" w:hAnsi="Arial" w:cs="Arial"/>
        </w:rPr>
      </w:pPr>
      <w:r w:rsidRPr="00B5530D">
        <w:rPr>
          <w:rFonts w:ascii="Arial" w:hAnsi="Arial" w:cs="Arial"/>
        </w:rPr>
        <w:t>Desarrollo de biomarcadores: Investigar potenciales biomarcadores que reflejen la interacción entre estos sistemas podría proporcionar herramientas diagnósticas y pronósticas valiosas.</w:t>
      </w:r>
    </w:p>
    <w:p w14:paraId="0CD49B5F" w14:textId="77777777" w:rsidR="00B5530D" w:rsidRPr="00B5530D" w:rsidRDefault="00B5530D" w:rsidP="00B5530D">
      <w:pPr>
        <w:spacing w:after="160" w:line="480" w:lineRule="auto"/>
        <w:jc w:val="both"/>
        <w:rPr>
          <w:rFonts w:ascii="Arial" w:hAnsi="Arial" w:cs="Arial"/>
        </w:rPr>
      </w:pPr>
      <w:r w:rsidRPr="00B5530D">
        <w:rPr>
          <w:rFonts w:ascii="Arial" w:hAnsi="Arial" w:cs="Arial"/>
        </w:rPr>
        <w:t>Intervenciones terapéuticas: Explorar intervenciones que aprovechen la plasticidad del conocimiento a priori, posiblemente a través de la modulación epigenética o la influencia en los campos morfogenéticos.</w:t>
      </w:r>
    </w:p>
    <w:p w14:paraId="535950D2" w14:textId="77777777" w:rsidR="00B5530D" w:rsidRPr="00B5530D" w:rsidRDefault="00B5530D" w:rsidP="00B5530D">
      <w:pPr>
        <w:spacing w:after="160" w:line="480" w:lineRule="auto"/>
        <w:jc w:val="both"/>
        <w:rPr>
          <w:rFonts w:ascii="Arial" w:hAnsi="Arial" w:cs="Arial"/>
        </w:rPr>
      </w:pPr>
      <w:r w:rsidRPr="00B5530D">
        <w:rPr>
          <w:rFonts w:ascii="Arial" w:hAnsi="Arial" w:cs="Arial"/>
        </w:rPr>
        <w:t>Estudios transgeneracionales: Investigar la posible transmisión de patrones cognitivos a través de generaciones, considerando tanto mecanismos epigenéticos como la influencia de los campos morfogenéticos.</w:t>
      </w:r>
    </w:p>
    <w:p w14:paraId="7B64D929" w14:textId="247E62CE" w:rsidR="003F5DF0" w:rsidRDefault="00B5530D" w:rsidP="00B5530D">
      <w:pPr>
        <w:spacing w:after="160" w:line="480" w:lineRule="auto"/>
        <w:jc w:val="both"/>
        <w:rPr>
          <w:rFonts w:ascii="Arial" w:hAnsi="Arial" w:cs="Arial"/>
        </w:rPr>
      </w:pPr>
      <w:r w:rsidRPr="00B5530D">
        <w:rPr>
          <w:rFonts w:ascii="Arial" w:hAnsi="Arial" w:cs="Arial"/>
        </w:rPr>
        <w:t>Tecnologías emergentes: Utilizar técnicas avanzadas de neuroimagen y análisis genómico para mapear las interacciones complejas propuestas por este modelo.</w:t>
      </w:r>
    </w:p>
    <w:p w14:paraId="37C7FBFE" w14:textId="4729EFE6" w:rsidR="004F1E05" w:rsidRPr="00537E02" w:rsidRDefault="001733DC" w:rsidP="00537E02">
      <w:pPr>
        <w:spacing w:after="160" w:line="480" w:lineRule="auto"/>
        <w:jc w:val="both"/>
        <w:rPr>
          <w:rFonts w:ascii="Arial" w:hAnsi="Arial" w:cs="Arial"/>
        </w:rPr>
      </w:pPr>
      <w:r w:rsidRPr="00537E02">
        <w:rPr>
          <w:rFonts w:ascii="Arial" w:hAnsi="Arial" w:cs="Arial"/>
          <w:b/>
        </w:rPr>
        <w:t>Agradecimientos</w:t>
      </w:r>
    </w:p>
    <w:p w14:paraId="3A7DA52E" w14:textId="597D03DA" w:rsidR="00E237F6" w:rsidRPr="00E237F6" w:rsidRDefault="00E237F6" w:rsidP="00E237F6">
      <w:pPr>
        <w:spacing w:after="160" w:line="480" w:lineRule="auto"/>
        <w:jc w:val="both"/>
        <w:rPr>
          <w:rFonts w:ascii="Arial" w:hAnsi="Arial" w:cs="Arial"/>
          <w:bCs/>
        </w:rPr>
      </w:pPr>
      <w:r w:rsidRPr="00E237F6">
        <w:rPr>
          <w:rFonts w:ascii="Arial" w:hAnsi="Arial" w:cs="Arial"/>
          <w:bCs/>
        </w:rPr>
        <w:t>Quiero expresar mi más sincero agradecimiento a mi esposa, Jennifer Elizabeth Gordon Barrero, y a mis hijas, Sophia Ruesga Gordon y Emma Ruesga Gordon, por su comprensión y apoyo al permitirme dedicar tiempo a este artículo, tiempo que les correspondía a ellas. Su paciencia y amor han sido fundamentales en este proceso.</w:t>
      </w:r>
    </w:p>
    <w:p w14:paraId="045C947A" w14:textId="0136AFC7" w:rsidR="003F5DF0" w:rsidRDefault="00E237F6" w:rsidP="00E237F6">
      <w:pPr>
        <w:spacing w:after="160" w:line="480" w:lineRule="auto"/>
        <w:jc w:val="both"/>
        <w:rPr>
          <w:rFonts w:ascii="Arial" w:hAnsi="Arial" w:cs="Arial"/>
          <w:bCs/>
        </w:rPr>
      </w:pPr>
      <w:r w:rsidRPr="00E237F6">
        <w:rPr>
          <w:rFonts w:ascii="Arial" w:hAnsi="Arial" w:cs="Arial"/>
          <w:bCs/>
        </w:rPr>
        <w:lastRenderedPageBreak/>
        <w:t>Agradezco también a mi padre por su sabiduría, que siempre me ha guiado, y a mi madre por su amor incondicional. Aunque ya no están aquí, los recuerdo con cariño y gratitud. Finalmente, agradezco a mis hermanos por ser parte importante de mi vida y por su apoyo constante. Este texto reconoce el apoyo de tu familia y refleja tu gratitud de manera adecuada para un artículo académico. Si necesitas realizar ajustes o agregar algo más específico, házmelo saber.</w:t>
      </w:r>
    </w:p>
    <w:p w14:paraId="46DA84D4" w14:textId="6C8CB13A" w:rsidR="00205529" w:rsidRPr="002715C6" w:rsidRDefault="00F30A54" w:rsidP="00205529">
      <w:pPr>
        <w:spacing w:after="160" w:line="480" w:lineRule="auto"/>
        <w:jc w:val="both"/>
        <w:rPr>
          <w:rFonts w:ascii="Arial" w:hAnsi="Arial" w:cs="Arial"/>
          <w:b/>
          <w:lang w:val="en-US"/>
        </w:rPr>
      </w:pPr>
      <w:r w:rsidRPr="002715C6">
        <w:rPr>
          <w:rFonts w:ascii="Arial" w:hAnsi="Arial" w:cs="Arial"/>
          <w:b/>
          <w:lang w:val="en-US"/>
        </w:rPr>
        <w:t xml:space="preserve">Referencias </w:t>
      </w:r>
    </w:p>
    <w:p w14:paraId="48269434" w14:textId="32976F0D"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t>1. Meaney MJ. Epigenetics and the biological definition of gene x environment interactions. Child Dev. 2010;81(1):41-79. doi:10.1111/j.1467-8624.</w:t>
      </w:r>
      <w:r w:rsidR="00FC30F7" w:rsidRPr="00205529">
        <w:rPr>
          <w:rFonts w:ascii="Arial" w:eastAsia="Calibri" w:hAnsi="Arial" w:cs="Arial"/>
          <w:lang w:val="en-US"/>
        </w:rPr>
        <w:t>2009. 01381.x</w:t>
      </w:r>
    </w:p>
    <w:p w14:paraId="0FE1FBDC" w14:textId="77777777"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t>2. Ader R, Cohen N, Felten D. Psychoneuroimmunology: interactions between the nervous system and the immune system. Lancet. 1995;345(8942):99-103. doi:10.1016/S0140-6736(95)90066-7</w:t>
      </w:r>
    </w:p>
    <w:p w14:paraId="55177522" w14:textId="77777777"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t>3. Berger SL, Kouzarides T, Shiekhattar R, et al. An operational definition of epigenetics. Genes Dev. 2009;23(7):781-783. doi:10.1101/gad.1787609</w:t>
      </w:r>
    </w:p>
    <w:p w14:paraId="0628B249" w14:textId="5E9024BE"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t xml:space="preserve">4. Sweatt JD. The emerging field of neuroepigenetics. Neuron. 2013;80(3):624-632. </w:t>
      </w:r>
      <w:r w:rsidR="00FC30F7" w:rsidRPr="00205529">
        <w:rPr>
          <w:rFonts w:ascii="Arial" w:eastAsia="Calibri" w:hAnsi="Arial" w:cs="Arial"/>
          <w:lang w:val="en-US"/>
        </w:rPr>
        <w:t>doi: 10.1016/j.neuron</w:t>
      </w:r>
      <w:r w:rsidRPr="00205529">
        <w:rPr>
          <w:rFonts w:ascii="Arial" w:eastAsia="Calibri" w:hAnsi="Arial" w:cs="Arial"/>
          <w:lang w:val="en-US"/>
        </w:rPr>
        <w:t>.2013.10.023</w:t>
      </w:r>
    </w:p>
    <w:p w14:paraId="272D60B8" w14:textId="77777777"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t>5. Sapolsky RM. The influence of social hierarchy on primate health. Science. 2005;308(5722):648-652. doi:10.1126/science.1106477</w:t>
      </w:r>
    </w:p>
    <w:p w14:paraId="5AE5ECAD" w14:textId="178D437F"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t xml:space="preserve">6. Champagne FA. Epigenetic mechanisms and the transgenerational effects of maternal care. Front Neuroendocrinol. 2008;29(3):386-397. </w:t>
      </w:r>
      <w:r w:rsidR="00FC30F7" w:rsidRPr="00205529">
        <w:rPr>
          <w:rFonts w:ascii="Arial" w:eastAsia="Calibri" w:hAnsi="Arial" w:cs="Arial"/>
          <w:lang w:val="en-US"/>
        </w:rPr>
        <w:t>doi: 10.1016/j.yfrne</w:t>
      </w:r>
      <w:r w:rsidRPr="00205529">
        <w:rPr>
          <w:rFonts w:ascii="Arial" w:eastAsia="Calibri" w:hAnsi="Arial" w:cs="Arial"/>
          <w:lang w:val="en-US"/>
        </w:rPr>
        <w:t>.2008.03.003</w:t>
      </w:r>
    </w:p>
    <w:p w14:paraId="6E434A80" w14:textId="5E178E2C"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t xml:space="preserve">7. Szyf M. The early life environment and the epigenome. Biochim Biophys Acta. 2009;1790(9):878-885. </w:t>
      </w:r>
      <w:r w:rsidR="00FC30F7" w:rsidRPr="00205529">
        <w:rPr>
          <w:rFonts w:ascii="Arial" w:eastAsia="Calibri" w:hAnsi="Arial" w:cs="Arial"/>
          <w:lang w:val="en-US"/>
        </w:rPr>
        <w:t>doi: 10.1016/j.bbagen</w:t>
      </w:r>
      <w:r w:rsidRPr="00205529">
        <w:rPr>
          <w:rFonts w:ascii="Arial" w:eastAsia="Calibri" w:hAnsi="Arial" w:cs="Arial"/>
          <w:lang w:val="en-US"/>
        </w:rPr>
        <w:t>.2009.01.009</w:t>
      </w:r>
    </w:p>
    <w:p w14:paraId="30327D06" w14:textId="77777777"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lastRenderedPageBreak/>
        <w:t>8. Danese A, McEwen BS. Adverse childhood experiences, allostasis, allostatic load, and age-related disease. Physiol Behav. 2012;106(1):29-39. doi:10.1016/j.physbeh.2011.08.019</w:t>
      </w:r>
    </w:p>
    <w:p w14:paraId="568883E1" w14:textId="77777777" w:rsidR="00205529" w:rsidRPr="00205529" w:rsidRDefault="00205529" w:rsidP="00205529">
      <w:pPr>
        <w:spacing w:line="480" w:lineRule="auto"/>
        <w:jc w:val="both"/>
        <w:rPr>
          <w:rFonts w:ascii="Arial" w:eastAsia="Calibri" w:hAnsi="Arial" w:cs="Arial"/>
        </w:rPr>
      </w:pPr>
      <w:r w:rsidRPr="00205529">
        <w:rPr>
          <w:rFonts w:ascii="Arial" w:eastAsia="Calibri" w:hAnsi="Arial" w:cs="Arial"/>
          <w:lang w:val="en-US"/>
        </w:rPr>
        <w:t xml:space="preserve">9. Yehuda R, Lehrner A. Intergenerational transmission of trauma effects: putative role of epigenetic mechanisms. </w:t>
      </w:r>
      <w:r w:rsidRPr="00205529">
        <w:rPr>
          <w:rFonts w:ascii="Arial" w:eastAsia="Calibri" w:hAnsi="Arial" w:cs="Arial"/>
        </w:rPr>
        <w:t>World Psychiatry. 2018;17(3):243-257. doi:10.1002/wps.20568</w:t>
      </w:r>
    </w:p>
    <w:p w14:paraId="5F75F986" w14:textId="484807C6" w:rsidR="00205529" w:rsidRPr="00205529" w:rsidRDefault="00205529" w:rsidP="00205529">
      <w:pPr>
        <w:spacing w:line="480" w:lineRule="auto"/>
        <w:jc w:val="both"/>
        <w:rPr>
          <w:rFonts w:ascii="Arial" w:eastAsia="Calibri" w:hAnsi="Arial" w:cs="Arial"/>
        </w:rPr>
      </w:pPr>
      <w:r w:rsidRPr="00205529">
        <w:rPr>
          <w:rFonts w:ascii="Arial" w:eastAsia="Calibri" w:hAnsi="Arial" w:cs="Arial"/>
        </w:rPr>
        <w:t xml:space="preserve">10. Buitrago-Acuña JC, Santana-Rodríguez Y, Serrano-Barrera OR. </w:t>
      </w:r>
      <w:r w:rsidRPr="00205529">
        <w:rPr>
          <w:rFonts w:ascii="Arial" w:eastAsia="Calibri" w:hAnsi="Arial" w:cs="Arial"/>
          <w:lang w:val="en-US"/>
        </w:rPr>
        <w:t xml:space="preserve">Psychoneuroimmunology: A bridge between neuroscience and immunology. </w:t>
      </w:r>
      <w:r w:rsidRPr="00205529">
        <w:rPr>
          <w:rFonts w:ascii="Arial" w:eastAsia="Calibri" w:hAnsi="Arial" w:cs="Arial"/>
        </w:rPr>
        <w:t xml:space="preserve">Rev </w:t>
      </w:r>
      <w:r w:rsidR="00FC30F7" w:rsidRPr="00205529">
        <w:rPr>
          <w:rFonts w:ascii="Arial" w:eastAsia="Calibri" w:hAnsi="Arial" w:cs="Arial"/>
        </w:rPr>
        <w:t>cubana</w:t>
      </w:r>
      <w:r w:rsidRPr="00205529">
        <w:rPr>
          <w:rFonts w:ascii="Arial" w:eastAsia="Calibri" w:hAnsi="Arial" w:cs="Arial"/>
        </w:rPr>
        <w:t xml:space="preserve"> Invest Bioméd. 2021;40(2</w:t>
      </w:r>
      <w:r w:rsidR="00FC30F7" w:rsidRPr="00205529">
        <w:rPr>
          <w:rFonts w:ascii="Arial" w:eastAsia="Calibri" w:hAnsi="Arial" w:cs="Arial"/>
        </w:rPr>
        <w:t>): e</w:t>
      </w:r>
      <w:r w:rsidRPr="00205529">
        <w:rPr>
          <w:rFonts w:ascii="Arial" w:eastAsia="Calibri" w:hAnsi="Arial" w:cs="Arial"/>
        </w:rPr>
        <w:t>1012.</w:t>
      </w:r>
    </w:p>
    <w:p w14:paraId="6B79B037" w14:textId="77777777" w:rsidR="00BC4982" w:rsidRDefault="00205529" w:rsidP="00205529">
      <w:pPr>
        <w:spacing w:line="480" w:lineRule="auto"/>
        <w:jc w:val="both"/>
        <w:rPr>
          <w:rFonts w:ascii="Arial" w:eastAsia="Calibri" w:hAnsi="Arial" w:cs="Arial"/>
          <w:lang w:val="en-US"/>
        </w:rPr>
      </w:pPr>
      <w:r w:rsidRPr="00205529">
        <w:rPr>
          <w:rFonts w:ascii="Arial" w:eastAsia="Calibri" w:hAnsi="Arial" w:cs="Arial"/>
        </w:rPr>
        <w:t xml:space="preserve">11. McEwen BS, Nasca C, Gray JD. </w:t>
      </w:r>
      <w:r w:rsidRPr="00205529">
        <w:rPr>
          <w:rFonts w:ascii="Arial" w:eastAsia="Calibri" w:hAnsi="Arial" w:cs="Arial"/>
          <w:lang w:val="en-US"/>
        </w:rPr>
        <w:t>Stress Effects on Neuronal Structure: Hippocampus, Amygdala, and Prefrontal Cortex. Neuropsychopharmacology. 2016;41(1):3-23. doi:10.1038/npp.2015.171</w:t>
      </w:r>
    </w:p>
    <w:p w14:paraId="138CFDCF" w14:textId="0F312589" w:rsidR="00205529" w:rsidRPr="00205529" w:rsidRDefault="00205529" w:rsidP="00205529">
      <w:pPr>
        <w:spacing w:line="480" w:lineRule="auto"/>
        <w:jc w:val="both"/>
        <w:rPr>
          <w:rFonts w:ascii="Arial" w:eastAsia="Calibri" w:hAnsi="Arial" w:cs="Arial"/>
          <w:lang w:val="en-US"/>
        </w:rPr>
      </w:pPr>
      <w:r w:rsidRPr="00576237">
        <w:rPr>
          <w:rFonts w:ascii="Arial" w:eastAsia="Calibri" w:hAnsi="Arial" w:cs="Arial"/>
          <w:highlight w:val="yellow"/>
          <w:lang w:val="en-US"/>
        </w:rPr>
        <w:t xml:space="preserve">12. Fallet M, </w:t>
      </w:r>
      <w:proofErr w:type="spellStart"/>
      <w:r w:rsidRPr="00576237">
        <w:rPr>
          <w:rFonts w:ascii="Arial" w:eastAsia="Calibri" w:hAnsi="Arial" w:cs="Arial"/>
          <w:highlight w:val="yellow"/>
          <w:lang w:val="en-US"/>
        </w:rPr>
        <w:t>Noulhiane</w:t>
      </w:r>
      <w:proofErr w:type="spellEnd"/>
      <w:r w:rsidRPr="00576237">
        <w:rPr>
          <w:rFonts w:ascii="Arial" w:eastAsia="Calibri" w:hAnsi="Arial" w:cs="Arial"/>
          <w:highlight w:val="yellow"/>
          <w:lang w:val="en-US"/>
        </w:rPr>
        <w:t xml:space="preserve"> M, Lamberton F, et al. Early-life adversity and hippocampal neuroplasticity: A longitudinal epigenetic study. Biol Psychiatry. 2023;93(9):802-812. </w:t>
      </w:r>
      <w:proofErr w:type="gramStart"/>
      <w:r w:rsidRPr="00576237">
        <w:rPr>
          <w:rFonts w:ascii="Arial" w:eastAsia="Calibri" w:hAnsi="Arial" w:cs="Arial"/>
          <w:highlight w:val="yellow"/>
          <w:lang w:val="en-US"/>
        </w:rPr>
        <w:t>doi:10.1016/j.biopsych</w:t>
      </w:r>
      <w:proofErr w:type="gramEnd"/>
      <w:r w:rsidRPr="00576237">
        <w:rPr>
          <w:rFonts w:ascii="Arial" w:eastAsia="Calibri" w:hAnsi="Arial" w:cs="Arial"/>
          <w:highlight w:val="yellow"/>
          <w:lang w:val="en-US"/>
        </w:rPr>
        <w:t>.2022.11.013</w:t>
      </w:r>
    </w:p>
    <w:p w14:paraId="2DCE1041" w14:textId="77777777"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t>13. Meaney MJ, Szyf M. Environmental programming of stress responses through DNA methylation: life at the interface between a dynamic environment and a fixed genome. Dialogues Clin Neurosci. 2005;7(2):103-123. doi:10.31887/DCNS.2005.7.2/mmeaney</w:t>
      </w:r>
    </w:p>
    <w:p w14:paraId="513B8E25" w14:textId="5BC06080"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t xml:space="preserve">14. Zhang TY, Meaney MJ. Epigenetics and the environmental regulation of the genome and its function. Annu Rev Psychol. </w:t>
      </w:r>
      <w:r w:rsidR="00FC30F7" w:rsidRPr="00205529">
        <w:rPr>
          <w:rFonts w:ascii="Arial" w:eastAsia="Calibri" w:hAnsi="Arial" w:cs="Arial"/>
          <w:lang w:val="en-US"/>
        </w:rPr>
        <w:t>2010; 61:439</w:t>
      </w:r>
      <w:r w:rsidRPr="00205529">
        <w:rPr>
          <w:rFonts w:ascii="Arial" w:eastAsia="Calibri" w:hAnsi="Arial" w:cs="Arial"/>
          <w:lang w:val="en-US"/>
        </w:rPr>
        <w:t xml:space="preserve">-466. </w:t>
      </w:r>
      <w:r w:rsidR="00FC30F7" w:rsidRPr="00205529">
        <w:rPr>
          <w:rFonts w:ascii="Arial" w:eastAsia="Calibri" w:hAnsi="Arial" w:cs="Arial"/>
          <w:lang w:val="en-US"/>
        </w:rPr>
        <w:t>doi: 10.1146/annurev.psych</w:t>
      </w:r>
      <w:r w:rsidRPr="00205529">
        <w:rPr>
          <w:rFonts w:ascii="Arial" w:eastAsia="Calibri" w:hAnsi="Arial" w:cs="Arial"/>
          <w:lang w:val="en-US"/>
        </w:rPr>
        <w:t>.60.110707.163625</w:t>
      </w:r>
    </w:p>
    <w:p w14:paraId="5F1D36A7" w14:textId="77777777" w:rsidR="00205529" w:rsidRPr="00205529" w:rsidRDefault="00205529" w:rsidP="00205529">
      <w:pPr>
        <w:spacing w:line="480" w:lineRule="auto"/>
        <w:jc w:val="both"/>
        <w:rPr>
          <w:rFonts w:ascii="Arial" w:eastAsia="Calibri" w:hAnsi="Arial" w:cs="Arial"/>
        </w:rPr>
      </w:pPr>
      <w:r w:rsidRPr="00205529">
        <w:rPr>
          <w:rFonts w:ascii="Arial" w:eastAsia="Calibri" w:hAnsi="Arial" w:cs="Arial"/>
          <w:lang w:val="en-US"/>
        </w:rPr>
        <w:t>15</w:t>
      </w:r>
      <w:r w:rsidRPr="00576237">
        <w:rPr>
          <w:rFonts w:ascii="Arial" w:eastAsia="Calibri" w:hAnsi="Arial" w:cs="Arial"/>
          <w:highlight w:val="yellow"/>
          <w:lang w:val="en-US"/>
        </w:rPr>
        <w:t xml:space="preserve">. Fallet M, Luger AL, Spijker S. Present and future challenges for the investigation of transgenerational epigenetic inheritance. </w:t>
      </w:r>
      <w:proofErr w:type="spellStart"/>
      <w:r w:rsidRPr="00576237">
        <w:rPr>
          <w:rFonts w:ascii="Arial" w:eastAsia="Calibri" w:hAnsi="Arial" w:cs="Arial"/>
          <w:highlight w:val="yellow"/>
        </w:rPr>
        <w:t>Environ</w:t>
      </w:r>
      <w:proofErr w:type="spellEnd"/>
      <w:r w:rsidRPr="00576237">
        <w:rPr>
          <w:rFonts w:ascii="Arial" w:eastAsia="Calibri" w:hAnsi="Arial" w:cs="Arial"/>
          <w:highlight w:val="yellow"/>
        </w:rPr>
        <w:t xml:space="preserve"> </w:t>
      </w:r>
      <w:proofErr w:type="spellStart"/>
      <w:r w:rsidRPr="00576237">
        <w:rPr>
          <w:rFonts w:ascii="Arial" w:eastAsia="Calibri" w:hAnsi="Arial" w:cs="Arial"/>
          <w:highlight w:val="yellow"/>
        </w:rPr>
        <w:t>Int</w:t>
      </w:r>
      <w:proofErr w:type="spellEnd"/>
      <w:r w:rsidRPr="00576237">
        <w:rPr>
          <w:rFonts w:ascii="Arial" w:eastAsia="Calibri" w:hAnsi="Arial" w:cs="Arial"/>
          <w:highlight w:val="yellow"/>
        </w:rPr>
        <w:t xml:space="preserve">. </w:t>
      </w:r>
      <w:proofErr w:type="gramStart"/>
      <w:r w:rsidRPr="00576237">
        <w:rPr>
          <w:rFonts w:ascii="Arial" w:eastAsia="Calibri" w:hAnsi="Arial" w:cs="Arial"/>
          <w:highlight w:val="yellow"/>
        </w:rPr>
        <w:t>2023;172:107751</w:t>
      </w:r>
      <w:proofErr w:type="gramEnd"/>
      <w:r w:rsidRPr="00576237">
        <w:rPr>
          <w:rFonts w:ascii="Arial" w:eastAsia="Calibri" w:hAnsi="Arial" w:cs="Arial"/>
          <w:highlight w:val="yellow"/>
        </w:rPr>
        <w:t xml:space="preserve">. </w:t>
      </w:r>
      <w:proofErr w:type="gramStart"/>
      <w:r w:rsidRPr="00576237">
        <w:rPr>
          <w:rFonts w:ascii="Arial" w:eastAsia="Calibri" w:hAnsi="Arial" w:cs="Arial"/>
          <w:highlight w:val="yellow"/>
        </w:rPr>
        <w:t>doi:10.1016/j.envint</w:t>
      </w:r>
      <w:proofErr w:type="gramEnd"/>
      <w:r w:rsidRPr="00576237">
        <w:rPr>
          <w:rFonts w:ascii="Arial" w:eastAsia="Calibri" w:hAnsi="Arial" w:cs="Arial"/>
          <w:highlight w:val="yellow"/>
        </w:rPr>
        <w:t>.2023.107751</w:t>
      </w:r>
    </w:p>
    <w:p w14:paraId="21490362" w14:textId="77777777"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rPr>
        <w:lastRenderedPageBreak/>
        <w:t>16</w:t>
      </w:r>
      <w:r w:rsidRPr="00576237">
        <w:rPr>
          <w:rFonts w:ascii="Arial" w:eastAsia="Calibri" w:hAnsi="Arial" w:cs="Arial"/>
          <w:highlight w:val="yellow"/>
        </w:rPr>
        <w:t xml:space="preserve">. Buitrago-Acuña JC, </w:t>
      </w:r>
      <w:proofErr w:type="spellStart"/>
      <w:r w:rsidRPr="00576237">
        <w:rPr>
          <w:rFonts w:ascii="Arial" w:eastAsia="Calibri" w:hAnsi="Arial" w:cs="Arial"/>
          <w:highlight w:val="yellow"/>
        </w:rPr>
        <w:t>Ciancio</w:t>
      </w:r>
      <w:proofErr w:type="spellEnd"/>
      <w:r w:rsidRPr="00576237">
        <w:rPr>
          <w:rFonts w:ascii="Arial" w:eastAsia="Calibri" w:hAnsi="Arial" w:cs="Arial"/>
          <w:highlight w:val="yellow"/>
        </w:rPr>
        <w:t xml:space="preserve"> MJ, Vargas F. Psiconeuroinmunoendocrinología (PNIE) como modelo integrador en psicología de la salud. </w:t>
      </w:r>
      <w:r w:rsidRPr="00576237">
        <w:rPr>
          <w:rFonts w:ascii="Arial" w:eastAsia="Calibri" w:hAnsi="Arial" w:cs="Arial"/>
          <w:highlight w:val="yellow"/>
          <w:lang w:val="en-US"/>
        </w:rPr>
        <w:t xml:space="preserve">Rev Latinoamericana de Psicología. </w:t>
      </w:r>
      <w:proofErr w:type="gramStart"/>
      <w:r w:rsidRPr="00576237">
        <w:rPr>
          <w:rFonts w:ascii="Arial" w:eastAsia="Calibri" w:hAnsi="Arial" w:cs="Arial"/>
          <w:highlight w:val="yellow"/>
          <w:lang w:val="en-US"/>
        </w:rPr>
        <w:t>2021;53:1</w:t>
      </w:r>
      <w:proofErr w:type="gramEnd"/>
      <w:r w:rsidRPr="00576237">
        <w:rPr>
          <w:rFonts w:ascii="Arial" w:eastAsia="Calibri" w:hAnsi="Arial" w:cs="Arial"/>
          <w:highlight w:val="yellow"/>
          <w:lang w:val="en-US"/>
        </w:rPr>
        <w:t>-12. doi:10.14349/</w:t>
      </w:r>
      <w:proofErr w:type="gramStart"/>
      <w:r w:rsidRPr="00576237">
        <w:rPr>
          <w:rFonts w:ascii="Arial" w:eastAsia="Calibri" w:hAnsi="Arial" w:cs="Arial"/>
          <w:highlight w:val="yellow"/>
          <w:lang w:val="en-US"/>
        </w:rPr>
        <w:t>rlp.2021.v</w:t>
      </w:r>
      <w:proofErr w:type="gramEnd"/>
      <w:r w:rsidRPr="00576237">
        <w:rPr>
          <w:rFonts w:ascii="Arial" w:eastAsia="Calibri" w:hAnsi="Arial" w:cs="Arial"/>
          <w:highlight w:val="yellow"/>
          <w:lang w:val="en-US"/>
        </w:rPr>
        <w:t>53.1</w:t>
      </w:r>
    </w:p>
    <w:p w14:paraId="4BD49C36" w14:textId="77777777"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t xml:space="preserve">17. </w:t>
      </w:r>
      <w:proofErr w:type="spellStart"/>
      <w:r w:rsidRPr="00576237">
        <w:rPr>
          <w:rFonts w:ascii="Arial" w:eastAsia="Calibri" w:hAnsi="Arial" w:cs="Arial"/>
          <w:highlight w:val="yellow"/>
          <w:lang w:val="en-US"/>
        </w:rPr>
        <w:t>Jenuwein</w:t>
      </w:r>
      <w:proofErr w:type="spellEnd"/>
      <w:r w:rsidRPr="00576237">
        <w:rPr>
          <w:rFonts w:ascii="Arial" w:eastAsia="Calibri" w:hAnsi="Arial" w:cs="Arial"/>
          <w:highlight w:val="yellow"/>
          <w:lang w:val="en-US"/>
        </w:rPr>
        <w:t xml:space="preserve"> T. Epigenetics: From curiosity to critical regulator of cell identity. Cell. 2022;185(1):18-20. </w:t>
      </w:r>
      <w:proofErr w:type="gramStart"/>
      <w:r w:rsidRPr="00576237">
        <w:rPr>
          <w:rFonts w:ascii="Arial" w:eastAsia="Calibri" w:hAnsi="Arial" w:cs="Arial"/>
          <w:highlight w:val="yellow"/>
          <w:lang w:val="en-US"/>
        </w:rPr>
        <w:t>doi:10.1016/j.cell</w:t>
      </w:r>
      <w:proofErr w:type="gramEnd"/>
      <w:r w:rsidRPr="00576237">
        <w:rPr>
          <w:rFonts w:ascii="Arial" w:eastAsia="Calibri" w:hAnsi="Arial" w:cs="Arial"/>
          <w:highlight w:val="yellow"/>
          <w:lang w:val="en-US"/>
        </w:rPr>
        <w:t>.2021.12.012</w:t>
      </w:r>
    </w:p>
    <w:p w14:paraId="74EA8888" w14:textId="77777777" w:rsidR="00205529" w:rsidRPr="00205529" w:rsidRDefault="00205529" w:rsidP="00205529">
      <w:pPr>
        <w:spacing w:line="480" w:lineRule="auto"/>
        <w:jc w:val="both"/>
        <w:rPr>
          <w:rFonts w:ascii="Arial" w:eastAsia="Calibri" w:hAnsi="Arial" w:cs="Arial"/>
        </w:rPr>
      </w:pPr>
      <w:r w:rsidRPr="00205529">
        <w:rPr>
          <w:rFonts w:ascii="Arial" w:eastAsia="Calibri" w:hAnsi="Arial" w:cs="Arial"/>
        </w:rPr>
        <w:t>18. Serrano Miranda EG. Los polifenoles y su efecto terapéutico desde la Psiconeuroinmunoendocrinología. Pinelatinoamericana. 2023;3(3):203-216.</w:t>
      </w:r>
    </w:p>
    <w:p w14:paraId="546840BB" w14:textId="77777777"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rPr>
        <w:t xml:space="preserve">19. Avila M. Campos morfogenéticos y memoria colectiva: un estudio correlacional. </w:t>
      </w:r>
      <w:r w:rsidRPr="00205529">
        <w:rPr>
          <w:rFonts w:ascii="Arial" w:eastAsia="Calibri" w:hAnsi="Arial" w:cs="Arial"/>
          <w:lang w:val="en-US"/>
        </w:rPr>
        <w:t>Revista de Psicología Social. 2020;35(3):456-472. doi:10.1080/02134748.2020.1783835</w:t>
      </w:r>
    </w:p>
    <w:p w14:paraId="06AAE6F1" w14:textId="1BDABF36"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t xml:space="preserve">20. von Bubnoff A. The Spemann-Mangold organizer discovery and society. Cells Dev. </w:t>
      </w:r>
      <w:r w:rsidR="00FC30F7" w:rsidRPr="00205529">
        <w:rPr>
          <w:rFonts w:ascii="Arial" w:eastAsia="Calibri" w:hAnsi="Arial" w:cs="Arial"/>
          <w:lang w:val="en-US"/>
        </w:rPr>
        <w:t>2024; 178:203906</w:t>
      </w:r>
      <w:r w:rsidRPr="00205529">
        <w:rPr>
          <w:rFonts w:ascii="Arial" w:eastAsia="Calibri" w:hAnsi="Arial" w:cs="Arial"/>
          <w:lang w:val="en-US"/>
        </w:rPr>
        <w:t xml:space="preserve">. </w:t>
      </w:r>
      <w:r w:rsidR="00FC30F7" w:rsidRPr="00205529">
        <w:rPr>
          <w:rFonts w:ascii="Arial" w:eastAsia="Calibri" w:hAnsi="Arial" w:cs="Arial"/>
          <w:lang w:val="en-US"/>
        </w:rPr>
        <w:t>doi: 10.1016/j.cdev</w:t>
      </w:r>
      <w:r w:rsidRPr="00205529">
        <w:rPr>
          <w:rFonts w:ascii="Arial" w:eastAsia="Calibri" w:hAnsi="Arial" w:cs="Arial"/>
          <w:lang w:val="en-US"/>
        </w:rPr>
        <w:t>.2023.203906</w:t>
      </w:r>
    </w:p>
    <w:p w14:paraId="3E3F3088" w14:textId="16DCDA9A"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t xml:space="preserve">21. Asashima M, Satou-Kobayashi Y. Spemann-Mangold organizer and mesoderm induction. Cells Dev. </w:t>
      </w:r>
      <w:r w:rsidR="00FC30F7" w:rsidRPr="00205529">
        <w:rPr>
          <w:rFonts w:ascii="Arial" w:eastAsia="Calibri" w:hAnsi="Arial" w:cs="Arial"/>
          <w:lang w:val="en-US"/>
        </w:rPr>
        <w:t>2024; 178:203903</w:t>
      </w:r>
      <w:r w:rsidRPr="00205529">
        <w:rPr>
          <w:rFonts w:ascii="Arial" w:eastAsia="Calibri" w:hAnsi="Arial" w:cs="Arial"/>
          <w:lang w:val="en-US"/>
        </w:rPr>
        <w:t xml:space="preserve">. </w:t>
      </w:r>
      <w:r w:rsidR="00FC30F7" w:rsidRPr="00205529">
        <w:rPr>
          <w:rFonts w:ascii="Arial" w:eastAsia="Calibri" w:hAnsi="Arial" w:cs="Arial"/>
          <w:lang w:val="en-US"/>
        </w:rPr>
        <w:t>doi: 10.1016/j.cdev</w:t>
      </w:r>
      <w:r w:rsidRPr="00205529">
        <w:rPr>
          <w:rFonts w:ascii="Arial" w:eastAsia="Calibri" w:hAnsi="Arial" w:cs="Arial"/>
          <w:lang w:val="en-US"/>
        </w:rPr>
        <w:t>.2023.203903</w:t>
      </w:r>
    </w:p>
    <w:p w14:paraId="3BB7F8E5" w14:textId="0DAFE22A" w:rsidR="00205529" w:rsidRPr="00205529" w:rsidRDefault="00205529" w:rsidP="00205529">
      <w:pPr>
        <w:spacing w:line="480" w:lineRule="auto"/>
        <w:jc w:val="both"/>
        <w:rPr>
          <w:rFonts w:ascii="Arial" w:eastAsia="Calibri" w:hAnsi="Arial" w:cs="Arial"/>
        </w:rPr>
      </w:pPr>
      <w:r w:rsidRPr="00205529">
        <w:rPr>
          <w:rFonts w:ascii="Arial" w:eastAsia="Calibri" w:hAnsi="Arial" w:cs="Arial"/>
          <w:lang w:val="en-US"/>
        </w:rPr>
        <w:t xml:space="preserve">22. Taira M, Ozato K, Harland RM, et al. Igor B. Dawid (1935–2024): A pioneer of developmental and molecular biology. </w:t>
      </w:r>
      <w:r w:rsidRPr="00205529">
        <w:rPr>
          <w:rFonts w:ascii="Arial" w:eastAsia="Calibri" w:hAnsi="Arial" w:cs="Arial"/>
        </w:rPr>
        <w:t>Proc Natl Acad Sci USA. 2024;121(37</w:t>
      </w:r>
      <w:r w:rsidR="00FC30F7" w:rsidRPr="00205529">
        <w:rPr>
          <w:rFonts w:ascii="Arial" w:eastAsia="Calibri" w:hAnsi="Arial" w:cs="Arial"/>
        </w:rPr>
        <w:t>): e</w:t>
      </w:r>
      <w:r w:rsidRPr="00205529">
        <w:rPr>
          <w:rFonts w:ascii="Arial" w:eastAsia="Calibri" w:hAnsi="Arial" w:cs="Arial"/>
        </w:rPr>
        <w:t>2414869121. doi:10.1073/pnas.2414869121</w:t>
      </w:r>
    </w:p>
    <w:p w14:paraId="37E8C96B" w14:textId="1E7A8CB1"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rPr>
        <w:t xml:space="preserve">23. Ashley NT, Demas GE. </w:t>
      </w:r>
      <w:r w:rsidRPr="00205529">
        <w:rPr>
          <w:rFonts w:ascii="Arial" w:eastAsia="Calibri" w:hAnsi="Arial" w:cs="Arial"/>
          <w:lang w:val="en-US"/>
        </w:rPr>
        <w:t xml:space="preserve">Neuroendocrine-immune circuits, phenotypes, and interactions. Horm Behav. </w:t>
      </w:r>
      <w:r w:rsidR="00FC30F7" w:rsidRPr="00205529">
        <w:rPr>
          <w:rFonts w:ascii="Arial" w:eastAsia="Calibri" w:hAnsi="Arial" w:cs="Arial"/>
          <w:lang w:val="en-US"/>
        </w:rPr>
        <w:t>2017; 87:25</w:t>
      </w:r>
      <w:r w:rsidRPr="00205529">
        <w:rPr>
          <w:rFonts w:ascii="Arial" w:eastAsia="Calibri" w:hAnsi="Arial" w:cs="Arial"/>
          <w:lang w:val="en-US"/>
        </w:rPr>
        <w:t xml:space="preserve">-34. </w:t>
      </w:r>
      <w:r w:rsidR="00FC30F7" w:rsidRPr="00205529">
        <w:rPr>
          <w:rFonts w:ascii="Arial" w:eastAsia="Calibri" w:hAnsi="Arial" w:cs="Arial"/>
          <w:lang w:val="en-US"/>
        </w:rPr>
        <w:t>doi: 10.1016/j.yhbeh</w:t>
      </w:r>
      <w:r w:rsidRPr="00205529">
        <w:rPr>
          <w:rFonts w:ascii="Arial" w:eastAsia="Calibri" w:hAnsi="Arial" w:cs="Arial"/>
          <w:lang w:val="en-US"/>
        </w:rPr>
        <w:t>.2016.10.004</w:t>
      </w:r>
    </w:p>
    <w:p w14:paraId="7463450F" w14:textId="77777777"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t>24. Popp FA, Nagl W, Li KH, et al. Biophoton emission: New evidence for coherence and DNA as source. Cell Biophysics. 2019;6(1):33-52. doi:10.1007/BF02788579</w:t>
      </w:r>
    </w:p>
    <w:p w14:paraId="56CCCC5E" w14:textId="77777777"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t xml:space="preserve">25. </w:t>
      </w:r>
      <w:r w:rsidRPr="00F060F1">
        <w:rPr>
          <w:rFonts w:ascii="Arial" w:eastAsia="Calibri" w:hAnsi="Arial" w:cs="Arial"/>
          <w:highlight w:val="yellow"/>
          <w:lang w:val="en-US"/>
        </w:rPr>
        <w:t xml:space="preserve">Fröhlich H, </w:t>
      </w:r>
      <w:proofErr w:type="spellStart"/>
      <w:r w:rsidRPr="00F060F1">
        <w:rPr>
          <w:rFonts w:ascii="Arial" w:eastAsia="Calibri" w:hAnsi="Arial" w:cs="Arial"/>
          <w:highlight w:val="yellow"/>
          <w:lang w:val="en-US"/>
        </w:rPr>
        <w:t>Kruchinin</w:t>
      </w:r>
      <w:proofErr w:type="spellEnd"/>
      <w:r w:rsidRPr="00F060F1">
        <w:rPr>
          <w:rFonts w:ascii="Arial" w:eastAsia="Calibri" w:hAnsi="Arial" w:cs="Arial"/>
          <w:highlight w:val="yellow"/>
          <w:lang w:val="en-US"/>
        </w:rPr>
        <w:t xml:space="preserve"> S, Sushko M, et al. Long-range coherence and energy storage in biological systems revisited. Proc R Soc A. 2021;476(2238):20200118. doi:10.1098/rspa.2020.0118</w:t>
      </w:r>
    </w:p>
    <w:p w14:paraId="010E9863" w14:textId="7054D9D1"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lastRenderedPageBreak/>
        <w:t xml:space="preserve">26. Jerman I, Leskovar RT, </w:t>
      </w:r>
      <w:proofErr w:type="spellStart"/>
      <w:r w:rsidRPr="00205529">
        <w:rPr>
          <w:rFonts w:ascii="Arial" w:eastAsia="Calibri" w:hAnsi="Arial" w:cs="Arial"/>
          <w:lang w:val="en-US"/>
        </w:rPr>
        <w:t>Skarja</w:t>
      </w:r>
      <w:proofErr w:type="spellEnd"/>
      <w:r w:rsidRPr="00205529">
        <w:rPr>
          <w:rFonts w:ascii="Arial" w:eastAsia="Calibri" w:hAnsi="Arial" w:cs="Arial"/>
          <w:lang w:val="en-US"/>
        </w:rPr>
        <w:t xml:space="preserve"> M, et al. Memory and self-reconstruction of the living beings. Prog Biophys Mol Biol. </w:t>
      </w:r>
      <w:r w:rsidR="00FC30F7" w:rsidRPr="00205529">
        <w:rPr>
          <w:rFonts w:ascii="Arial" w:eastAsia="Calibri" w:hAnsi="Arial" w:cs="Arial"/>
          <w:lang w:val="en-US"/>
        </w:rPr>
        <w:t>2019; 142:102</w:t>
      </w:r>
      <w:r w:rsidRPr="00205529">
        <w:rPr>
          <w:rFonts w:ascii="Arial" w:eastAsia="Calibri" w:hAnsi="Arial" w:cs="Arial"/>
          <w:lang w:val="en-US"/>
        </w:rPr>
        <w:t xml:space="preserve">-112. </w:t>
      </w:r>
      <w:r w:rsidR="00FC30F7" w:rsidRPr="00205529">
        <w:rPr>
          <w:rFonts w:ascii="Arial" w:eastAsia="Calibri" w:hAnsi="Arial" w:cs="Arial"/>
          <w:lang w:val="en-US"/>
        </w:rPr>
        <w:t>doi: 10.1016/j.pbiomolbio</w:t>
      </w:r>
      <w:r w:rsidRPr="00205529">
        <w:rPr>
          <w:rFonts w:ascii="Arial" w:eastAsia="Calibri" w:hAnsi="Arial" w:cs="Arial"/>
          <w:lang w:val="en-US"/>
        </w:rPr>
        <w:t>.2018.11.004</w:t>
      </w:r>
    </w:p>
    <w:p w14:paraId="0E1072FE" w14:textId="77777777" w:rsidR="00205529" w:rsidRPr="00EB7754"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t xml:space="preserve">27. Emmeche C, Kull K. Towards a semiotic biology: Life is the action of signs. </w:t>
      </w:r>
      <w:r w:rsidRPr="00EB7754">
        <w:rPr>
          <w:rFonts w:ascii="Arial" w:eastAsia="Calibri" w:hAnsi="Arial" w:cs="Arial"/>
          <w:lang w:val="en-US"/>
        </w:rPr>
        <w:t>London: Imperial College Press; 2019.</w:t>
      </w:r>
    </w:p>
    <w:p w14:paraId="44C387C9" w14:textId="77777777"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t xml:space="preserve">28. </w:t>
      </w:r>
      <w:proofErr w:type="spellStart"/>
      <w:r w:rsidRPr="00205529">
        <w:rPr>
          <w:rFonts w:ascii="Arial" w:eastAsia="Calibri" w:hAnsi="Arial" w:cs="Arial"/>
          <w:lang w:val="en-US"/>
        </w:rPr>
        <w:t>Sebeok</w:t>
      </w:r>
      <w:proofErr w:type="spellEnd"/>
      <w:r w:rsidRPr="00205529">
        <w:rPr>
          <w:rFonts w:ascii="Arial" w:eastAsia="Calibri" w:hAnsi="Arial" w:cs="Arial"/>
          <w:lang w:val="en-US"/>
        </w:rPr>
        <w:t xml:space="preserve"> TA, Danesi M. The forms of meaning: Modeling systems theory and semiotic analysis. Berlin: De Gruyter Mouton; 2020.</w:t>
      </w:r>
    </w:p>
    <w:p w14:paraId="6BEDCEF0" w14:textId="77777777"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t>29. Hoffmeyer J. Biosemiotics: An examination into the signs of life and the life of signs. Scranton: University of Scranton Press; 2018.</w:t>
      </w:r>
    </w:p>
    <w:p w14:paraId="3ECCE490" w14:textId="77777777" w:rsidR="00205529" w:rsidRPr="00205529" w:rsidRDefault="00205529" w:rsidP="00205529">
      <w:pPr>
        <w:spacing w:line="480" w:lineRule="auto"/>
        <w:jc w:val="both"/>
        <w:rPr>
          <w:rFonts w:ascii="Arial" w:eastAsia="Calibri" w:hAnsi="Arial" w:cs="Arial"/>
          <w:lang w:val="en-US"/>
        </w:rPr>
      </w:pPr>
      <w:r w:rsidRPr="00205529">
        <w:rPr>
          <w:rFonts w:ascii="Arial" w:eastAsia="Calibri" w:hAnsi="Arial" w:cs="Arial"/>
          <w:lang w:val="en-US"/>
        </w:rPr>
        <w:t>30. Damasio AR. The strange order of things: Life, feeling, and the making of cultures. New York: Pantheon Books; 2018.</w:t>
      </w:r>
    </w:p>
    <w:p w14:paraId="55693530" w14:textId="77777777" w:rsidR="00205529" w:rsidRPr="00205529" w:rsidRDefault="00205529" w:rsidP="00205529">
      <w:pPr>
        <w:spacing w:line="480" w:lineRule="auto"/>
        <w:jc w:val="both"/>
        <w:rPr>
          <w:rFonts w:ascii="Arial" w:eastAsia="Calibri" w:hAnsi="Arial" w:cs="Arial"/>
          <w:b/>
          <w:bCs/>
          <w:lang w:val="en-US"/>
        </w:rPr>
      </w:pPr>
    </w:p>
    <w:p w14:paraId="0D71BD3E" w14:textId="3CDABD4F" w:rsidR="00B96992" w:rsidRPr="00FA586A" w:rsidRDefault="00B96992" w:rsidP="00FA586A">
      <w:pPr>
        <w:shd w:val="clear" w:color="auto" w:fill="E2EFD9" w:themeFill="accent6" w:themeFillTint="33"/>
        <w:spacing w:line="480" w:lineRule="auto"/>
        <w:jc w:val="both"/>
        <w:rPr>
          <w:rFonts w:ascii="Arial" w:eastAsia="Calibri" w:hAnsi="Arial" w:cs="Arial"/>
        </w:rPr>
      </w:pPr>
    </w:p>
    <w:sectPr w:rsidR="00B96992" w:rsidRPr="00FA586A" w:rsidSect="009B5EAC">
      <w:headerReference w:type="first" r:id="rId8"/>
      <w:footerReference w:type="first" r:id="rId9"/>
      <w:pgSz w:w="12240" w:h="15840"/>
      <w:pgMar w:top="1701" w:right="1418" w:bottom="1701" w:left="1418" w:header="709" w:footer="709"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71BFA" w14:textId="77777777" w:rsidR="00B86505" w:rsidRDefault="00B86505" w:rsidP="00EF2797">
      <w:r>
        <w:separator/>
      </w:r>
    </w:p>
  </w:endnote>
  <w:endnote w:type="continuationSeparator" w:id="0">
    <w:p w14:paraId="70DAEECA" w14:textId="77777777" w:rsidR="00B86505" w:rsidRDefault="00B86505" w:rsidP="00EF2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6697191"/>
      <w:docPartObj>
        <w:docPartGallery w:val="Page Numbers (Bottom of Page)"/>
        <w:docPartUnique/>
      </w:docPartObj>
    </w:sdtPr>
    <w:sdtContent>
      <w:p w14:paraId="1BA1A0B0" w14:textId="2DAAF2B4" w:rsidR="009B5EAC" w:rsidRDefault="009B5EAC">
        <w:pPr>
          <w:pStyle w:val="Piedepgina"/>
          <w:jc w:val="center"/>
        </w:pPr>
        <w:r>
          <w:fldChar w:fldCharType="begin"/>
        </w:r>
        <w:r>
          <w:instrText>PAGE   \* MERGEFORMAT</w:instrText>
        </w:r>
        <w:r>
          <w:fldChar w:fldCharType="separate"/>
        </w:r>
        <w:r w:rsidR="004F4346" w:rsidRPr="004F4346">
          <w:rPr>
            <w:lang w:val="es-ES"/>
          </w:rPr>
          <w:t>1</w:t>
        </w:r>
        <w:r>
          <w:fldChar w:fldCharType="end"/>
        </w:r>
      </w:p>
    </w:sdtContent>
  </w:sdt>
  <w:p w14:paraId="28614819" w14:textId="77777777" w:rsidR="009B5EAC" w:rsidRDefault="009B5E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41ADD" w14:textId="77777777" w:rsidR="00B86505" w:rsidRDefault="00B86505" w:rsidP="00EF2797">
      <w:r>
        <w:separator/>
      </w:r>
    </w:p>
  </w:footnote>
  <w:footnote w:type="continuationSeparator" w:id="0">
    <w:p w14:paraId="4D5C6AF0" w14:textId="77777777" w:rsidR="00B86505" w:rsidRDefault="00B86505" w:rsidP="00EF2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3A2C6" w14:textId="77777777" w:rsidR="009B5EAC" w:rsidRPr="009B5EAC" w:rsidRDefault="009B5EAC" w:rsidP="009B5EAC">
    <w:pPr>
      <w:pStyle w:val="Encabezado"/>
      <w:rPr>
        <w:rFonts w:ascii="Arial" w:hAnsi="Arial" w:cs="Arial"/>
        <w:b/>
        <w:bCs/>
        <w:color w:val="ED7D31" w:themeColor="accent2"/>
      </w:rPr>
    </w:pPr>
    <w:r w:rsidRPr="009B5EAC">
      <w:rPr>
        <w:rFonts w:ascii="Arial" w:hAnsi="Arial" w:cs="Arial"/>
        <w:b/>
        <w:bCs/>
        <w:color w:val="ED7D31" w:themeColor="accent2"/>
        <w:lang w:eastAsia="es-MX"/>
      </w:rPr>
      <mc:AlternateContent>
        <mc:Choice Requires="wps">
          <w:drawing>
            <wp:anchor distT="0" distB="0" distL="114300" distR="114300" simplePos="0" relativeHeight="251658240" behindDoc="0" locked="0" layoutInCell="1" allowOverlap="1" wp14:anchorId="05587128" wp14:editId="7658B75B">
              <wp:simplePos x="0" y="0"/>
              <wp:positionH relativeFrom="column">
                <wp:posOffset>-11430</wp:posOffset>
              </wp:positionH>
              <wp:positionV relativeFrom="paragraph">
                <wp:posOffset>191135</wp:posOffset>
              </wp:positionV>
              <wp:extent cx="583565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83565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7BC0BF1" id="Conector recto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9pt,15.05pt" to="458.6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" strokecolor="#ed7d31 [3205]" strokeweight="1pt">
              <v:stroke joinstyle="miter"/>
            </v:line>
          </w:pict>
        </mc:Fallback>
      </mc:AlternateContent>
    </w:r>
    <w:r w:rsidRPr="009B5EAC">
      <w:rPr>
        <w:rFonts w:ascii="Arial" w:hAnsi="Arial" w:cs="Arial"/>
        <w:b/>
        <w:bCs/>
        <w:color w:val="ED7D31" w:themeColor="accent2"/>
      </w:rPr>
      <w:t>Aportación Original</w:t>
    </w:r>
  </w:p>
  <w:p w14:paraId="6F292823" w14:textId="77777777" w:rsidR="009B5EAC" w:rsidRDefault="009B5E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47996"/>
    <w:multiLevelType w:val="hybridMultilevel"/>
    <w:tmpl w:val="BA6E9B14"/>
    <w:lvl w:ilvl="0" w:tplc="DDB025C0">
      <w:start w:val="1"/>
      <w:numFmt w:val="lowerLetter"/>
      <w:lvlText w:val="(%1)"/>
      <w:lvlJc w:val="left"/>
      <w:pPr>
        <w:ind w:left="2484" w:hanging="360"/>
      </w:pPr>
      <w:rPr>
        <w:rFonts w:hint="default"/>
      </w:r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1" w15:restartNumberingAfterBreak="0">
    <w:nsid w:val="555C635E"/>
    <w:multiLevelType w:val="multilevel"/>
    <w:tmpl w:val="960E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01D74"/>
    <w:multiLevelType w:val="hybridMultilevel"/>
    <w:tmpl w:val="F21CDB90"/>
    <w:lvl w:ilvl="0" w:tplc="46905C72">
      <w:start w:val="1"/>
      <w:numFmt w:val="decimal"/>
      <w:lvlText w:val="%1."/>
      <w:lvlJc w:val="left"/>
      <w:pPr>
        <w:tabs>
          <w:tab w:val="num" w:pos="360"/>
        </w:tabs>
        <w:ind w:left="360" w:hanging="360"/>
      </w:pPr>
      <w:rPr>
        <w:b w:val="0"/>
        <w:color w:val="000000"/>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62871CB3"/>
    <w:multiLevelType w:val="hybridMultilevel"/>
    <w:tmpl w:val="35EE4E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8207891">
    <w:abstractNumId w:val="3"/>
  </w:num>
  <w:num w:numId="2" w16cid:durableId="1638870836">
    <w:abstractNumId w:val="2"/>
  </w:num>
  <w:num w:numId="3" w16cid:durableId="964000287">
    <w:abstractNumId w:val="0"/>
  </w:num>
  <w:num w:numId="4" w16cid:durableId="1472868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Referencia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dpxae5tw59d5jezf9mvfsvg9dre20e5tpss&quot;&gt;Referencias PATOLOGÍA&lt;record-ids&gt;&lt;item&gt;96&lt;/item&gt;&lt;/record-ids&gt;&lt;/item&gt;&lt;/Libraries&gt;"/>
  </w:docVars>
  <w:rsids>
    <w:rsidRoot w:val="00414B23"/>
    <w:rsid w:val="00001017"/>
    <w:rsid w:val="000043C0"/>
    <w:rsid w:val="00006A8F"/>
    <w:rsid w:val="00015745"/>
    <w:rsid w:val="000221AA"/>
    <w:rsid w:val="00027955"/>
    <w:rsid w:val="00050C95"/>
    <w:rsid w:val="000563E9"/>
    <w:rsid w:val="0006130E"/>
    <w:rsid w:val="00072794"/>
    <w:rsid w:val="00073C62"/>
    <w:rsid w:val="00073EC8"/>
    <w:rsid w:val="00075541"/>
    <w:rsid w:val="00076927"/>
    <w:rsid w:val="00082598"/>
    <w:rsid w:val="000A23EF"/>
    <w:rsid w:val="000A431C"/>
    <w:rsid w:val="000C2771"/>
    <w:rsid w:val="000D0550"/>
    <w:rsid w:val="000D4D4C"/>
    <w:rsid w:val="000E5074"/>
    <w:rsid w:val="000F070B"/>
    <w:rsid w:val="000F508A"/>
    <w:rsid w:val="00100223"/>
    <w:rsid w:val="00100CFC"/>
    <w:rsid w:val="0011022E"/>
    <w:rsid w:val="00112530"/>
    <w:rsid w:val="00120D31"/>
    <w:rsid w:val="001242CA"/>
    <w:rsid w:val="00141C46"/>
    <w:rsid w:val="001434DA"/>
    <w:rsid w:val="00152A20"/>
    <w:rsid w:val="001611F6"/>
    <w:rsid w:val="00162227"/>
    <w:rsid w:val="00166AEA"/>
    <w:rsid w:val="001675AB"/>
    <w:rsid w:val="00172A0B"/>
    <w:rsid w:val="001733DC"/>
    <w:rsid w:val="00177511"/>
    <w:rsid w:val="001833FC"/>
    <w:rsid w:val="001855DF"/>
    <w:rsid w:val="00185C55"/>
    <w:rsid w:val="001A11CD"/>
    <w:rsid w:val="001B06CF"/>
    <w:rsid w:val="001B08B5"/>
    <w:rsid w:val="001B0E35"/>
    <w:rsid w:val="001B6B2D"/>
    <w:rsid w:val="001C2BB3"/>
    <w:rsid w:val="001C65AC"/>
    <w:rsid w:val="001D4953"/>
    <w:rsid w:val="001D7C7E"/>
    <w:rsid w:val="001E28F5"/>
    <w:rsid w:val="001E4A2E"/>
    <w:rsid w:val="001F0AB5"/>
    <w:rsid w:val="001F0ACF"/>
    <w:rsid w:val="001F19C3"/>
    <w:rsid w:val="001F3141"/>
    <w:rsid w:val="001F67D7"/>
    <w:rsid w:val="00203ADC"/>
    <w:rsid w:val="00203FDC"/>
    <w:rsid w:val="00205529"/>
    <w:rsid w:val="002105F7"/>
    <w:rsid w:val="00211942"/>
    <w:rsid w:val="00215288"/>
    <w:rsid w:val="0022073C"/>
    <w:rsid w:val="00223495"/>
    <w:rsid w:val="00225BC1"/>
    <w:rsid w:val="00243692"/>
    <w:rsid w:val="002502A1"/>
    <w:rsid w:val="002709B3"/>
    <w:rsid w:val="002715C6"/>
    <w:rsid w:val="00275B4F"/>
    <w:rsid w:val="0029320B"/>
    <w:rsid w:val="002A41F4"/>
    <w:rsid w:val="002A6668"/>
    <w:rsid w:val="002A7D00"/>
    <w:rsid w:val="002B2D50"/>
    <w:rsid w:val="002B4D4F"/>
    <w:rsid w:val="002B541C"/>
    <w:rsid w:val="002C3738"/>
    <w:rsid w:val="002C4AAF"/>
    <w:rsid w:val="002C5646"/>
    <w:rsid w:val="002D18F4"/>
    <w:rsid w:val="002D365C"/>
    <w:rsid w:val="002E0D2F"/>
    <w:rsid w:val="002E1E4F"/>
    <w:rsid w:val="002E43E3"/>
    <w:rsid w:val="002F3BD7"/>
    <w:rsid w:val="00300783"/>
    <w:rsid w:val="00301DEC"/>
    <w:rsid w:val="00307558"/>
    <w:rsid w:val="00310A03"/>
    <w:rsid w:val="00310A5D"/>
    <w:rsid w:val="00313BD0"/>
    <w:rsid w:val="00324819"/>
    <w:rsid w:val="00325E72"/>
    <w:rsid w:val="00340F0D"/>
    <w:rsid w:val="00360A88"/>
    <w:rsid w:val="0036211F"/>
    <w:rsid w:val="00371820"/>
    <w:rsid w:val="00371EED"/>
    <w:rsid w:val="0038022E"/>
    <w:rsid w:val="003915F2"/>
    <w:rsid w:val="00391D6A"/>
    <w:rsid w:val="00394E3D"/>
    <w:rsid w:val="003A1131"/>
    <w:rsid w:val="003B2A9B"/>
    <w:rsid w:val="003B5801"/>
    <w:rsid w:val="003C1FF4"/>
    <w:rsid w:val="003D63F1"/>
    <w:rsid w:val="003E3EEC"/>
    <w:rsid w:val="003F2A36"/>
    <w:rsid w:val="003F5DF0"/>
    <w:rsid w:val="0040093F"/>
    <w:rsid w:val="00405A1A"/>
    <w:rsid w:val="00414B23"/>
    <w:rsid w:val="00415315"/>
    <w:rsid w:val="00415434"/>
    <w:rsid w:val="0042062E"/>
    <w:rsid w:val="00437C23"/>
    <w:rsid w:val="00442679"/>
    <w:rsid w:val="00442CE5"/>
    <w:rsid w:val="0044478B"/>
    <w:rsid w:val="00445245"/>
    <w:rsid w:val="00446858"/>
    <w:rsid w:val="00453C08"/>
    <w:rsid w:val="004771F2"/>
    <w:rsid w:val="00483014"/>
    <w:rsid w:val="0048578D"/>
    <w:rsid w:val="00492AE2"/>
    <w:rsid w:val="00495C9F"/>
    <w:rsid w:val="004A133D"/>
    <w:rsid w:val="004A13B9"/>
    <w:rsid w:val="004A2267"/>
    <w:rsid w:val="004A511F"/>
    <w:rsid w:val="004A5CE4"/>
    <w:rsid w:val="004B6720"/>
    <w:rsid w:val="004C6F32"/>
    <w:rsid w:val="004C790E"/>
    <w:rsid w:val="004E428D"/>
    <w:rsid w:val="004F1346"/>
    <w:rsid w:val="004F1E05"/>
    <w:rsid w:val="004F4346"/>
    <w:rsid w:val="004F7956"/>
    <w:rsid w:val="00501E9A"/>
    <w:rsid w:val="005020A1"/>
    <w:rsid w:val="005046C7"/>
    <w:rsid w:val="00511A39"/>
    <w:rsid w:val="0051650B"/>
    <w:rsid w:val="00521DCB"/>
    <w:rsid w:val="0052487F"/>
    <w:rsid w:val="00525468"/>
    <w:rsid w:val="00533B0E"/>
    <w:rsid w:val="00537E02"/>
    <w:rsid w:val="00554AAF"/>
    <w:rsid w:val="005613DD"/>
    <w:rsid w:val="005656F9"/>
    <w:rsid w:val="00574A75"/>
    <w:rsid w:val="00576237"/>
    <w:rsid w:val="00577EDF"/>
    <w:rsid w:val="0059039E"/>
    <w:rsid w:val="0059128D"/>
    <w:rsid w:val="005A4460"/>
    <w:rsid w:val="005B08C8"/>
    <w:rsid w:val="005C1CAC"/>
    <w:rsid w:val="005C49FE"/>
    <w:rsid w:val="005D5A79"/>
    <w:rsid w:val="005D7BFC"/>
    <w:rsid w:val="005E4497"/>
    <w:rsid w:val="005E766F"/>
    <w:rsid w:val="005F41B5"/>
    <w:rsid w:val="00603E91"/>
    <w:rsid w:val="00604850"/>
    <w:rsid w:val="00606FC6"/>
    <w:rsid w:val="006124B7"/>
    <w:rsid w:val="0061789E"/>
    <w:rsid w:val="0062268C"/>
    <w:rsid w:val="00626502"/>
    <w:rsid w:val="00627987"/>
    <w:rsid w:val="0063527A"/>
    <w:rsid w:val="00640B02"/>
    <w:rsid w:val="006710A2"/>
    <w:rsid w:val="0067302F"/>
    <w:rsid w:val="00675944"/>
    <w:rsid w:val="00680F2E"/>
    <w:rsid w:val="006859E7"/>
    <w:rsid w:val="006A33F9"/>
    <w:rsid w:val="006A5528"/>
    <w:rsid w:val="006B4B22"/>
    <w:rsid w:val="006B618B"/>
    <w:rsid w:val="006C5193"/>
    <w:rsid w:val="006C5BE3"/>
    <w:rsid w:val="006E78C5"/>
    <w:rsid w:val="00704CBE"/>
    <w:rsid w:val="007052F4"/>
    <w:rsid w:val="0073460D"/>
    <w:rsid w:val="00737A76"/>
    <w:rsid w:val="007449B4"/>
    <w:rsid w:val="00760433"/>
    <w:rsid w:val="007658DE"/>
    <w:rsid w:val="00781246"/>
    <w:rsid w:val="007867A6"/>
    <w:rsid w:val="0078744C"/>
    <w:rsid w:val="007922FD"/>
    <w:rsid w:val="00795B48"/>
    <w:rsid w:val="00796376"/>
    <w:rsid w:val="00797553"/>
    <w:rsid w:val="007A0B1D"/>
    <w:rsid w:val="007A567B"/>
    <w:rsid w:val="007A7E0A"/>
    <w:rsid w:val="007B536F"/>
    <w:rsid w:val="007B5D19"/>
    <w:rsid w:val="007C1C27"/>
    <w:rsid w:val="007C4B9A"/>
    <w:rsid w:val="007E2955"/>
    <w:rsid w:val="007E7293"/>
    <w:rsid w:val="00801F5B"/>
    <w:rsid w:val="00802D3B"/>
    <w:rsid w:val="008106F4"/>
    <w:rsid w:val="00815953"/>
    <w:rsid w:val="00815BD6"/>
    <w:rsid w:val="008231C7"/>
    <w:rsid w:val="00837028"/>
    <w:rsid w:val="008377F1"/>
    <w:rsid w:val="00855104"/>
    <w:rsid w:val="00857C76"/>
    <w:rsid w:val="00857EEF"/>
    <w:rsid w:val="008705BF"/>
    <w:rsid w:val="00882FDE"/>
    <w:rsid w:val="00896545"/>
    <w:rsid w:val="008A71F0"/>
    <w:rsid w:val="008B5D30"/>
    <w:rsid w:val="008C212E"/>
    <w:rsid w:val="008C37AD"/>
    <w:rsid w:val="008C491F"/>
    <w:rsid w:val="00903F96"/>
    <w:rsid w:val="00905742"/>
    <w:rsid w:val="00914A2E"/>
    <w:rsid w:val="00917782"/>
    <w:rsid w:val="0092085F"/>
    <w:rsid w:val="00921E1A"/>
    <w:rsid w:val="009224A1"/>
    <w:rsid w:val="009266E2"/>
    <w:rsid w:val="0093186E"/>
    <w:rsid w:val="00931993"/>
    <w:rsid w:val="00936889"/>
    <w:rsid w:val="00950CC5"/>
    <w:rsid w:val="0095671C"/>
    <w:rsid w:val="00957BB1"/>
    <w:rsid w:val="00964EDC"/>
    <w:rsid w:val="00972170"/>
    <w:rsid w:val="0097480A"/>
    <w:rsid w:val="00994F78"/>
    <w:rsid w:val="009B2C40"/>
    <w:rsid w:val="009B3195"/>
    <w:rsid w:val="009B5EAC"/>
    <w:rsid w:val="009B6629"/>
    <w:rsid w:val="009E28D9"/>
    <w:rsid w:val="009E7D69"/>
    <w:rsid w:val="009F5864"/>
    <w:rsid w:val="009F7B27"/>
    <w:rsid w:val="00A041F6"/>
    <w:rsid w:val="00A1000B"/>
    <w:rsid w:val="00A11810"/>
    <w:rsid w:val="00A3306C"/>
    <w:rsid w:val="00A36A31"/>
    <w:rsid w:val="00A37686"/>
    <w:rsid w:val="00A5054F"/>
    <w:rsid w:val="00A52942"/>
    <w:rsid w:val="00A759C8"/>
    <w:rsid w:val="00A7644C"/>
    <w:rsid w:val="00A82B6F"/>
    <w:rsid w:val="00AA0C49"/>
    <w:rsid w:val="00AA3430"/>
    <w:rsid w:val="00AA67F5"/>
    <w:rsid w:val="00AA6A97"/>
    <w:rsid w:val="00AB21AB"/>
    <w:rsid w:val="00AB4C99"/>
    <w:rsid w:val="00AB7326"/>
    <w:rsid w:val="00AC1CE5"/>
    <w:rsid w:val="00AD7514"/>
    <w:rsid w:val="00AE25C4"/>
    <w:rsid w:val="00AE3570"/>
    <w:rsid w:val="00B036AD"/>
    <w:rsid w:val="00B13063"/>
    <w:rsid w:val="00B239E7"/>
    <w:rsid w:val="00B304F4"/>
    <w:rsid w:val="00B31F7D"/>
    <w:rsid w:val="00B36138"/>
    <w:rsid w:val="00B41E06"/>
    <w:rsid w:val="00B42142"/>
    <w:rsid w:val="00B423AB"/>
    <w:rsid w:val="00B50528"/>
    <w:rsid w:val="00B54814"/>
    <w:rsid w:val="00B54DDE"/>
    <w:rsid w:val="00B5530D"/>
    <w:rsid w:val="00B56BED"/>
    <w:rsid w:val="00B84F31"/>
    <w:rsid w:val="00B85292"/>
    <w:rsid w:val="00B86505"/>
    <w:rsid w:val="00B9023C"/>
    <w:rsid w:val="00B92300"/>
    <w:rsid w:val="00B96992"/>
    <w:rsid w:val="00B9723A"/>
    <w:rsid w:val="00BA23FC"/>
    <w:rsid w:val="00BA4E98"/>
    <w:rsid w:val="00BA5408"/>
    <w:rsid w:val="00BA5A1B"/>
    <w:rsid w:val="00BB2A80"/>
    <w:rsid w:val="00BB2CF5"/>
    <w:rsid w:val="00BB3CEA"/>
    <w:rsid w:val="00BB5B47"/>
    <w:rsid w:val="00BC34CC"/>
    <w:rsid w:val="00BC4982"/>
    <w:rsid w:val="00BC4C85"/>
    <w:rsid w:val="00BC626B"/>
    <w:rsid w:val="00BC7D78"/>
    <w:rsid w:val="00BE683E"/>
    <w:rsid w:val="00BF148A"/>
    <w:rsid w:val="00C046C8"/>
    <w:rsid w:val="00C051F8"/>
    <w:rsid w:val="00C170ED"/>
    <w:rsid w:val="00C24C8D"/>
    <w:rsid w:val="00C26566"/>
    <w:rsid w:val="00C35F3A"/>
    <w:rsid w:val="00C435AF"/>
    <w:rsid w:val="00C455F2"/>
    <w:rsid w:val="00C56694"/>
    <w:rsid w:val="00C73F7B"/>
    <w:rsid w:val="00C773CB"/>
    <w:rsid w:val="00C814CD"/>
    <w:rsid w:val="00C8664D"/>
    <w:rsid w:val="00CB029B"/>
    <w:rsid w:val="00CC7700"/>
    <w:rsid w:val="00CE3CE4"/>
    <w:rsid w:val="00CE6BC9"/>
    <w:rsid w:val="00CF2321"/>
    <w:rsid w:val="00CF51B8"/>
    <w:rsid w:val="00CF66C0"/>
    <w:rsid w:val="00D05053"/>
    <w:rsid w:val="00D0755E"/>
    <w:rsid w:val="00D128CC"/>
    <w:rsid w:val="00D20C27"/>
    <w:rsid w:val="00D24C03"/>
    <w:rsid w:val="00D330F4"/>
    <w:rsid w:val="00D41942"/>
    <w:rsid w:val="00D42EA1"/>
    <w:rsid w:val="00D44750"/>
    <w:rsid w:val="00D4707F"/>
    <w:rsid w:val="00D5411C"/>
    <w:rsid w:val="00D56C63"/>
    <w:rsid w:val="00D57EB7"/>
    <w:rsid w:val="00D67165"/>
    <w:rsid w:val="00D724E8"/>
    <w:rsid w:val="00D74E08"/>
    <w:rsid w:val="00D75373"/>
    <w:rsid w:val="00D82084"/>
    <w:rsid w:val="00D905F2"/>
    <w:rsid w:val="00D95314"/>
    <w:rsid w:val="00D95790"/>
    <w:rsid w:val="00DC3D1B"/>
    <w:rsid w:val="00DC5FCA"/>
    <w:rsid w:val="00DD1782"/>
    <w:rsid w:val="00DE017D"/>
    <w:rsid w:val="00DF0D60"/>
    <w:rsid w:val="00DF677E"/>
    <w:rsid w:val="00E20819"/>
    <w:rsid w:val="00E22730"/>
    <w:rsid w:val="00E230AD"/>
    <w:rsid w:val="00E237F6"/>
    <w:rsid w:val="00E36821"/>
    <w:rsid w:val="00E46A06"/>
    <w:rsid w:val="00E506D7"/>
    <w:rsid w:val="00E765B5"/>
    <w:rsid w:val="00E7730D"/>
    <w:rsid w:val="00E843DC"/>
    <w:rsid w:val="00E84C9A"/>
    <w:rsid w:val="00E86693"/>
    <w:rsid w:val="00E90D7B"/>
    <w:rsid w:val="00E96BBA"/>
    <w:rsid w:val="00EA1EE4"/>
    <w:rsid w:val="00EA674C"/>
    <w:rsid w:val="00EB357D"/>
    <w:rsid w:val="00EB69E1"/>
    <w:rsid w:val="00EB731E"/>
    <w:rsid w:val="00EB7754"/>
    <w:rsid w:val="00EB788A"/>
    <w:rsid w:val="00EC02FE"/>
    <w:rsid w:val="00ED4105"/>
    <w:rsid w:val="00EE5E98"/>
    <w:rsid w:val="00EF2797"/>
    <w:rsid w:val="00EF2E65"/>
    <w:rsid w:val="00EF56DC"/>
    <w:rsid w:val="00EF6FF9"/>
    <w:rsid w:val="00F060F1"/>
    <w:rsid w:val="00F06ADD"/>
    <w:rsid w:val="00F173FA"/>
    <w:rsid w:val="00F17C20"/>
    <w:rsid w:val="00F30A54"/>
    <w:rsid w:val="00F52352"/>
    <w:rsid w:val="00F6119A"/>
    <w:rsid w:val="00F7270C"/>
    <w:rsid w:val="00F730EC"/>
    <w:rsid w:val="00F74FFE"/>
    <w:rsid w:val="00F809CD"/>
    <w:rsid w:val="00F92209"/>
    <w:rsid w:val="00F939CF"/>
    <w:rsid w:val="00F93AE5"/>
    <w:rsid w:val="00F96BD8"/>
    <w:rsid w:val="00F96E32"/>
    <w:rsid w:val="00FA443B"/>
    <w:rsid w:val="00FA586A"/>
    <w:rsid w:val="00FC30F7"/>
    <w:rsid w:val="00FD0188"/>
    <w:rsid w:val="00FD179A"/>
    <w:rsid w:val="00FD1844"/>
    <w:rsid w:val="00FD34E1"/>
    <w:rsid w:val="00FD755F"/>
    <w:rsid w:val="00FE7886"/>
    <w:rsid w:val="00FE78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C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E72"/>
    <w:pPr>
      <w:spacing w:after="0" w:line="240" w:lineRule="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
    <w:name w:val="ti"/>
    <w:basedOn w:val="Fuentedeprrafopredeter"/>
    <w:rsid w:val="00414B23"/>
  </w:style>
  <w:style w:type="paragraph" w:styleId="Textoindependiente2">
    <w:name w:val="Body Text 2"/>
    <w:basedOn w:val="Normal"/>
    <w:link w:val="Textoindependiente2Car"/>
    <w:rsid w:val="00414B23"/>
    <w:pPr>
      <w:jc w:val="both"/>
    </w:pPr>
    <w:rPr>
      <w:szCs w:val="20"/>
      <w:lang w:val="es-ES" w:eastAsia="es-ES"/>
      <w14:shadow w14:blurRad="50800" w14:dist="38100" w14:dir="2700000" w14:sx="100000" w14:sy="100000" w14:kx="0" w14:ky="0" w14:algn="tl">
        <w14:srgbClr w14:val="000000">
          <w14:alpha w14:val="60000"/>
        </w14:srgbClr>
      </w14:shadow>
    </w:rPr>
  </w:style>
  <w:style w:type="character" w:customStyle="1" w:styleId="Textoindependiente2Car">
    <w:name w:val="Texto independiente 2 Car"/>
    <w:basedOn w:val="Fuentedeprrafopredeter"/>
    <w:link w:val="Textoindependiente2"/>
    <w:rsid w:val="00414B23"/>
    <w:rPr>
      <w:rFonts w:ascii="Times New Roman" w:eastAsia="Times New Roman" w:hAnsi="Times New Roman" w:cs="Times New Roman"/>
      <w:sz w:val="24"/>
      <w:szCs w:val="20"/>
      <w:lang w:val="es-ES" w:eastAsia="es-ES"/>
      <w14:shadow w14:blurRad="50800" w14:dist="38100" w14:dir="2700000" w14:sx="100000" w14:sy="100000" w14:kx="0" w14:ky="0" w14:algn="tl">
        <w14:srgbClr w14:val="000000">
          <w14:alpha w14:val="60000"/>
        </w14:srgbClr>
      </w14:shadow>
    </w:rPr>
  </w:style>
  <w:style w:type="character" w:styleId="Hipervnculo">
    <w:name w:val="Hyperlink"/>
    <w:uiPriority w:val="99"/>
    <w:unhideWhenUsed/>
    <w:rsid w:val="00414B23"/>
    <w:rPr>
      <w:color w:val="0000FF"/>
      <w:u w:val="single"/>
    </w:rPr>
  </w:style>
  <w:style w:type="paragraph" w:styleId="NormalWeb">
    <w:name w:val="Normal (Web)"/>
    <w:basedOn w:val="Normal"/>
    <w:uiPriority w:val="99"/>
    <w:rsid w:val="006E78C5"/>
    <w:pPr>
      <w:spacing w:before="100" w:beforeAutospacing="1" w:after="100" w:afterAutospacing="1"/>
    </w:pPr>
    <w:rPr>
      <w:lang w:val="es-ES" w:eastAsia="es-ES"/>
    </w:rPr>
  </w:style>
  <w:style w:type="paragraph" w:customStyle="1" w:styleId="EndNoteBibliographyTitle">
    <w:name w:val="EndNote Bibliography Title"/>
    <w:basedOn w:val="Normal"/>
    <w:link w:val="EndNoteBibliographyTitleCar"/>
    <w:rsid w:val="004F1E05"/>
    <w:pPr>
      <w:jc w:val="center"/>
    </w:pPr>
    <w:rPr>
      <w:lang w:val="es-ES_tradnl"/>
    </w:rPr>
  </w:style>
  <w:style w:type="character" w:customStyle="1" w:styleId="EndNoteBibliographyTitleCar">
    <w:name w:val="EndNote Bibliography Title Car"/>
    <w:link w:val="EndNoteBibliographyTitle"/>
    <w:rsid w:val="004F1E05"/>
    <w:rPr>
      <w:rFonts w:ascii="Times New Roman" w:eastAsia="Times New Roman" w:hAnsi="Times New Roman" w:cs="Times New Roman"/>
      <w:sz w:val="24"/>
      <w:szCs w:val="24"/>
      <w:lang w:val="es-ES_tradnl" w:eastAsia="es-ES_tradnl"/>
    </w:rPr>
  </w:style>
  <w:style w:type="paragraph" w:customStyle="1" w:styleId="EndNoteBibliography">
    <w:name w:val="EndNote Bibliography"/>
    <w:basedOn w:val="Normal"/>
    <w:link w:val="EndNoteBibliographyCar"/>
    <w:rsid w:val="004F1E05"/>
    <w:pPr>
      <w:jc w:val="both"/>
    </w:pPr>
    <w:rPr>
      <w:lang w:val="es-ES_tradnl"/>
    </w:rPr>
  </w:style>
  <w:style w:type="character" w:customStyle="1" w:styleId="EndNoteBibliographyCar">
    <w:name w:val="EndNote Bibliography Car"/>
    <w:link w:val="EndNoteBibliography"/>
    <w:rsid w:val="004F1E05"/>
    <w:rPr>
      <w:rFonts w:ascii="Times New Roman" w:eastAsia="Times New Roman" w:hAnsi="Times New Roman" w:cs="Times New Roman"/>
      <w:sz w:val="24"/>
      <w:szCs w:val="24"/>
      <w:lang w:val="es-ES_tradnl" w:eastAsia="es-ES_tradnl"/>
    </w:rPr>
  </w:style>
  <w:style w:type="character" w:customStyle="1" w:styleId="Mencinsinresolver1">
    <w:name w:val="Mención sin resolver1"/>
    <w:basedOn w:val="Fuentedeprrafopredeter"/>
    <w:uiPriority w:val="99"/>
    <w:semiHidden/>
    <w:unhideWhenUsed/>
    <w:rsid w:val="001F3141"/>
    <w:rPr>
      <w:color w:val="605E5C"/>
      <w:shd w:val="clear" w:color="auto" w:fill="E1DFDD"/>
    </w:rPr>
  </w:style>
  <w:style w:type="paragraph" w:styleId="Piedepgina">
    <w:name w:val="footer"/>
    <w:basedOn w:val="Normal"/>
    <w:link w:val="PiedepginaCar"/>
    <w:uiPriority w:val="99"/>
    <w:unhideWhenUsed/>
    <w:rsid w:val="00EF2797"/>
    <w:pPr>
      <w:tabs>
        <w:tab w:val="center" w:pos="4419"/>
        <w:tab w:val="right" w:pos="8838"/>
      </w:tabs>
    </w:pPr>
  </w:style>
  <w:style w:type="character" w:customStyle="1" w:styleId="PiedepginaCar">
    <w:name w:val="Pie de página Car"/>
    <w:basedOn w:val="Fuentedeprrafopredeter"/>
    <w:link w:val="Piedepgina"/>
    <w:uiPriority w:val="99"/>
    <w:rsid w:val="00EF2797"/>
    <w:rPr>
      <w:rFonts w:ascii="Times New Roman" w:eastAsia="Times New Roman" w:hAnsi="Times New Roman" w:cs="Times New Roman"/>
      <w:noProof/>
      <w:sz w:val="24"/>
      <w:szCs w:val="24"/>
      <w:lang w:eastAsia="es-ES_tradnl"/>
    </w:rPr>
  </w:style>
  <w:style w:type="character" w:styleId="Nmerodepgina">
    <w:name w:val="page number"/>
    <w:basedOn w:val="Fuentedeprrafopredeter"/>
    <w:uiPriority w:val="99"/>
    <w:semiHidden/>
    <w:unhideWhenUsed/>
    <w:rsid w:val="00EF2797"/>
  </w:style>
  <w:style w:type="table" w:styleId="Tablaconcuadrcula">
    <w:name w:val="Table Grid"/>
    <w:basedOn w:val="Tablanormal"/>
    <w:uiPriority w:val="59"/>
    <w:rsid w:val="00815BD6"/>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FD0188"/>
    <w:pPr>
      <w:spacing w:after="120" w:line="276" w:lineRule="auto"/>
    </w:pPr>
    <w:rPr>
      <w:rFonts w:ascii="Calibri" w:eastAsia="Calibri" w:hAnsi="Calibri"/>
      <w:sz w:val="22"/>
      <w:szCs w:val="22"/>
      <w:lang w:eastAsia="en-US"/>
    </w:rPr>
  </w:style>
  <w:style w:type="character" w:customStyle="1" w:styleId="TextoindependienteCar">
    <w:name w:val="Texto independiente Car"/>
    <w:basedOn w:val="Fuentedeprrafopredeter"/>
    <w:link w:val="Textoindependiente"/>
    <w:uiPriority w:val="99"/>
    <w:rsid w:val="00FD0188"/>
    <w:rPr>
      <w:rFonts w:ascii="Calibri" w:eastAsia="Calibri" w:hAnsi="Calibri" w:cs="Times New Roman"/>
    </w:rPr>
  </w:style>
  <w:style w:type="character" w:styleId="Hipervnculovisitado">
    <w:name w:val="FollowedHyperlink"/>
    <w:basedOn w:val="Fuentedeprrafopredeter"/>
    <w:uiPriority w:val="99"/>
    <w:semiHidden/>
    <w:unhideWhenUsed/>
    <w:rsid w:val="00C455F2"/>
    <w:rPr>
      <w:color w:val="954F72" w:themeColor="followedHyperlink"/>
      <w:u w:val="single"/>
    </w:rPr>
  </w:style>
  <w:style w:type="paragraph" w:styleId="Prrafodelista">
    <w:name w:val="List Paragraph"/>
    <w:basedOn w:val="Normal"/>
    <w:uiPriority w:val="34"/>
    <w:qFormat/>
    <w:rsid w:val="000043C0"/>
    <w:pPr>
      <w:ind w:left="720"/>
      <w:contextualSpacing/>
    </w:pPr>
  </w:style>
  <w:style w:type="paragraph" w:styleId="Encabezado">
    <w:name w:val="header"/>
    <w:basedOn w:val="Normal"/>
    <w:link w:val="EncabezadoCar"/>
    <w:uiPriority w:val="99"/>
    <w:unhideWhenUsed/>
    <w:rsid w:val="00AB7326"/>
    <w:pPr>
      <w:tabs>
        <w:tab w:val="center" w:pos="4419"/>
        <w:tab w:val="right" w:pos="8838"/>
      </w:tabs>
    </w:pPr>
  </w:style>
  <w:style w:type="character" w:customStyle="1" w:styleId="EncabezadoCar">
    <w:name w:val="Encabezado Car"/>
    <w:basedOn w:val="Fuentedeprrafopredeter"/>
    <w:link w:val="Encabezado"/>
    <w:uiPriority w:val="99"/>
    <w:rsid w:val="00AB7326"/>
    <w:rPr>
      <w:rFonts w:ascii="Times New Roman" w:eastAsia="Times New Roman" w:hAnsi="Times New Roman" w:cs="Times New Roman"/>
      <w:noProof/>
      <w:sz w:val="24"/>
      <w:szCs w:val="24"/>
      <w:lang w:eastAsia="es-ES_tradnl"/>
    </w:rPr>
  </w:style>
  <w:style w:type="paragraph" w:customStyle="1" w:styleId="Normal1">
    <w:name w:val="Normal1"/>
    <w:rsid w:val="00D95314"/>
    <w:pPr>
      <w:spacing w:after="0" w:line="240" w:lineRule="auto"/>
    </w:pPr>
    <w:rPr>
      <w:rFonts w:ascii="Times New Roman" w:eastAsia="Times New Roman" w:hAnsi="Times New Roman" w:cs="Times New Roman"/>
      <w:sz w:val="24"/>
      <w:szCs w:val="24"/>
      <w:lang w:val="es-ES_tradnl" w:eastAsia="es-MX"/>
    </w:rPr>
  </w:style>
  <w:style w:type="paragraph" w:styleId="Textodeglobo">
    <w:name w:val="Balloon Text"/>
    <w:basedOn w:val="Normal"/>
    <w:link w:val="TextodegloboCar"/>
    <w:uiPriority w:val="99"/>
    <w:semiHidden/>
    <w:unhideWhenUsed/>
    <w:rsid w:val="00006A8F"/>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A8F"/>
    <w:rPr>
      <w:rFonts w:ascii="Tahoma" w:eastAsia="Times New Roman" w:hAnsi="Tahoma" w:cs="Tahoma"/>
      <w:noProof/>
      <w:sz w:val="16"/>
      <w:szCs w:val="16"/>
      <w:lang w:eastAsia="es-ES_tradnl"/>
    </w:rPr>
  </w:style>
  <w:style w:type="character" w:styleId="Nmerodelnea">
    <w:name w:val="line number"/>
    <w:basedOn w:val="Fuentedeprrafopredeter"/>
    <w:uiPriority w:val="99"/>
    <w:semiHidden/>
    <w:unhideWhenUsed/>
    <w:rsid w:val="00C773CB"/>
  </w:style>
  <w:style w:type="character" w:customStyle="1" w:styleId="Mencinsinresolver2">
    <w:name w:val="Mención sin resolver2"/>
    <w:basedOn w:val="Fuentedeprrafopredeter"/>
    <w:uiPriority w:val="99"/>
    <w:semiHidden/>
    <w:unhideWhenUsed/>
    <w:rsid w:val="0038022E"/>
    <w:rPr>
      <w:color w:val="605E5C"/>
      <w:shd w:val="clear" w:color="auto" w:fill="E1DFDD"/>
    </w:rPr>
  </w:style>
  <w:style w:type="character" w:styleId="Textodelmarcadordeposicin">
    <w:name w:val="Placeholder Text"/>
    <w:basedOn w:val="Fuentedeprrafopredeter"/>
    <w:uiPriority w:val="99"/>
    <w:semiHidden/>
    <w:rsid w:val="00325E72"/>
    <w:rPr>
      <w:color w:val="808080"/>
    </w:rPr>
  </w:style>
  <w:style w:type="paragraph" w:customStyle="1" w:styleId="DecimalAligned">
    <w:name w:val="Decimal Aligned"/>
    <w:basedOn w:val="Normal"/>
    <w:uiPriority w:val="40"/>
    <w:qFormat/>
    <w:rsid w:val="00606FC6"/>
    <w:pPr>
      <w:tabs>
        <w:tab w:val="decimal" w:pos="360"/>
      </w:tabs>
      <w:spacing w:after="200" w:line="276" w:lineRule="auto"/>
    </w:pPr>
    <w:rPr>
      <w:rFonts w:asciiTheme="minorHAnsi" w:eastAsiaTheme="minorEastAsia" w:hAnsiTheme="minorHAnsi"/>
      <w:sz w:val="22"/>
      <w:szCs w:val="22"/>
      <w:lang w:eastAsia="es-MX"/>
    </w:rPr>
  </w:style>
  <w:style w:type="paragraph" w:styleId="Textonotapie">
    <w:name w:val="footnote text"/>
    <w:basedOn w:val="Normal"/>
    <w:link w:val="TextonotapieCar"/>
    <w:uiPriority w:val="99"/>
    <w:unhideWhenUsed/>
    <w:rsid w:val="00606FC6"/>
    <w:rPr>
      <w:rFonts w:asciiTheme="minorHAnsi" w:eastAsiaTheme="minorEastAsia" w:hAnsiTheme="minorHAnsi"/>
      <w:sz w:val="20"/>
      <w:szCs w:val="20"/>
      <w:lang w:eastAsia="es-MX"/>
    </w:rPr>
  </w:style>
  <w:style w:type="character" w:customStyle="1" w:styleId="TextonotapieCar">
    <w:name w:val="Texto nota pie Car"/>
    <w:basedOn w:val="Fuentedeprrafopredeter"/>
    <w:link w:val="Textonotapie"/>
    <w:uiPriority w:val="99"/>
    <w:rsid w:val="00606FC6"/>
    <w:rPr>
      <w:rFonts w:eastAsiaTheme="minorEastAsia" w:cs="Times New Roman"/>
      <w:sz w:val="20"/>
      <w:szCs w:val="20"/>
      <w:lang w:eastAsia="es-MX"/>
    </w:rPr>
  </w:style>
  <w:style w:type="character" w:styleId="nfasissutil">
    <w:name w:val="Subtle Emphasis"/>
    <w:basedOn w:val="Fuentedeprrafopredeter"/>
    <w:uiPriority w:val="19"/>
    <w:qFormat/>
    <w:rsid w:val="00606FC6"/>
    <w:rPr>
      <w:i/>
      <w:iCs/>
    </w:rPr>
  </w:style>
  <w:style w:type="table" w:styleId="Sombreadoclaro-nfasis1">
    <w:name w:val="Light Shading Accent 1"/>
    <w:basedOn w:val="Tablanormal"/>
    <w:uiPriority w:val="60"/>
    <w:rsid w:val="00606FC6"/>
    <w:pPr>
      <w:spacing w:after="0" w:line="240" w:lineRule="auto"/>
    </w:pPr>
    <w:rPr>
      <w:rFonts w:eastAsiaTheme="minorEastAsia"/>
      <w:color w:val="2F5496" w:themeColor="accent1" w:themeShade="BF"/>
      <w:lang w:eastAsia="es-MX"/>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2681">
      <w:bodyDiv w:val="1"/>
      <w:marLeft w:val="0"/>
      <w:marRight w:val="0"/>
      <w:marTop w:val="0"/>
      <w:marBottom w:val="0"/>
      <w:divBdr>
        <w:top w:val="none" w:sz="0" w:space="0" w:color="auto"/>
        <w:left w:val="none" w:sz="0" w:space="0" w:color="auto"/>
        <w:bottom w:val="none" w:sz="0" w:space="0" w:color="auto"/>
        <w:right w:val="none" w:sz="0" w:space="0" w:color="auto"/>
      </w:divBdr>
    </w:div>
    <w:div w:id="192235402">
      <w:bodyDiv w:val="1"/>
      <w:marLeft w:val="0"/>
      <w:marRight w:val="0"/>
      <w:marTop w:val="0"/>
      <w:marBottom w:val="0"/>
      <w:divBdr>
        <w:top w:val="none" w:sz="0" w:space="0" w:color="auto"/>
        <w:left w:val="none" w:sz="0" w:space="0" w:color="auto"/>
        <w:bottom w:val="none" w:sz="0" w:space="0" w:color="auto"/>
        <w:right w:val="none" w:sz="0" w:space="0" w:color="auto"/>
      </w:divBdr>
    </w:div>
    <w:div w:id="212474347">
      <w:bodyDiv w:val="1"/>
      <w:marLeft w:val="0"/>
      <w:marRight w:val="0"/>
      <w:marTop w:val="0"/>
      <w:marBottom w:val="0"/>
      <w:divBdr>
        <w:top w:val="none" w:sz="0" w:space="0" w:color="auto"/>
        <w:left w:val="none" w:sz="0" w:space="0" w:color="auto"/>
        <w:bottom w:val="none" w:sz="0" w:space="0" w:color="auto"/>
        <w:right w:val="none" w:sz="0" w:space="0" w:color="auto"/>
      </w:divBdr>
    </w:div>
    <w:div w:id="740296940">
      <w:bodyDiv w:val="1"/>
      <w:marLeft w:val="0"/>
      <w:marRight w:val="0"/>
      <w:marTop w:val="0"/>
      <w:marBottom w:val="0"/>
      <w:divBdr>
        <w:top w:val="none" w:sz="0" w:space="0" w:color="auto"/>
        <w:left w:val="none" w:sz="0" w:space="0" w:color="auto"/>
        <w:bottom w:val="none" w:sz="0" w:space="0" w:color="auto"/>
        <w:right w:val="none" w:sz="0" w:space="0" w:color="auto"/>
      </w:divBdr>
    </w:div>
    <w:div w:id="1003701384">
      <w:bodyDiv w:val="1"/>
      <w:marLeft w:val="0"/>
      <w:marRight w:val="0"/>
      <w:marTop w:val="0"/>
      <w:marBottom w:val="0"/>
      <w:divBdr>
        <w:top w:val="none" w:sz="0" w:space="0" w:color="auto"/>
        <w:left w:val="none" w:sz="0" w:space="0" w:color="auto"/>
        <w:bottom w:val="none" w:sz="0" w:space="0" w:color="auto"/>
        <w:right w:val="none" w:sz="0" w:space="0" w:color="auto"/>
      </w:divBdr>
    </w:div>
    <w:div w:id="1611430024">
      <w:bodyDiv w:val="1"/>
      <w:marLeft w:val="0"/>
      <w:marRight w:val="0"/>
      <w:marTop w:val="0"/>
      <w:marBottom w:val="0"/>
      <w:divBdr>
        <w:top w:val="none" w:sz="0" w:space="0" w:color="auto"/>
        <w:left w:val="none" w:sz="0" w:space="0" w:color="auto"/>
        <w:bottom w:val="none" w:sz="0" w:space="0" w:color="auto"/>
        <w:right w:val="none" w:sz="0" w:space="0" w:color="auto"/>
      </w:divBdr>
    </w:div>
    <w:div w:id="1881281214">
      <w:bodyDiv w:val="1"/>
      <w:marLeft w:val="0"/>
      <w:marRight w:val="0"/>
      <w:marTop w:val="0"/>
      <w:marBottom w:val="0"/>
      <w:divBdr>
        <w:top w:val="none" w:sz="0" w:space="0" w:color="auto"/>
        <w:left w:val="none" w:sz="0" w:space="0" w:color="auto"/>
        <w:bottom w:val="none" w:sz="0" w:space="0" w:color="auto"/>
        <w:right w:val="none" w:sz="0" w:space="0" w:color="auto"/>
      </w:divBdr>
    </w:div>
    <w:div w:id="199055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87250-3FEF-4792-B0FE-294EA1EB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4041</Words>
  <Characters>25638</Characters>
  <Application>Microsoft Office Word</Application>
  <DocSecurity>0</DocSecurity>
  <Lines>461</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2024-09-18T17:20:00Z</dcterms:created>
  <dcterms:modified xsi:type="dcterms:W3CDTF">2024-09-23T21:28:00Z</dcterms:modified>
</cp:coreProperties>
</file>