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AGENTS.md</w:t>
        <w:br/>
        <w:br/>
        <w:br/>
        <w:t># AGENTS.md — MechLex QA operating rules</w:t>
        <w:br/>
        <w:br/>
        <w:t>## Mission</w:t>
        <w:br/>
        <w:t>Perform an evidence-based, adversarial QA, repair and release audit of MechLex. The repository and executed tests are the source of truth. Do not optimize for producing reassuring prose.</w:t>
        <w:br/>
        <w:br/>
        <w:t>## Read first</w:t>
        <w:br/>
        <w:t>- `CODEX_QA_GOAL.md`</w:t>
        <w:br/>
        <w:t>- `MechLex_Codex_Goal_Driven_QA_Master.md`</w:t>
        <w:br/>
        <w:t>- project README, change log, version file and launcher</w:t>
        <w:br/>
        <w:t>- all source, data, image, backup and prior QA files</w:t>
        <w:br/>
        <w:br/>
        <w:t>## Non-negotiable rules</w:t>
        <w:br/>
        <w:t>- Preserve the original baseline and create SHA-256 hashes before destructive work.</w:t>
        <w:br/>
        <w:t>- Write QA assets only under `qa/` and `.logs/` unless making a registered patch in an isolated branch/worktree.</w:t>
        <w:br/>
        <w:t>- Audit before repair. Reproduce and register a defect before changing production behavior.</w:t>
        <w:br/>
        <w:t>- Add a regression test or deterministic reproduction for every repaired defect when feasible.</w:t>
        <w:br/>
        <w:t>- Do not weaken tests or product requirements to make results pass.</w:t>
        <w:br/>
        <w:t>- Do not add Internet, cloud, remote API, local-server or machine-specific runtime dependencies.</w:t>
        <w:br/>
        <w:t>- Treat the shared folder as the stated source of truth and challenge whether the code actually supports that model.</w:t>
        <w:br/>
        <w:t>- A UI success message is not proof of persistence. Inspect authoritative files and reopen from another process/workstation.</w:t>
        <w:br/>
        <w:t>- Playwright may validate browser workflows, but actual Edge 95 proof requires Edge 95.</w:t>
        <w:br/>
        <w:t>- Keep progress and evidence under `qa/` and `.logs/`.</w:t>
        <w:br/>
        <w:t>- Never merge automatically into the preserved baseline.</w:t>
        <w:br/>
        <w:br/>
        <w:t>## Parallel work</w:t>
        <w:br/>
        <w:t>Delegate independent architecture, persistence/concurrency, security, UX/compatibility, performance/media and recovery investigations to subagents when useful. Give each agent a bounded scope and evidence path. Avoid simultaneous edits to the same files. Use worktrees for repair work.</w:t>
        <w:br/>
        <w:br/>
        <w:t>## Iteration</w:t>
        <w:br/>
        <w:t>For each failure: observe, reproduce, register, test first, hypothesize, patch minimally, verify, regress, review, decide and log. Continue while a materially distinct evidence-backed path exists. Stop only with a precise blocker.</w:t>
        <w:br/>
        <w:br/>
        <w:t>## Completion</w:t>
        <w:br/>
        <w:t>The Master Goal is complete only when all mandatory release gates are evidenced and the final reports exist under `qa/`. A missing environment is NOT TESTED, not PASS.</w:t>
        <w:br/>
        <w:t># AGENTS.md — MechLex Codex QA and Remediation Rules</w:t>
        <w:br/>
        <w:br/>
        <w:t>## Mission</w:t>
        <w:br/>
        <w:br/>
        <w:t>Bring MechLex to an independently evidenced, organization-ready state. The repository, executed tests, persisted files and target-environment evidence are the source of truth. Prior Gemini/Codex scores and prose are claims, not proof.</w:t>
        <w:br/>
        <w:br/>
        <w:t>## Three-goal workflow</w:t>
        <w:br/>
        <w:br/>
        <w:t>1. Goal 1: audit and score only; no production changes.</w:t>
        <w:br/>
        <w:t>2. Goal 2: repair in isolated worktrees with tests and evidence.</w:t>
        <w:br/>
        <w:t>3. Goal 3: fresh independent audit of a frozen release candidate; no production changes.</w:t>
        <w:br/>
        <w:br/>
        <w:t>Never combine audit and repair in one baseline. Never use Goal 2’s own conclusions as Goal 3 proof.</w:t>
        <w:br/>
        <w:br/>
        <w:t>## Non-negotiable product contract</w:t>
        <w:br/>
        <w:br/>
        <w:t>- Fully offline: no Internet, cloud, remote API, CDN, analytics or external database.</w:t>
        <w:br/>
        <w:t>- A per-workstation Local Helper is allowed and must bind only to `127.0.0.1`.</w:t>
        <w:br/>
        <w:t>- The organizational shared folder is the sole authoritative dictionary source.</w:t>
        <w:br/>
        <w:t>- Browser storage may hold preferences or clearly labelled drafts only; it may not load or save an alternate authoritative dictionary.</w:t>
        <w:br/>
        <w:t>- No silent local fallback when the shared source is unavailable.</w:t>
        <w:br/>
        <w:t>- `file://` direct execution must be blocked or redirect-only; it must not open a second functional dictionary.</w:t>
        <w:br/>
        <w:t>- Viewer is read-only. Content Expert may change content only. Administrator may perform approved administrative/recovery actions. Enforce at the server/filesystem boundary, not only in JavaScript UI.</w:t>
        <w:br/>
        <w:t>- Multiple workstations must not silently overwrite, split, corrupt or indefinitely miss data.</w:t>
        <w:br/>
        <w:t>- Required valid image support includes JPEG, PNG and WebP through at least 15 MiB unless the user formally changes the requirement.</w:t>
        <w:br/>
        <w:t>- Preserve Hebrew, English, Amharic, mixed RTL/LTR and engineering symbols.</w:t>
        <w:br/>
        <w:t>- Preserve actual Edge 95 support as a mandatory requirement until the user formally removes it.</w:t>
        <w:br/>
        <w:t>- The UI must support deep mixed hierarchies containing terms and subdomains at the same level.</w:t>
        <w:br/>
        <w:t>- Preserve all existing user data and history.</w:t>
        <w:br/>
        <w:br/>
        <w:t>## Safety and Git</w:t>
        <w:br/>
        <w:br/>
        <w:t>- Verify the reported commit and tag before work.</w:t>
        <w:br/>
        <w:t>- Preserve a recursive frozen baseline and SHA-256 manifest.</w:t>
        <w:br/>
        <w:t>- Destructive tests use disposable data copies.</w:t>
        <w:br/>
        <w:t>- Goal 2 patches use branches/worktrees; never patch `main` or the frozen tag.</w:t>
        <w:br/>
        <w:t>- Never push state files, backups, logs, user images, PINs, credentials or sensitive dictionary data without explicit approval.</w:t>
        <w:br/>
        <w:t>- Do not automatically merge.</w:t>
        <w:br/>
        <w:br/>
        <w:t>## Evidence rules</w:t>
        <w:br/>
        <w:br/>
        <w:t>- UI appearance is not persistence proof.</w:t>
        <w:br/>
        <w:t>- A test written but not executed is NOT TESTED.</w:t>
        <w:br/>
        <w:t>- API simulation is not a full browser end-to-end test.</w:t>
        <w:br/>
        <w:t>- Same-host processes are not cross-machine SMB proof.</w:t>
        <w:br/>
        <w:t>- Static compatibility review is not Edge 95 runtime proof.</w:t>
        <w:br/>
        <w:t>- Hidden controls, a PIN or `/api/can-write` are not sufficient authorization proof.</w:t>
        <w:br/>
        <w:t>- PASS requires command/manual steps, environment, date, version, result and evidence path.</w:t>
        <w:br/>
        <w:t>- Keep exact counts and preserve original test IDs.</w:t>
        <w:br/>
        <w:br/>
        <w:t>## Defect loop</w:t>
        <w:br/>
        <w:br/>
        <w:t>Observe → reproduce → register → failing test/reproduction → hypothesis and falsifier → minimal patch in worktree → focused verification → persisted-file inspection → related and critical regression → independent diff review → accept/revise/revert → log residual risk.</w:t>
        <w:br/>
        <w:br/>
        <w:t>Do not repeat an unchanged failed approach. Do not increase timeouts, reduce data sizes, remove assertions or alter acceptance criteria merely to create green results.</w:t>
        <w:br/>
        <w:br/>
        <w:t>## Mandatory independent review</w:t>
        <w:br/>
        <w:br/>
        <w:t>Use specialized subagents or separate threads for architecture, persistence/concurrency, security/roles, UI/accessibility, compatibility/performance and independent code review when available. Parallel agents must not edit the same production files.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