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אפשר להזין כאן נתיב מוחלט לתיקייה משותפת, למשל:</w:t>
      </w:r>
    </w:p>
    <w:p>
      <w:r>
        <w:t># \\SERVER\Shared\MechLex-Data</w:t>
      </w:r>
    </w:p>
    <w:p>
      <w:r>
        <w:t># או:</w:t>
      </w:r>
    </w:p>
    <w:p>
      <w:r>
        <w:t># Z:\MechLex-Data</w:t>
      </w:r>
    </w:p>
    <w:p>
      <w:r>
        <w:t>#</w:t>
      </w:r>
    </w:p>
    <w:p>
      <w:r>
        <w:t># לצורך בדיקה מקומית שתי גרסאות MechLex משתמשות בתיקייה המדומה שלהלן.</w:t>
      </w:r>
    </w:p>
    <w:p>
      <w:r>
        <w:t>..\MechLex_Shared_Data_Simulation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