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2648" w:rsidRPr="00B82648" w:rsidRDefault="00B82648" w:rsidP="00B82648">
      <w:pPr>
        <w:pStyle w:val="Web"/>
        <w:shd w:val="clear" w:color="auto" w:fill="FFFFFF"/>
        <w:spacing w:before="180" w:beforeAutospacing="0" w:after="180" w:afterAutospacing="0"/>
        <w:rPr>
          <w:color w:val="333333"/>
        </w:rPr>
      </w:pPr>
      <w:r w:rsidRPr="00B82648">
        <w:rPr>
          <w:color w:val="333333"/>
        </w:rPr>
        <w:t xml:space="preserve">1. This is the most important </w:t>
      </w:r>
      <w:proofErr w:type="spellStart"/>
      <w:r w:rsidRPr="00B82648">
        <w:rPr>
          <w:color w:val="333333"/>
        </w:rPr>
        <w:t>OpenAI</w:t>
      </w:r>
      <w:proofErr w:type="spellEnd"/>
      <w:r w:rsidRPr="00B82648">
        <w:rPr>
          <w:color w:val="333333"/>
        </w:rPr>
        <w:t xml:space="preserve"> camp question. Please do it.</w:t>
      </w:r>
    </w:p>
    <w:p w:rsidR="00B82648" w:rsidRPr="00B82648" w:rsidRDefault="00B82648" w:rsidP="00B82648">
      <w:pPr>
        <w:pStyle w:val="Web"/>
        <w:shd w:val="clear" w:color="auto" w:fill="FFFFFF"/>
        <w:spacing w:before="180" w:beforeAutospacing="0" w:after="180" w:afterAutospacing="0"/>
        <w:rPr>
          <w:color w:val="333333"/>
        </w:rPr>
      </w:pPr>
      <w:r w:rsidRPr="00B82648">
        <w:rPr>
          <w:color w:val="333333"/>
        </w:rPr>
        <w:t>Describe your hacking (arbitrage) the system experience. It must be non-computer.</w:t>
      </w:r>
    </w:p>
    <w:p w:rsidR="003A14B9" w:rsidRPr="003A14B9" w:rsidRDefault="003A14B9" w:rsidP="003A14B9">
      <w:pPr>
        <w:spacing w:before="100" w:beforeAutospacing="1" w:after="100" w:afterAutospacing="1" w:line="240" w:lineRule="auto"/>
        <w:rPr>
          <w:rFonts w:ascii="Times New Roman" w:eastAsia="Times New Roman" w:hAnsi="Times New Roman" w:cs="Times New Roman"/>
          <w:sz w:val="24"/>
          <w:szCs w:val="24"/>
        </w:rPr>
      </w:pPr>
      <w:r w:rsidRPr="003A14B9">
        <w:rPr>
          <w:rFonts w:ascii="Times New Roman" w:eastAsia="Times New Roman" w:hAnsi="Times New Roman" w:cs="Times New Roman"/>
          <w:sz w:val="24"/>
          <w:szCs w:val="24"/>
        </w:rPr>
        <w:t>As a Malaysian, I successfully executed a retail arbitrage strategy involving Apple Pencils. During a clearance event, major authorized resellers (Switch and Machines) offered a 50% discount. While demand surged in metropolitan hubs like Kuala Lumpur—leading to immediate stockouts online and physical stores being overcrowded—I identified a market inefficiency.</w:t>
      </w:r>
    </w:p>
    <w:p w:rsidR="003A14B9" w:rsidRPr="003A14B9" w:rsidRDefault="003A14B9" w:rsidP="003A14B9">
      <w:pPr>
        <w:spacing w:before="100" w:beforeAutospacing="1" w:after="100" w:afterAutospacing="1" w:line="240" w:lineRule="auto"/>
        <w:rPr>
          <w:rFonts w:ascii="Times New Roman" w:eastAsia="Times New Roman" w:hAnsi="Times New Roman" w:cs="Times New Roman"/>
          <w:sz w:val="24"/>
          <w:szCs w:val="24"/>
        </w:rPr>
      </w:pPr>
      <w:r w:rsidRPr="003A14B9">
        <w:rPr>
          <w:rFonts w:ascii="Times New Roman" w:eastAsia="Times New Roman" w:hAnsi="Times New Roman" w:cs="Times New Roman"/>
          <w:sz w:val="24"/>
          <w:szCs w:val="24"/>
        </w:rPr>
        <w:t xml:space="preserve">Living in Johor, I noticed that local Machines outlets maintained the same discounted pricing but had ample stock due to lower foot traffic. Recognizing this geographic supply-demand gap, I purchased multiple units and resold them to buyers in other states through online marketplaces. By providing access to inventory that was otherwise unavailable to them, I was able to charge a convenience premium and generate a significant profit during the </w:t>
      </w:r>
      <w:proofErr w:type="spellStart"/>
      <w:r w:rsidRPr="003A14B9">
        <w:rPr>
          <w:rFonts w:ascii="Times New Roman" w:eastAsia="Times New Roman" w:hAnsi="Times New Roman" w:cs="Times New Roman"/>
          <w:sz w:val="24"/>
          <w:szCs w:val="24"/>
        </w:rPr>
        <w:t>sale</w:t>
      </w:r>
      <w:proofErr w:type="spellEnd"/>
      <w:r w:rsidRPr="003A14B9">
        <w:rPr>
          <w:rFonts w:ascii="Times New Roman" w:eastAsia="Times New Roman" w:hAnsi="Times New Roman" w:cs="Times New Roman"/>
          <w:sz w:val="24"/>
          <w:szCs w:val="24"/>
        </w:rPr>
        <w:t xml:space="preserve"> period.</w:t>
      </w:r>
    </w:p>
    <w:p w:rsidR="00B82648" w:rsidRPr="00B82648" w:rsidRDefault="00B82648">
      <w:pPr>
        <w:rPr>
          <w:rFonts w:ascii="Times New Roman" w:eastAsia="Times New Roman" w:hAnsi="Times New Roman" w:cs="Times New Roman"/>
          <w:color w:val="333333"/>
          <w:sz w:val="24"/>
          <w:szCs w:val="24"/>
        </w:rPr>
      </w:pPr>
    </w:p>
    <w:p w:rsidR="003A14B9" w:rsidRDefault="003A14B9">
      <w:pPr>
        <w:rPr>
          <w:rFonts w:ascii="Times New Roman" w:eastAsia="Times New Roman" w:hAnsi="Times New Roman" w:cs="Times New Roman"/>
          <w:color w:val="333333"/>
          <w:sz w:val="24"/>
          <w:szCs w:val="24"/>
        </w:rPr>
      </w:pPr>
      <w:r>
        <w:rPr>
          <w:color w:val="333333"/>
        </w:rPr>
        <w:br w:type="page"/>
      </w:r>
    </w:p>
    <w:p w:rsidR="00B82648" w:rsidRPr="00B82648" w:rsidRDefault="00B82648" w:rsidP="00B82648">
      <w:pPr>
        <w:pStyle w:val="Web"/>
        <w:shd w:val="clear" w:color="auto" w:fill="FFFFFF"/>
        <w:spacing w:before="180" w:beforeAutospacing="0" w:after="180" w:afterAutospacing="0"/>
        <w:rPr>
          <w:color w:val="333333"/>
        </w:rPr>
      </w:pPr>
      <w:r w:rsidRPr="00B82648">
        <w:rPr>
          <w:color w:val="333333"/>
        </w:rPr>
        <w:lastRenderedPageBreak/>
        <w:t>2. Write a 1-pager critique on the Bitcoin whitepaper: https://bitcoin.org/bitcoin.pdf.</w:t>
      </w:r>
    </w:p>
    <w:p w:rsidR="00166CAA" w:rsidRDefault="00166CAA" w:rsidP="00166CAA">
      <w:pPr>
        <w:pStyle w:val="Web"/>
      </w:pPr>
      <w:r>
        <w:rPr>
          <w:rStyle w:val="citation-945"/>
        </w:rPr>
        <w:t xml:space="preserve">Satoshi Nakamoto’s whitepaper fundamentally changed the landscape of financial technology by introducing a solution to the </w:t>
      </w:r>
      <w:r w:rsidR="00615D5A">
        <w:rPr>
          <w:rStyle w:val="citation-945"/>
        </w:rPr>
        <w:t>centralized</w:t>
      </w:r>
      <w:r w:rsidR="00F85900">
        <w:rPr>
          <w:rStyle w:val="citation-945"/>
        </w:rPr>
        <w:t xml:space="preserve"> </w:t>
      </w:r>
      <w:r w:rsidR="00F85900" w:rsidRPr="00F85900">
        <w:rPr>
          <w:rStyle w:val="citation-945"/>
          <w:rFonts w:eastAsiaTheme="minorEastAsia"/>
        </w:rPr>
        <w:t>banking</w:t>
      </w:r>
      <w:r w:rsidR="00F85900" w:rsidRPr="00F85900">
        <w:rPr>
          <w:rStyle w:val="citation-945"/>
        </w:rPr>
        <w:t xml:space="preserve"> system nowadays</w:t>
      </w:r>
      <w:r>
        <w:t>. However, a critical analysis reveals several significant limitations that hinder its widespread adoption as a functional daily currency.</w:t>
      </w:r>
    </w:p>
    <w:p w:rsidR="00166CAA" w:rsidRDefault="00166CAA" w:rsidP="00166CAA">
      <w:pPr>
        <w:pStyle w:val="Web"/>
      </w:pPr>
      <w:r>
        <w:t xml:space="preserve">A primary limitation of the Bitcoin architecture is its narrow functional scope. </w:t>
      </w:r>
      <w:r>
        <w:rPr>
          <w:rStyle w:val="citation-944"/>
        </w:rPr>
        <w:t>The whitepaper defines an electronic coin strictly as a "chain of digital signatures"</w:t>
      </w:r>
      <w:r>
        <w:t>. While this design ensures secure value transfer, it lacks the programmability required for more complex financial instruments. Unlike later blockchain platforms like Ethereum, Bitcoin’s base layer does not support the native creation of sub-tokens or decentralized applications (</w:t>
      </w:r>
      <w:proofErr w:type="spellStart"/>
      <w:r>
        <w:t>DApps</w:t>
      </w:r>
      <w:proofErr w:type="spellEnd"/>
      <w:r>
        <w:t>). This "single-purpose" design limits its utility in a modern economy that demands versatile, programmable smart contracts.</w:t>
      </w:r>
    </w:p>
    <w:p w:rsidR="00166CAA" w:rsidRDefault="00575388" w:rsidP="00166CAA">
      <w:pPr>
        <w:pStyle w:val="Web"/>
      </w:pPr>
      <w:proofErr w:type="spellStart"/>
      <w:proofErr w:type="gramStart"/>
      <w:r>
        <w:rPr>
          <w:rStyle w:val="citation-943"/>
        </w:rPr>
        <w:t>Beside</w:t>
      </w:r>
      <w:proofErr w:type="spellEnd"/>
      <w:r>
        <w:rPr>
          <w:rStyle w:val="citation-943"/>
        </w:rPr>
        <w:t>,</w:t>
      </w:r>
      <w:proofErr w:type="gramEnd"/>
      <w:r>
        <w:rPr>
          <w:rStyle w:val="citation-943"/>
        </w:rPr>
        <w:t xml:space="preserve"> t</w:t>
      </w:r>
      <w:r w:rsidR="00166CAA">
        <w:rPr>
          <w:rStyle w:val="citation-943"/>
        </w:rPr>
        <w:t>he Proof-of-Work (</w:t>
      </w:r>
      <w:proofErr w:type="spellStart"/>
      <w:r w:rsidR="00166CAA">
        <w:rPr>
          <w:rStyle w:val="citation-943"/>
        </w:rPr>
        <w:t>PoW</w:t>
      </w:r>
      <w:proofErr w:type="spellEnd"/>
      <w:r w:rsidR="00166CAA">
        <w:rPr>
          <w:rStyle w:val="citation-943"/>
        </w:rPr>
        <w:t xml:space="preserve">) mechanism described in the paper </w:t>
      </w:r>
      <w:r>
        <w:rPr>
          <w:rStyle w:val="citation-943"/>
        </w:rPr>
        <w:t>have a significant impact to environment</w:t>
      </w:r>
      <w:r w:rsidR="00166CAA">
        <w:t xml:space="preserve">. </w:t>
      </w:r>
      <w:r w:rsidR="00166CAA">
        <w:rPr>
          <w:rStyle w:val="citation-942"/>
        </w:rPr>
        <w:t xml:space="preserve">To secure the network, nodes must solve complex cryptographic puzzles that consume </w:t>
      </w:r>
      <w:r>
        <w:rPr>
          <w:rStyle w:val="citation-942"/>
        </w:rPr>
        <w:t>large</w:t>
      </w:r>
      <w:r w:rsidR="00166CAA">
        <w:rPr>
          <w:rStyle w:val="citation-942"/>
        </w:rPr>
        <w:t xml:space="preserve"> amounts of "CPU time and electricity"</w:t>
      </w:r>
      <w:r w:rsidR="00166CAA">
        <w:t xml:space="preserve">. </w:t>
      </w:r>
      <w:r w:rsidR="00166CAA">
        <w:rPr>
          <w:rStyle w:val="citation-941"/>
        </w:rPr>
        <w:t>As the network difficulty increases to maintain a steady block generation rate, the energy expenditure becomes immense</w:t>
      </w:r>
      <w:r w:rsidR="00166CAA">
        <w:t>. This competitive consumption of power is widely viewed as an unsustainable method for maintaining a simple ledger, particularly in an era focused on environmental responsibility.</w:t>
      </w:r>
    </w:p>
    <w:p w:rsidR="00166CAA" w:rsidRDefault="00166CAA" w:rsidP="00166CAA">
      <w:pPr>
        <w:pStyle w:val="Web"/>
      </w:pPr>
      <w:r>
        <w:rPr>
          <w:rStyle w:val="citation-940"/>
        </w:rPr>
        <w:t>The whitepaper proposes a "new privacy model" based on maintaining public key anonymity</w:t>
      </w:r>
      <w:r>
        <w:t xml:space="preserve">. </w:t>
      </w:r>
      <w:r>
        <w:rPr>
          <w:rStyle w:val="citation-939"/>
        </w:rPr>
        <w:t>While this protects users from public scrutiny, the total elimination of a "trusted third party" creates a regulatory vacuum</w:t>
      </w:r>
      <w:r>
        <w:t xml:space="preserve">. </w:t>
      </w:r>
      <w:r>
        <w:rPr>
          <w:rStyle w:val="citation-938"/>
        </w:rPr>
        <w:t xml:space="preserve">Without a central authority to oversee transactions or mediate disputes, the system can easily be exploited for money laundering and </w:t>
      </w:r>
      <w:r w:rsidR="00615D5A">
        <w:rPr>
          <w:rStyle w:val="citation-938"/>
        </w:rPr>
        <w:t xml:space="preserve">illegal </w:t>
      </w:r>
      <w:r>
        <w:rPr>
          <w:rStyle w:val="citation-938"/>
        </w:rPr>
        <w:t>trade</w:t>
      </w:r>
      <w:r>
        <w:t>. This lack of accountability makes it difficult for Bitcoin to serve as a legitimate currency within regulated global markets.</w:t>
      </w:r>
    </w:p>
    <w:p w:rsidR="00166CAA" w:rsidRDefault="00615D5A" w:rsidP="00166CAA">
      <w:pPr>
        <w:pStyle w:val="Web"/>
      </w:pPr>
      <w:r w:rsidRPr="00615D5A">
        <w:rPr>
          <w:bCs/>
        </w:rPr>
        <w:t>Furthermore,</w:t>
      </w:r>
      <w:r w:rsidR="00166CAA" w:rsidRPr="00615D5A">
        <w:t xml:space="preserve"> </w:t>
      </w:r>
      <w:proofErr w:type="gramStart"/>
      <w:r w:rsidR="00166CAA" w:rsidRPr="00615D5A">
        <w:rPr>
          <w:rStyle w:val="citation-937"/>
        </w:rPr>
        <w:t>The</w:t>
      </w:r>
      <w:proofErr w:type="gramEnd"/>
      <w:r w:rsidR="00166CAA">
        <w:rPr>
          <w:rStyle w:val="citation-937"/>
        </w:rPr>
        <w:t xml:space="preserve"> economic stability of the system relies heavily on mining incentives, consisting of new coin rewards and transaction fees</w:t>
      </w:r>
      <w:r w:rsidR="00166CAA">
        <w:t xml:space="preserve">. </w:t>
      </w:r>
      <w:r w:rsidR="00166CAA">
        <w:rPr>
          <w:rStyle w:val="citation-936"/>
        </w:rPr>
        <w:t>Nakamoto assumes that nodes will remain honest because it is more "profitable" than attacking the network</w:t>
      </w:r>
      <w:r w:rsidR="00166CAA">
        <w:t>. However, the paper fails to address the scenario where the market price of Bitcoin falls below the marginal cost of hardware and electricity. If mining becomes unprofitable, a mass exodus of nodes could compromise the network's security, a risk the whitepaper does not detail.</w:t>
      </w:r>
    </w:p>
    <w:p w:rsidR="00166CAA" w:rsidRDefault="00166CAA" w:rsidP="00166CAA">
      <w:pPr>
        <w:pStyle w:val="Web"/>
      </w:pPr>
      <w:r>
        <w:t xml:space="preserve">Finally, Bitcoin’s settlement speed is incompatible with daily life. </w:t>
      </w:r>
      <w:r>
        <w:rPr>
          <w:rStyle w:val="citation-935"/>
        </w:rPr>
        <w:t>With an average block time of ten minutes and the mathematical requirement to wait for multiple confirmations to ensure finality, a single transaction can take 10 to 60 minutes to be fully verified</w:t>
      </w:r>
      <w:r>
        <w:t>. This high latency makes Bitcoin impractical for point-of-sale transactions, such as buying groceries or coffee, where near-instant confirmation is required.</w:t>
      </w:r>
    </w:p>
    <w:p w:rsidR="00B82648" w:rsidRPr="00615D5A" w:rsidRDefault="00166CAA" w:rsidP="00615D5A">
      <w:pPr>
        <w:pStyle w:val="Web"/>
      </w:pPr>
      <w:r>
        <w:t>In conclusion, while the Bitcoin whitepaper is a seminal achievement in cryptography, its design prioritizes decentralization and security at the expense of scalability, efficiency, and practical utility. It remains a "digital gold" but falls short of being a viable daily currency.</w:t>
      </w:r>
      <w:r w:rsidR="00B82648" w:rsidRPr="00B82648">
        <w:rPr>
          <w:color w:val="333333"/>
        </w:rPr>
        <w:br w:type="page"/>
      </w:r>
    </w:p>
    <w:p w:rsidR="00B82648" w:rsidRDefault="00B82648" w:rsidP="00B82648">
      <w:pPr>
        <w:pStyle w:val="Web"/>
        <w:shd w:val="clear" w:color="auto" w:fill="FFFFFF"/>
        <w:spacing w:before="180" w:beforeAutospacing="0" w:after="180" w:afterAutospacing="0"/>
        <w:rPr>
          <w:color w:val="333333"/>
        </w:rPr>
      </w:pPr>
      <w:r w:rsidRPr="00B82648">
        <w:rPr>
          <w:color w:val="333333"/>
        </w:rPr>
        <w:lastRenderedPageBreak/>
        <w:t xml:space="preserve">3. Write a 1-pager critique on Prof. Liao's paper: </w:t>
      </w:r>
    </w:p>
    <w:p w:rsidR="00E45806" w:rsidRPr="00E45806" w:rsidRDefault="00E45806" w:rsidP="00E45806">
      <w:pPr>
        <w:pStyle w:val="Web"/>
      </w:pPr>
      <w:r w:rsidRPr="00E45806">
        <w:t xml:space="preserve">First and foremost, this paper demonstrates an outstanding capacity for </w:t>
      </w:r>
      <w:r w:rsidRPr="00E45806">
        <w:rPr>
          <w:bCs/>
        </w:rPr>
        <w:t>interdisciplinary integration</w:t>
      </w:r>
      <w:r w:rsidRPr="00E45806">
        <w:t xml:space="preserve">. Rather than merely introducing individual technologies, Prof. Liao successfully orchestrates an organic convergence between </w:t>
      </w:r>
      <w:r w:rsidRPr="00E45806">
        <w:rPr>
          <w:bCs/>
        </w:rPr>
        <w:t>portfolio optimization</w:t>
      </w:r>
      <w:r w:rsidRPr="00E45806">
        <w:t xml:space="preserve"> and </w:t>
      </w:r>
      <w:r w:rsidRPr="00E45806">
        <w:rPr>
          <w:bCs/>
        </w:rPr>
        <w:t>blockchain technology (ZKP)</w:t>
      </w:r>
      <w:r w:rsidRPr="00E45806">
        <w:t>—two fields traditionally viewed as disparate within academia. By utilizing "applied mathematics" and "Bayesian statistics" as a unified mathematical language, the research elevates the theoretical depth of FinTech. It provides a rigorous scientific framework for the co-evolution of asset allocation and trading infrastructure, underscoring the pivotal role of appli</w:t>
      </w:r>
      <w:bookmarkStart w:id="0" w:name="_GoBack"/>
      <w:bookmarkEnd w:id="0"/>
      <w:r w:rsidRPr="00E45806">
        <w:t>ed mathematics in solving complex, real-world problems.</w:t>
      </w:r>
    </w:p>
    <w:p w:rsidR="00E45806" w:rsidRPr="00E45806" w:rsidRDefault="00E45806" w:rsidP="00E45806">
      <w:pPr>
        <w:pStyle w:val="Web"/>
      </w:pPr>
      <w:r w:rsidRPr="00E45806">
        <w:t xml:space="preserve">Secondly, the paper offers revolutionary insights into the bottlenecks of </w:t>
      </w:r>
      <w:r w:rsidRPr="00E45806">
        <w:rPr>
          <w:bCs/>
        </w:rPr>
        <w:t>blockchain efficiency and privacy</w:t>
      </w:r>
      <w:r w:rsidRPr="00E45806">
        <w:t>. As observed, the traditional Proof-of-Work (</w:t>
      </w:r>
      <w:proofErr w:type="spellStart"/>
      <w:r w:rsidRPr="00E45806">
        <w:t>PoW</w:t>
      </w:r>
      <w:proofErr w:type="spellEnd"/>
      <w:r w:rsidRPr="00E45806">
        <w:t xml:space="preserve">) mechanism utilized by Bitcoin suffers from sluggish transaction processing due to network-wide broadcasting and redundant validation, making it impractical for large-scale, day-to-day financial transactions. However, Prof. Liao’s in-depth exploration of </w:t>
      </w:r>
      <w:proofErr w:type="spellStart"/>
      <w:r w:rsidRPr="00E45806">
        <w:rPr>
          <w:bCs/>
        </w:rPr>
        <w:t>zk</w:t>
      </w:r>
      <w:proofErr w:type="spellEnd"/>
      <w:r w:rsidRPr="00E45806">
        <w:rPr>
          <w:bCs/>
        </w:rPr>
        <w:t>-SNARKs (Succinct Non-Interactive Argument of Knowledge)</w:t>
      </w:r>
      <w:r w:rsidRPr="00E45806">
        <w:t xml:space="preserve"> provides a critical solution. Through its "succinctness," the system can complete verification in mere milliseconds without processing the full raw data of every transaction. This not only significantly enhances scalability but also precisely resolves the tension between transparency and privacy. For institutional-grade applications like JPM Coin, the ability to achieve regulatory compliance without exposing sensitive identities or amounts is the "final mile" in transitioning blockchain from the lab to mainstream financial markets.</w:t>
      </w:r>
    </w:p>
    <w:p w:rsidR="00E45806" w:rsidRPr="00E45806" w:rsidRDefault="00E45806" w:rsidP="00E45806">
      <w:pPr>
        <w:pStyle w:val="Web"/>
      </w:pPr>
      <w:r w:rsidRPr="00E45806">
        <w:t xml:space="preserve">Finally, the paper excels in addressing the classic </w:t>
      </w:r>
      <w:r w:rsidRPr="00E45806">
        <w:rPr>
          <w:bCs/>
        </w:rPr>
        <w:t>"Markowitz Enigma,"</w:t>
      </w:r>
      <w:r w:rsidRPr="00E45806">
        <w:t xml:space="preserve"> effectively bridging the gap between theory and practice. While the Mean-Variance model is academically elegant, it frequently fails in real-world investing due to the high uncertainty of parameter estimation. The </w:t>
      </w:r>
      <w:r w:rsidRPr="00E45806">
        <w:rPr>
          <w:bCs/>
        </w:rPr>
        <w:t>NPEB (Non-Parametric Empirical Bayes)</w:t>
      </w:r>
      <w:r w:rsidRPr="00E45806">
        <w:t xml:space="preserve"> model proposed by Prof. Liao showcases an innovative mindset; it moves away from a blind reliance on sample estimates and instead acknowledges the noise and dynamic nature of market data. By integrating the </w:t>
      </w:r>
      <w:r w:rsidRPr="00E45806">
        <w:rPr>
          <w:bCs/>
        </w:rPr>
        <w:t>GARCH model</w:t>
      </w:r>
      <w:r w:rsidRPr="00E45806">
        <w:t xml:space="preserve"> to capture "volatility clustering" commonly found in financial data, the empirical analysis (Figure 2) clearly demonstrates how the model consistently generates excess returns (Alpha). This methodology of repairing traditional theoretical flaws at their mathematical source offers profound practical guidance and academic inspiration for quantitative traders managing risk and asset allocation in dynamic markets.</w:t>
      </w:r>
    </w:p>
    <w:p w:rsidR="00D00F04" w:rsidRPr="00B82648" w:rsidRDefault="00D00F04" w:rsidP="00B82648">
      <w:pPr>
        <w:pStyle w:val="Web"/>
        <w:shd w:val="clear" w:color="auto" w:fill="FFFFFF"/>
        <w:spacing w:before="180" w:beforeAutospacing="0" w:after="180" w:afterAutospacing="0"/>
        <w:rPr>
          <w:color w:val="333333"/>
        </w:rPr>
      </w:pPr>
    </w:p>
    <w:p w:rsidR="000C08FC" w:rsidRPr="00B82648" w:rsidRDefault="000C08FC">
      <w:pPr>
        <w:rPr>
          <w:rFonts w:ascii="Times New Roman" w:hAnsi="Times New Roman" w:cs="Times New Roman"/>
          <w:sz w:val="24"/>
          <w:szCs w:val="24"/>
        </w:rPr>
      </w:pPr>
    </w:p>
    <w:sectPr w:rsidR="000C08FC" w:rsidRPr="00B8264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0661" w:rsidRDefault="00190661" w:rsidP="00F85900">
      <w:pPr>
        <w:spacing w:after="0" w:line="240" w:lineRule="auto"/>
      </w:pPr>
      <w:r>
        <w:separator/>
      </w:r>
    </w:p>
  </w:endnote>
  <w:endnote w:type="continuationSeparator" w:id="0">
    <w:p w:rsidR="00190661" w:rsidRDefault="00190661" w:rsidP="00F85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0661" w:rsidRDefault="00190661" w:rsidP="00F85900">
      <w:pPr>
        <w:spacing w:after="0" w:line="240" w:lineRule="auto"/>
      </w:pPr>
      <w:r>
        <w:separator/>
      </w:r>
    </w:p>
  </w:footnote>
  <w:footnote w:type="continuationSeparator" w:id="0">
    <w:p w:rsidR="00190661" w:rsidRDefault="00190661" w:rsidP="00F859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48"/>
    <w:rsid w:val="000C08FC"/>
    <w:rsid w:val="00166CAA"/>
    <w:rsid w:val="00190661"/>
    <w:rsid w:val="001A1785"/>
    <w:rsid w:val="003A14B9"/>
    <w:rsid w:val="00575388"/>
    <w:rsid w:val="005D2180"/>
    <w:rsid w:val="00615D5A"/>
    <w:rsid w:val="0084195D"/>
    <w:rsid w:val="00985353"/>
    <w:rsid w:val="00B82648"/>
    <w:rsid w:val="00C25F6E"/>
    <w:rsid w:val="00D00F04"/>
    <w:rsid w:val="00D22AFE"/>
    <w:rsid w:val="00E45806"/>
    <w:rsid w:val="00F8590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03475D"/>
  <w15:chartTrackingRefBased/>
  <w15:docId w15:val="{15B896B5-2BED-4208-96B8-4C08864B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3">
    <w:name w:val="heading 3"/>
    <w:basedOn w:val="a"/>
    <w:link w:val="30"/>
    <w:uiPriority w:val="9"/>
    <w:qFormat/>
    <w:rsid w:val="00C25F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B826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標題 3 字元"/>
    <w:basedOn w:val="a0"/>
    <w:link w:val="3"/>
    <w:uiPriority w:val="9"/>
    <w:rsid w:val="00C25F6E"/>
    <w:rPr>
      <w:rFonts w:ascii="Times New Roman" w:eastAsia="Times New Roman" w:hAnsi="Times New Roman" w:cs="Times New Roman"/>
      <w:b/>
      <w:bCs/>
      <w:sz w:val="27"/>
      <w:szCs w:val="27"/>
    </w:rPr>
  </w:style>
  <w:style w:type="character" w:customStyle="1" w:styleId="citation-818">
    <w:name w:val="citation-818"/>
    <w:basedOn w:val="a0"/>
    <w:rsid w:val="00C25F6E"/>
  </w:style>
  <w:style w:type="character" w:customStyle="1" w:styleId="citation-817">
    <w:name w:val="citation-817"/>
    <w:basedOn w:val="a0"/>
    <w:rsid w:val="00C25F6E"/>
  </w:style>
  <w:style w:type="character" w:customStyle="1" w:styleId="citation-816">
    <w:name w:val="citation-816"/>
    <w:basedOn w:val="a0"/>
    <w:rsid w:val="00C25F6E"/>
  </w:style>
  <w:style w:type="character" w:customStyle="1" w:styleId="citation-815">
    <w:name w:val="citation-815"/>
    <w:basedOn w:val="a0"/>
    <w:rsid w:val="00C25F6E"/>
  </w:style>
  <w:style w:type="character" w:customStyle="1" w:styleId="citation-814">
    <w:name w:val="citation-814"/>
    <w:basedOn w:val="a0"/>
    <w:rsid w:val="00C25F6E"/>
  </w:style>
  <w:style w:type="character" w:customStyle="1" w:styleId="citation-813">
    <w:name w:val="citation-813"/>
    <w:basedOn w:val="a0"/>
    <w:rsid w:val="00C25F6E"/>
  </w:style>
  <w:style w:type="character" w:customStyle="1" w:styleId="citation-812">
    <w:name w:val="citation-812"/>
    <w:basedOn w:val="a0"/>
    <w:rsid w:val="00C25F6E"/>
  </w:style>
  <w:style w:type="character" w:customStyle="1" w:styleId="citation-811">
    <w:name w:val="citation-811"/>
    <w:basedOn w:val="a0"/>
    <w:rsid w:val="00C25F6E"/>
  </w:style>
  <w:style w:type="character" w:customStyle="1" w:styleId="citation-810">
    <w:name w:val="citation-810"/>
    <w:basedOn w:val="a0"/>
    <w:rsid w:val="00C25F6E"/>
  </w:style>
  <w:style w:type="character" w:customStyle="1" w:styleId="citation-809">
    <w:name w:val="citation-809"/>
    <w:basedOn w:val="a0"/>
    <w:rsid w:val="00C25F6E"/>
  </w:style>
  <w:style w:type="character" w:customStyle="1" w:styleId="math-inline">
    <w:name w:val="math-inline"/>
    <w:basedOn w:val="a0"/>
    <w:rsid w:val="00C25F6E"/>
  </w:style>
  <w:style w:type="character" w:customStyle="1" w:styleId="citation-808">
    <w:name w:val="citation-808"/>
    <w:basedOn w:val="a0"/>
    <w:rsid w:val="00C25F6E"/>
  </w:style>
  <w:style w:type="character" w:customStyle="1" w:styleId="citation-807">
    <w:name w:val="citation-807"/>
    <w:basedOn w:val="a0"/>
    <w:rsid w:val="00C25F6E"/>
  </w:style>
  <w:style w:type="character" w:customStyle="1" w:styleId="citation-806">
    <w:name w:val="citation-806"/>
    <w:basedOn w:val="a0"/>
    <w:rsid w:val="00C25F6E"/>
  </w:style>
  <w:style w:type="character" w:customStyle="1" w:styleId="citation-887">
    <w:name w:val="citation-887"/>
    <w:basedOn w:val="a0"/>
    <w:rsid w:val="00166CAA"/>
  </w:style>
  <w:style w:type="character" w:customStyle="1" w:styleId="citation-886">
    <w:name w:val="citation-886"/>
    <w:basedOn w:val="a0"/>
    <w:rsid w:val="00166CAA"/>
  </w:style>
  <w:style w:type="character" w:customStyle="1" w:styleId="citation-885">
    <w:name w:val="citation-885"/>
    <w:basedOn w:val="a0"/>
    <w:rsid w:val="00166CAA"/>
  </w:style>
  <w:style w:type="character" w:customStyle="1" w:styleId="citation-884">
    <w:name w:val="citation-884"/>
    <w:basedOn w:val="a0"/>
    <w:rsid w:val="00166CAA"/>
  </w:style>
  <w:style w:type="character" w:customStyle="1" w:styleId="citation-883">
    <w:name w:val="citation-883"/>
    <w:basedOn w:val="a0"/>
    <w:rsid w:val="00166CAA"/>
  </w:style>
  <w:style w:type="character" w:customStyle="1" w:styleId="citation-882">
    <w:name w:val="citation-882"/>
    <w:basedOn w:val="a0"/>
    <w:rsid w:val="00166CAA"/>
  </w:style>
  <w:style w:type="character" w:customStyle="1" w:styleId="citation-881">
    <w:name w:val="citation-881"/>
    <w:basedOn w:val="a0"/>
    <w:rsid w:val="00166CAA"/>
  </w:style>
  <w:style w:type="character" w:customStyle="1" w:styleId="citation-880">
    <w:name w:val="citation-880"/>
    <w:basedOn w:val="a0"/>
    <w:rsid w:val="00166CAA"/>
  </w:style>
  <w:style w:type="character" w:customStyle="1" w:styleId="citation-945">
    <w:name w:val="citation-945"/>
    <w:basedOn w:val="a0"/>
    <w:rsid w:val="00166CAA"/>
  </w:style>
  <w:style w:type="character" w:customStyle="1" w:styleId="citation-944">
    <w:name w:val="citation-944"/>
    <w:basedOn w:val="a0"/>
    <w:rsid w:val="00166CAA"/>
  </w:style>
  <w:style w:type="character" w:customStyle="1" w:styleId="citation-943">
    <w:name w:val="citation-943"/>
    <w:basedOn w:val="a0"/>
    <w:rsid w:val="00166CAA"/>
  </w:style>
  <w:style w:type="character" w:customStyle="1" w:styleId="citation-942">
    <w:name w:val="citation-942"/>
    <w:basedOn w:val="a0"/>
    <w:rsid w:val="00166CAA"/>
  </w:style>
  <w:style w:type="character" w:customStyle="1" w:styleId="citation-941">
    <w:name w:val="citation-941"/>
    <w:basedOn w:val="a0"/>
    <w:rsid w:val="00166CAA"/>
  </w:style>
  <w:style w:type="character" w:customStyle="1" w:styleId="citation-940">
    <w:name w:val="citation-940"/>
    <w:basedOn w:val="a0"/>
    <w:rsid w:val="00166CAA"/>
  </w:style>
  <w:style w:type="character" w:customStyle="1" w:styleId="citation-939">
    <w:name w:val="citation-939"/>
    <w:basedOn w:val="a0"/>
    <w:rsid w:val="00166CAA"/>
  </w:style>
  <w:style w:type="character" w:customStyle="1" w:styleId="citation-938">
    <w:name w:val="citation-938"/>
    <w:basedOn w:val="a0"/>
    <w:rsid w:val="00166CAA"/>
  </w:style>
  <w:style w:type="character" w:customStyle="1" w:styleId="citation-937">
    <w:name w:val="citation-937"/>
    <w:basedOn w:val="a0"/>
    <w:rsid w:val="00166CAA"/>
  </w:style>
  <w:style w:type="character" w:customStyle="1" w:styleId="citation-936">
    <w:name w:val="citation-936"/>
    <w:basedOn w:val="a0"/>
    <w:rsid w:val="00166CAA"/>
  </w:style>
  <w:style w:type="character" w:customStyle="1" w:styleId="citation-935">
    <w:name w:val="citation-935"/>
    <w:basedOn w:val="a0"/>
    <w:rsid w:val="00166CAA"/>
  </w:style>
  <w:style w:type="paragraph" w:styleId="a3">
    <w:name w:val="header"/>
    <w:basedOn w:val="a"/>
    <w:link w:val="a4"/>
    <w:uiPriority w:val="99"/>
    <w:unhideWhenUsed/>
    <w:rsid w:val="00F85900"/>
    <w:pPr>
      <w:tabs>
        <w:tab w:val="center" w:pos="4153"/>
        <w:tab w:val="right" w:pos="8306"/>
      </w:tabs>
      <w:spacing w:after="0" w:line="240" w:lineRule="auto"/>
    </w:pPr>
  </w:style>
  <w:style w:type="character" w:customStyle="1" w:styleId="a4">
    <w:name w:val="頁首 字元"/>
    <w:basedOn w:val="a0"/>
    <w:link w:val="a3"/>
    <w:uiPriority w:val="99"/>
    <w:rsid w:val="00F85900"/>
  </w:style>
  <w:style w:type="paragraph" w:styleId="a5">
    <w:name w:val="footer"/>
    <w:basedOn w:val="a"/>
    <w:link w:val="a6"/>
    <w:uiPriority w:val="99"/>
    <w:unhideWhenUsed/>
    <w:rsid w:val="00F85900"/>
    <w:pPr>
      <w:tabs>
        <w:tab w:val="center" w:pos="4153"/>
        <w:tab w:val="right" w:pos="8306"/>
      </w:tabs>
      <w:spacing w:after="0" w:line="240" w:lineRule="auto"/>
    </w:pPr>
  </w:style>
  <w:style w:type="character" w:customStyle="1" w:styleId="a6">
    <w:name w:val="頁尾 字元"/>
    <w:basedOn w:val="a0"/>
    <w:link w:val="a5"/>
    <w:uiPriority w:val="99"/>
    <w:rsid w:val="00F85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21314">
      <w:bodyDiv w:val="1"/>
      <w:marLeft w:val="0"/>
      <w:marRight w:val="0"/>
      <w:marTop w:val="0"/>
      <w:marBottom w:val="0"/>
      <w:divBdr>
        <w:top w:val="none" w:sz="0" w:space="0" w:color="auto"/>
        <w:left w:val="none" w:sz="0" w:space="0" w:color="auto"/>
        <w:bottom w:val="none" w:sz="0" w:space="0" w:color="auto"/>
        <w:right w:val="none" w:sz="0" w:space="0" w:color="auto"/>
      </w:divBdr>
    </w:div>
    <w:div w:id="512114763">
      <w:bodyDiv w:val="1"/>
      <w:marLeft w:val="0"/>
      <w:marRight w:val="0"/>
      <w:marTop w:val="0"/>
      <w:marBottom w:val="0"/>
      <w:divBdr>
        <w:top w:val="none" w:sz="0" w:space="0" w:color="auto"/>
        <w:left w:val="none" w:sz="0" w:space="0" w:color="auto"/>
        <w:bottom w:val="none" w:sz="0" w:space="0" w:color="auto"/>
        <w:right w:val="none" w:sz="0" w:space="0" w:color="auto"/>
      </w:divBdr>
    </w:div>
    <w:div w:id="930818358">
      <w:bodyDiv w:val="1"/>
      <w:marLeft w:val="0"/>
      <w:marRight w:val="0"/>
      <w:marTop w:val="0"/>
      <w:marBottom w:val="0"/>
      <w:divBdr>
        <w:top w:val="none" w:sz="0" w:space="0" w:color="auto"/>
        <w:left w:val="none" w:sz="0" w:space="0" w:color="auto"/>
        <w:bottom w:val="none" w:sz="0" w:space="0" w:color="auto"/>
        <w:right w:val="none" w:sz="0" w:space="0" w:color="auto"/>
      </w:divBdr>
    </w:div>
    <w:div w:id="1009795645">
      <w:bodyDiv w:val="1"/>
      <w:marLeft w:val="0"/>
      <w:marRight w:val="0"/>
      <w:marTop w:val="0"/>
      <w:marBottom w:val="0"/>
      <w:divBdr>
        <w:top w:val="none" w:sz="0" w:space="0" w:color="auto"/>
        <w:left w:val="none" w:sz="0" w:space="0" w:color="auto"/>
        <w:bottom w:val="none" w:sz="0" w:space="0" w:color="auto"/>
        <w:right w:val="none" w:sz="0" w:space="0" w:color="auto"/>
      </w:divBdr>
    </w:div>
    <w:div w:id="1188720413">
      <w:bodyDiv w:val="1"/>
      <w:marLeft w:val="0"/>
      <w:marRight w:val="0"/>
      <w:marTop w:val="0"/>
      <w:marBottom w:val="0"/>
      <w:divBdr>
        <w:top w:val="none" w:sz="0" w:space="0" w:color="auto"/>
        <w:left w:val="none" w:sz="0" w:space="0" w:color="auto"/>
        <w:bottom w:val="none" w:sz="0" w:space="0" w:color="auto"/>
        <w:right w:val="none" w:sz="0" w:space="0" w:color="auto"/>
      </w:divBdr>
    </w:div>
    <w:div w:id="179636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3</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Foo</dc:creator>
  <cp:keywords/>
  <dc:description/>
  <cp:lastModifiedBy>Samuel Foo</cp:lastModifiedBy>
  <cp:revision>6</cp:revision>
  <dcterms:created xsi:type="dcterms:W3CDTF">2026-03-22T14:27:00Z</dcterms:created>
  <dcterms:modified xsi:type="dcterms:W3CDTF">2026-03-26T17:04:00Z</dcterms:modified>
</cp:coreProperties>
</file>