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43A6D" w14:textId="77777777" w:rsidR="00191FD2" w:rsidRDefault="00000000" w:rsidP="00521563">
      <w:pPr>
        <w:spacing w:after="100"/>
        <w:ind w:firstLine="720"/>
      </w:pPr>
      <w:r>
        <w:rPr>
          <w:b/>
          <w:color w:val="087F82"/>
          <w:sz w:val="20"/>
        </w:rPr>
        <w:t>HOSPITAL RIP</w:t>
      </w:r>
    </w:p>
    <w:p w14:paraId="71A26E8A" w14:textId="77777777" w:rsidR="00191FD2" w:rsidRDefault="00000000">
      <w:pPr>
        <w:pStyle w:val="Ttulo"/>
        <w:spacing w:after="140"/>
      </w:pPr>
      <w:r>
        <w:t>Actualización de diseño versión 1 2</w:t>
      </w:r>
    </w:p>
    <w:p w14:paraId="7F77A994" w14:textId="77777777" w:rsidR="00191FD2" w:rsidRDefault="00000000">
      <w:pPr>
        <w:spacing w:after="320"/>
      </w:pPr>
      <w:r>
        <w:t>Esta versión actualiza la apariencia de Hospital RIP con una interfaz más moderna y clínica. Conserva las pantallas, permisos y flujos existentes, y mejora la claridad visual para planificar y autorizar guardias.</w:t>
      </w:r>
    </w:p>
    <w:p w14:paraId="2CB17FF0" w14:textId="77777777" w:rsidR="00191FD2" w:rsidRDefault="00000000">
      <w:pPr>
        <w:pStyle w:val="Ttulo1"/>
      </w:pPr>
      <w:r>
        <w:t>Resumen de cambios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73"/>
        <w:gridCol w:w="7087"/>
      </w:tblGrid>
      <w:tr w:rsidR="00191FD2" w14:paraId="5B6DB0D5" w14:textId="77777777">
        <w:trPr>
          <w:jc w:val="center"/>
        </w:trPr>
        <w:tc>
          <w:tcPr>
            <w:tcW w:w="4873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073C5A"/>
            <w:vAlign w:val="center"/>
          </w:tcPr>
          <w:p w14:paraId="3085E6B1" w14:textId="77777777" w:rsidR="00191FD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Área</w:t>
            </w:r>
          </w:p>
        </w:tc>
        <w:tc>
          <w:tcPr>
            <w:tcW w:w="4873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073C5A"/>
            <w:vAlign w:val="center"/>
          </w:tcPr>
          <w:p w14:paraId="1BEFD93D" w14:textId="77777777" w:rsidR="00191FD2" w:rsidRDefault="00000000">
            <w:pPr>
              <w:spacing w:after="0"/>
            </w:pPr>
            <w:r>
              <w:rPr>
                <w:b/>
                <w:color w:val="FFFFFF"/>
                <w:sz w:val="20"/>
              </w:rPr>
              <w:t>Actualización aplicada</w:t>
            </w:r>
          </w:p>
        </w:tc>
      </w:tr>
      <w:tr w:rsidR="00191FD2" w14:paraId="753B7E23" w14:textId="77777777">
        <w:trPr>
          <w:jc w:val="center"/>
        </w:trPr>
        <w:tc>
          <w:tcPr>
            <w:tcW w:w="2381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3F8FA"/>
            <w:vAlign w:val="center"/>
          </w:tcPr>
          <w:p w14:paraId="1A25B3A6" w14:textId="77777777" w:rsidR="00191FD2" w:rsidRDefault="00000000">
            <w:pPr>
              <w:spacing w:after="0"/>
            </w:pPr>
            <w:r>
              <w:rPr>
                <w:b/>
                <w:color w:val="07535A"/>
                <w:sz w:val="20"/>
              </w:rPr>
              <w:t>Identidad visual</w:t>
            </w:r>
          </w:p>
        </w:tc>
        <w:tc>
          <w:tcPr>
            <w:tcW w:w="7087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3F8FA"/>
            <w:vAlign w:val="center"/>
          </w:tcPr>
          <w:p w14:paraId="336999BC" w14:textId="77777777" w:rsidR="00191FD2" w:rsidRDefault="00000000">
            <w:pPr>
              <w:spacing w:after="0"/>
            </w:pPr>
            <w:r>
              <w:rPr>
                <w:color w:val="12324A"/>
                <w:sz w:val="20"/>
              </w:rPr>
              <w:t>Nueva paleta azul petróleo y verde clínico, con acentos suaves para estados, acciones y métricas.</w:t>
            </w:r>
          </w:p>
        </w:tc>
      </w:tr>
      <w:tr w:rsidR="00191FD2" w14:paraId="37093CAF" w14:textId="77777777">
        <w:trPr>
          <w:jc w:val="center"/>
        </w:trPr>
        <w:tc>
          <w:tcPr>
            <w:tcW w:w="2381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FFFFF"/>
            <w:vAlign w:val="center"/>
          </w:tcPr>
          <w:p w14:paraId="0662F171" w14:textId="77777777" w:rsidR="00191FD2" w:rsidRDefault="00000000">
            <w:pPr>
              <w:spacing w:after="0"/>
            </w:pPr>
            <w:r>
              <w:rPr>
                <w:b/>
                <w:color w:val="07535A"/>
                <w:sz w:val="20"/>
              </w:rPr>
              <w:t>Inicio de sesión</w:t>
            </w:r>
          </w:p>
        </w:tc>
        <w:tc>
          <w:tcPr>
            <w:tcW w:w="7087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FFFFF"/>
            <w:vAlign w:val="center"/>
          </w:tcPr>
          <w:p w14:paraId="1CD51EBF" w14:textId="77777777" w:rsidR="00191FD2" w:rsidRDefault="00000000">
            <w:pPr>
              <w:spacing w:after="0"/>
            </w:pPr>
            <w:r>
              <w:rPr>
                <w:color w:val="12324A"/>
                <w:sz w:val="20"/>
              </w:rPr>
              <w:t>Composición más limpia, tarjeta de acceso elevada, mejor contraste y fondo clínico con formas sutiles.</w:t>
            </w:r>
          </w:p>
        </w:tc>
      </w:tr>
      <w:tr w:rsidR="00191FD2" w14:paraId="0022FA43" w14:textId="77777777">
        <w:trPr>
          <w:jc w:val="center"/>
        </w:trPr>
        <w:tc>
          <w:tcPr>
            <w:tcW w:w="2381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3F8FA"/>
            <w:vAlign w:val="center"/>
          </w:tcPr>
          <w:p w14:paraId="7869E15C" w14:textId="77777777" w:rsidR="00191FD2" w:rsidRDefault="00000000">
            <w:pPr>
              <w:spacing w:after="0"/>
            </w:pPr>
            <w:r>
              <w:rPr>
                <w:b/>
                <w:color w:val="07535A"/>
                <w:sz w:val="20"/>
              </w:rPr>
              <w:t>Navegación</w:t>
            </w:r>
          </w:p>
        </w:tc>
        <w:tc>
          <w:tcPr>
            <w:tcW w:w="7087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3F8FA"/>
            <w:vAlign w:val="center"/>
          </w:tcPr>
          <w:p w14:paraId="10F773D2" w14:textId="77777777" w:rsidR="00191FD2" w:rsidRDefault="00000000">
            <w:pPr>
              <w:spacing w:after="0"/>
            </w:pPr>
            <w:r>
              <w:rPr>
                <w:color w:val="12324A"/>
                <w:sz w:val="20"/>
              </w:rPr>
              <w:t>Barra lateral con degradado sanitario, selección de sección más visible y jerarquía reforzada.</w:t>
            </w:r>
          </w:p>
        </w:tc>
      </w:tr>
      <w:tr w:rsidR="00191FD2" w14:paraId="35E07C18" w14:textId="77777777">
        <w:trPr>
          <w:jc w:val="center"/>
        </w:trPr>
        <w:tc>
          <w:tcPr>
            <w:tcW w:w="2381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FFFFF"/>
            <w:vAlign w:val="center"/>
          </w:tcPr>
          <w:p w14:paraId="58E78DF1" w14:textId="77777777" w:rsidR="00191FD2" w:rsidRDefault="00000000">
            <w:pPr>
              <w:spacing w:after="0"/>
            </w:pPr>
            <w:r>
              <w:rPr>
                <w:b/>
                <w:color w:val="07535A"/>
                <w:sz w:val="20"/>
              </w:rPr>
              <w:t>Paneles y datos</w:t>
            </w:r>
          </w:p>
        </w:tc>
        <w:tc>
          <w:tcPr>
            <w:tcW w:w="7087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FFFFF"/>
            <w:vAlign w:val="center"/>
          </w:tcPr>
          <w:p w14:paraId="463D39D5" w14:textId="77777777" w:rsidR="00191FD2" w:rsidRDefault="00000000">
            <w:pPr>
              <w:spacing w:after="0"/>
            </w:pPr>
            <w:r>
              <w:rPr>
                <w:color w:val="12324A"/>
                <w:sz w:val="20"/>
              </w:rPr>
              <w:t>Tarjetas, tablas, etiquetas y formularios con esquinas más suaves, sombras ligeras y campos de enfoque claros.</w:t>
            </w:r>
          </w:p>
        </w:tc>
      </w:tr>
      <w:tr w:rsidR="00191FD2" w14:paraId="71A733C3" w14:textId="77777777">
        <w:trPr>
          <w:jc w:val="center"/>
        </w:trPr>
        <w:tc>
          <w:tcPr>
            <w:tcW w:w="2381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3F8FA"/>
            <w:vAlign w:val="center"/>
          </w:tcPr>
          <w:p w14:paraId="000564C9" w14:textId="77777777" w:rsidR="00191FD2" w:rsidRDefault="00000000">
            <w:pPr>
              <w:spacing w:after="0"/>
            </w:pPr>
            <w:r>
              <w:rPr>
                <w:b/>
                <w:color w:val="07535A"/>
                <w:sz w:val="20"/>
              </w:rPr>
              <w:t>Accesibilidad</w:t>
            </w:r>
          </w:p>
        </w:tc>
        <w:tc>
          <w:tcPr>
            <w:tcW w:w="7087" w:type="dxa"/>
            <w:tcBorders>
              <w:top w:val="single" w:sz="6" w:space="0" w:color="D9E5E9"/>
              <w:left w:val="single" w:sz="6" w:space="0" w:color="D9E5E9"/>
              <w:bottom w:val="single" w:sz="6" w:space="0" w:color="D9E5E9"/>
              <w:right w:val="single" w:sz="6" w:space="0" w:color="D9E5E9"/>
            </w:tcBorders>
            <w:shd w:val="clear" w:color="auto" w:fill="F3F8FA"/>
            <w:vAlign w:val="center"/>
          </w:tcPr>
          <w:p w14:paraId="69F8321B" w14:textId="77777777" w:rsidR="00191FD2" w:rsidRDefault="00000000">
            <w:pPr>
              <w:spacing w:after="0"/>
            </w:pPr>
            <w:r>
              <w:rPr>
                <w:color w:val="12324A"/>
                <w:sz w:val="20"/>
              </w:rPr>
              <w:t>Indicadores de foco color turquesa, contraste reforzado y conservación de modo oscuro y diseño móvil.</w:t>
            </w:r>
          </w:p>
        </w:tc>
      </w:tr>
    </w:tbl>
    <w:p w14:paraId="3679B481" w14:textId="77777777" w:rsidR="00191FD2" w:rsidRDefault="00191FD2"/>
    <w:p w14:paraId="760E8BA8" w14:textId="77777777" w:rsidR="00191FD2" w:rsidRDefault="00000000">
      <w:pPr>
        <w:pStyle w:val="Ttulo1"/>
      </w:pPr>
      <w:r>
        <w:t>Alcance y verificación</w:t>
      </w:r>
    </w:p>
    <w:p w14:paraId="2710A139" w14:textId="77777777" w:rsidR="00191FD2" w:rsidRDefault="00000000">
      <w:r>
        <w:t>El cambio se limita a los recursos visuales de la interfaz web: tokens de color, hoja de estilos, icono de marca y color del navegador. No modifica datos, reglas de negocio, API, permisos ni credenciales.</w:t>
      </w:r>
    </w:p>
    <w:p w14:paraId="4405BE7B" w14:textId="77777777" w:rsidR="00191FD2" w:rsidRDefault="00000000">
      <w:r>
        <w:t>Se ejecutaron las pruebas unitarias del proyecto. Las cuatro pruebas finalizaron correctamente: fechas y horarios, cruces de guardias, contraseñas y permisos por rol.</w:t>
      </w:r>
    </w:p>
    <w:p w14:paraId="2B69460F" w14:textId="77777777" w:rsidR="00191FD2" w:rsidRDefault="00000000">
      <w:pPr>
        <w:pStyle w:val="Ttulo1"/>
      </w:pPr>
      <w:r>
        <w:t>Archivos actualizados</w:t>
      </w:r>
    </w:p>
    <w:p w14:paraId="00B16AF8" w14:textId="77777777" w:rsidR="00191FD2" w:rsidRDefault="00000000">
      <w:pPr>
        <w:ind w:left="312"/>
      </w:pPr>
      <w:r>
        <w:rPr>
          <w:color w:val="085C69"/>
        </w:rPr>
        <w:t>•  web/tokens.css</w:t>
      </w:r>
    </w:p>
    <w:p w14:paraId="31616471" w14:textId="77777777" w:rsidR="00191FD2" w:rsidRDefault="00000000">
      <w:pPr>
        <w:ind w:left="312"/>
      </w:pPr>
      <w:r>
        <w:rPr>
          <w:color w:val="085C69"/>
        </w:rPr>
        <w:t>•  web/styles.css</w:t>
      </w:r>
    </w:p>
    <w:p w14:paraId="00570D4F" w14:textId="77777777" w:rsidR="00191FD2" w:rsidRDefault="00000000">
      <w:pPr>
        <w:ind w:left="312"/>
      </w:pPr>
      <w:r>
        <w:rPr>
          <w:color w:val="085C69"/>
        </w:rPr>
        <w:t>•  web/mark.svg</w:t>
      </w:r>
    </w:p>
    <w:p w14:paraId="26A64EE7" w14:textId="77777777" w:rsidR="00191FD2" w:rsidRDefault="00000000">
      <w:pPr>
        <w:ind w:left="312"/>
      </w:pPr>
      <w:r>
        <w:rPr>
          <w:color w:val="085C69"/>
        </w:rPr>
        <w:t>•  web/index.html</w:t>
      </w:r>
    </w:p>
    <w:sectPr w:rsidR="00191FD2" w:rsidSect="00034616">
      <w:footerReference w:type="default" r:id="rId8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1B1AEB" w14:textId="77777777" w:rsidR="00AF7A73" w:rsidRDefault="00AF7A73">
      <w:pPr>
        <w:spacing w:after="0" w:line="240" w:lineRule="auto"/>
      </w:pPr>
      <w:r>
        <w:separator/>
      </w:r>
    </w:p>
  </w:endnote>
  <w:endnote w:type="continuationSeparator" w:id="0">
    <w:p w14:paraId="6C78EA0B" w14:textId="77777777" w:rsidR="00AF7A73" w:rsidRDefault="00AF7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84F34" w14:textId="77777777" w:rsidR="00191FD2" w:rsidRDefault="00000000">
    <w:pPr>
      <w:pStyle w:val="Piedepgina"/>
      <w:jc w:val="center"/>
    </w:pPr>
    <w:r>
      <w:rPr>
        <w:color w:val="668096"/>
        <w:sz w:val="17"/>
      </w:rPr>
      <w:t xml:space="preserve">Hospital </w:t>
    </w:r>
    <w:proofErr w:type="gramStart"/>
    <w:r>
      <w:rPr>
        <w:color w:val="668096"/>
        <w:sz w:val="17"/>
      </w:rPr>
      <w:t>RIP  |</w:t>
    </w:r>
    <w:proofErr w:type="gramEnd"/>
    <w:r>
      <w:rPr>
        <w:color w:val="668096"/>
        <w:sz w:val="17"/>
      </w:rPr>
      <w:t xml:space="preserve">  </w:t>
    </w:r>
    <w:proofErr w:type="spellStart"/>
    <w:r>
      <w:rPr>
        <w:color w:val="668096"/>
        <w:sz w:val="17"/>
      </w:rPr>
      <w:t>Actualización</w:t>
    </w:r>
    <w:proofErr w:type="spellEnd"/>
    <w:r>
      <w:rPr>
        <w:color w:val="668096"/>
        <w:sz w:val="17"/>
      </w:rPr>
      <w:t xml:space="preserve"> </w:t>
    </w:r>
    <w:proofErr w:type="gramStart"/>
    <w:r>
      <w:rPr>
        <w:color w:val="668096"/>
        <w:sz w:val="17"/>
      </w:rPr>
      <w:t>visual  |</w:t>
    </w:r>
    <w:proofErr w:type="gramEnd"/>
    <w:r>
      <w:rPr>
        <w:color w:val="668096"/>
        <w:sz w:val="17"/>
      </w:rPr>
      <w:t xml:space="preserve">  </w:t>
    </w:r>
    <w:proofErr w:type="spellStart"/>
    <w:r>
      <w:rPr>
        <w:color w:val="668096"/>
        <w:sz w:val="17"/>
      </w:rPr>
      <w:t>Versión</w:t>
    </w:r>
    <w:proofErr w:type="spellEnd"/>
    <w:r>
      <w:rPr>
        <w:color w:val="668096"/>
        <w:sz w:val="17"/>
      </w:rPr>
      <w:t xml:space="preserve"> 1.2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79ED4" w14:textId="77777777" w:rsidR="00AF7A73" w:rsidRDefault="00AF7A73">
      <w:pPr>
        <w:spacing w:after="0" w:line="240" w:lineRule="auto"/>
      </w:pPr>
      <w:r>
        <w:separator/>
      </w:r>
    </w:p>
  </w:footnote>
  <w:footnote w:type="continuationSeparator" w:id="0">
    <w:p w14:paraId="4692F93A" w14:textId="77777777" w:rsidR="00AF7A73" w:rsidRDefault="00AF7A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552369">
    <w:abstractNumId w:val="8"/>
  </w:num>
  <w:num w:numId="2" w16cid:durableId="314531776">
    <w:abstractNumId w:val="6"/>
  </w:num>
  <w:num w:numId="3" w16cid:durableId="463238176">
    <w:abstractNumId w:val="5"/>
  </w:num>
  <w:num w:numId="4" w16cid:durableId="2085829836">
    <w:abstractNumId w:val="4"/>
  </w:num>
  <w:num w:numId="5" w16cid:durableId="1363940424">
    <w:abstractNumId w:val="7"/>
  </w:num>
  <w:num w:numId="6" w16cid:durableId="189346691">
    <w:abstractNumId w:val="3"/>
  </w:num>
  <w:num w:numId="7" w16cid:durableId="2105415233">
    <w:abstractNumId w:val="2"/>
  </w:num>
  <w:num w:numId="8" w16cid:durableId="1940604311">
    <w:abstractNumId w:val="1"/>
  </w:num>
  <w:num w:numId="9" w16cid:durableId="985551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FD2"/>
    <w:rsid w:val="0029639D"/>
    <w:rsid w:val="00326F90"/>
    <w:rsid w:val="003540C7"/>
    <w:rsid w:val="00521563"/>
    <w:rsid w:val="00AA1D8D"/>
    <w:rsid w:val="00AF7A73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01AA2C6-49B8-4161-BB52-474021929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234254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213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Actualización de diseño versión 1 2</dc:title>
  <dc:subject>Registro de actualización de diseño de Hospital RIP</dc:subject>
  <dc:creator>Hospital RIP</dc:creator>
  <cp:keywords/>
  <dc:description>generated by python-docx</dc:description>
  <cp:lastModifiedBy>Samuel Florez</cp:lastModifiedBy>
  <cp:revision>2</cp:revision>
  <dcterms:created xsi:type="dcterms:W3CDTF">2013-12-23T23:15:00Z</dcterms:created>
  <dcterms:modified xsi:type="dcterms:W3CDTF">2026-09-18T14:09:00Z</dcterms:modified>
  <cp:category/>
</cp:coreProperties>
</file>