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commentRangeStart w:id="0"/>
      <w:r>
        <w:rPr/>
        <w:t>Non-crop features influence the abundance and timing of beneficial arthropod abundance</w:t>
      </w:r>
      <w:commentRangeEnd w:id="0"/>
      <w:r>
        <w:commentReference w:id="0"/>
      </w:r>
      <w:r>
        <w:rPr/>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w:t>
      </w:r>
      <w:del w:id="0" w:author="Paul Galpern" w:date="2020-09-18T11:52:00Z">
        <w:r>
          <w:rPr/>
          <w:delText xml:space="preserve">prairie </w:delText>
        </w:r>
      </w:del>
      <w:r>
        <w:rPr/>
        <w:t xml:space="preserve">agro-ecosystems, and can use non-crop features as overwintering habitats. However, it is unclear which types of landscape features constitute useful non-crop habitat, and what </w:t>
      </w:r>
      <w:commentRangeStart w:id="1"/>
      <w:r>
        <w:rPr/>
        <w:t xml:space="preserve">spatial scale of habitat </w:t>
      </w:r>
      <w:r>
        <w:rPr/>
      </w:r>
      <w:commentRangeEnd w:id="1"/>
      <w:r>
        <w:commentReference w:id="1"/>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2"/>
      <w:r>
        <w:rPr/>
        <w:t>Farmers</w:t>
      </w:r>
      <w:r>
        <w:rPr/>
      </w:r>
      <w:commentRangeEnd w:id="2"/>
      <w:r>
        <w:commentReference w:id="2"/>
      </w:r>
      <w:r>
        <w:rPr/>
        <w:t xml:space="preserve"> should consider </w:t>
      </w:r>
      <w:ins w:id="1" w:author="Paul Galpern" w:date="2020-09-18T12:13:00Z">
        <w:r>
          <w:rPr/>
          <w:t xml:space="preserve">the temporal dimension </w:t>
        </w:r>
      </w:ins>
      <w:ins w:id="2" w:author="Paul Galpern" w:date="2020-09-18T12:14:00Z">
        <w:r>
          <w:rPr/>
          <w:t xml:space="preserve">of non-crop habitats, in order to </w:t>
        </w:r>
      </w:ins>
      <w:r>
        <w:rPr/>
        <w:t>preser</w:t>
      </w:r>
      <w:ins w:id="3" w:author="Paul Galpern" w:date="2020-09-18T12:14:00Z">
        <w:r>
          <w:rPr/>
          <w:t>ve</w:t>
        </w:r>
      </w:ins>
      <w:del w:id="4" w:author="Paul Galpern" w:date="2020-09-18T12:14:00Z">
        <w:r>
          <w:rPr/>
          <w:delText xml:space="preserve">ving </w:delText>
        </w:r>
      </w:del>
      <w:ins w:id="5" w:author="Paul Galpern" w:date="2020-09-18T12:12:00Z">
        <w:r>
          <w:rPr/>
          <w:t xml:space="preserve">a </w:t>
        </w:r>
      </w:ins>
      <w:ins w:id="6" w:author="Paul Galpern" w:date="2020-09-18T12:13:00Z">
        <w:r>
          <w:rPr/>
          <w:t xml:space="preserve">mosaic of grasslands, wetlands and other non-crop </w:t>
        </w:r>
      </w:ins>
      <w:ins w:id="7" w:author="Paul Galpern" w:date="2020-09-18T12:14:00Z">
        <w:r>
          <w:rPr/>
          <w:t>features</w:t>
        </w:r>
      </w:ins>
      <w:ins w:id="8" w:author="Paul Galpern" w:date="2020-09-18T12:13:00Z">
        <w:r>
          <w:rPr/>
          <w:t xml:space="preserve"> capable of providing reservoirs habitats</w:t>
        </w:r>
      </w:ins>
      <w:ins w:id="9" w:author="Paul Galpern" w:date="2020-09-18T12:16:00Z">
        <w:r>
          <w:rPr/>
          <w:t xml:space="preserve"> for beneficial arthropods</w:t>
        </w:r>
      </w:ins>
      <w:ins w:id="10" w:author="Paul Galpern" w:date="2020-09-18T12:13:00Z">
        <w:r>
          <w:rPr/>
          <w:t xml:space="preserve"> at different</w:t>
        </w:r>
      </w:ins>
      <w:ins w:id="11" w:author="Paul Galpern" w:date="2020-09-18T12:14:00Z">
        <w:r>
          <w:rPr/>
          <w:t xml:space="preserve"> times of the</w:t>
        </w:r>
      </w:ins>
      <w:ins w:id="12" w:author="Paul Galpern" w:date="2020-09-18T12:15:00Z">
        <w:r>
          <w:rPr/>
          <w:t xml:space="preserve"> season.</w:t>
        </w:r>
      </w:ins>
      <w:del w:id="13" w:author="SR" w:date="2020-09-21T12:52:00Z">
        <w:r>
          <w:rPr/>
          <w:delText>existing grasslands and wetlands to act as reservoir habitats for the surrounding cropland.</w:delText>
        </w:r>
      </w:del>
    </w:p>
    <w:p>
      <w:pPr>
        <w:pStyle w:val="FirstParagraph"/>
        <w:rPr/>
      </w:pPr>
      <w:r>
        <w:rPr/>
        <w:t>Arthropods are one of the most influential groups of animals in agricultural systems. Pest arthropods can cause large reductions in crop yield (Oerke 2005), which can result in downstream economic effects, food insecurity</w:t>
      </w:r>
      <w:commentRangeStart w:id="3"/>
      <w:r>
        <w:rPr/>
        <w:t>, and malnutrition</w:t>
      </w:r>
      <w:r>
        <w:rPr/>
      </w:r>
      <w:commentRangeEnd w:id="3"/>
      <w:r>
        <w:commentReference w:id="3"/>
      </w:r>
      <w:r>
        <w:rPr/>
        <w:commentReference w:id="4"/>
      </w:r>
      <w:r>
        <w:rPr/>
        <w:t xml:space="preserve">.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w:t>
      </w:r>
      <w:del w:id="14" w:author="Paul Galpern" w:date="2020-09-18T12:06:00Z">
        <w:r>
          <w:rPr/>
          <w:delText xml:space="preserve">achieving similar </w:delText>
        </w:r>
      </w:del>
      <w:ins w:id="15" w:author="Paul Galpern" w:date="2020-09-18T12:06:00Z">
        <w:r>
          <w:rPr/>
          <w:t xml:space="preserve">maintaining or improving </w:t>
        </w:r>
      </w:ins>
      <w:r>
        <w:rPr/>
        <w:t>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w:t>
      </w:r>
      <w:ins w:id="16" w:author="Paul Galpern" w:date="2020-09-18T12:07:00Z">
        <w:r>
          <w:rPr/>
          <w:t xml:space="preserve">suggesting that there remains great potential to achieve conservation outcomes by adjusting agricultural practices. </w:t>
        </w:r>
      </w:ins>
      <w:del w:id="17" w:author="Paul Galpern" w:date="2020-09-18T12:07:00Z">
        <w:r>
          <w:rPr/>
          <w:delText>meaning that conservation efforts should pay particular attention to agricultural practices.</w:delText>
        </w:r>
      </w:del>
    </w:p>
    <w:p>
      <w:pPr>
        <w:pStyle w:val="TextBody"/>
        <w:rPr/>
      </w:pPr>
      <w:r>
        <w:rPr/>
        <w:t xml:space="preserve">Uncultivated semi-natural land (SNL) can act as important habitat for beneficial arthropods (Duelli &amp; Obrist 2003), which may spill over into adjacent crops.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dispersers(Öberg </w:t>
      </w:r>
      <w:r>
        <w:rPr>
          <w:i/>
        </w:rPr>
        <w:t>et al.</w:t>
      </w:r>
      <w:r>
        <w:rPr/>
        <w:t xml:space="preserve"> 2008). In this way, the spillover of beneficial arthropods into crops depends not only on the amount of adjacent SNL, but the specific habitat type, the time of the year, and the </w:t>
      </w:r>
      <w:commentRangeStart w:id="5"/>
      <w:r>
        <w:rPr/>
        <w:t xml:space="preserve">spatial scale of landscape </w:t>
      </w:r>
      <w:r>
        <w:rPr/>
      </w:r>
      <w:commentRangeEnd w:id="5"/>
      <w:r>
        <w:commentReference w:id="5"/>
      </w:r>
      <w:r>
        <w:rPr/>
        <w:t>that is relevant to the organism.</w:t>
      </w:r>
    </w:p>
    <w:p>
      <w:pPr>
        <w:pStyle w:val="TextBody"/>
        <w:rPr/>
      </w:pPr>
      <w:r>
        <w:rPr/>
        <w:t xml:space="preserve">Despite what is known about the spatial and temporal aspects of beneficial arthropod spillover, these are rarely considered together. </w:t>
      </w:r>
      <w:commentRangeStart w:id="6"/>
      <w:r>
        <w:rPr/>
        <w:t>First, some habitat types may act as sources of arthropods during some times of the year, but as sinks during other times, meaning that the timing of spillover may not align with key periods in crop development</w:t>
      </w:r>
      <w:r>
        <w:rPr/>
      </w:r>
      <w:commentRangeEnd w:id="6"/>
      <w:r>
        <w:commentReference w:id="6"/>
      </w:r>
      <w:r>
        <w:rPr/>
        <w:commentReference w:id="7"/>
      </w:r>
      <w:r>
        <w:rPr/>
        <w:t xml:space="preserve">.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w:t>
      </w:r>
      <w:commentRangeStart w:id="8"/>
      <w:r>
        <w:rPr/>
        <w:t xml:space="preserve">For instance, bumblebee abundance can be </w:t>
      </w:r>
      <w:del w:id="18" w:author="Vickruck, Jessica" w:date="2020-09-29T10:01:00Z">
        <w:r>
          <w:rPr/>
          <w:delText xml:space="preserve">controlled </w:delText>
        </w:r>
      </w:del>
      <w:ins w:id="19" w:author="Vickruck, Jessica" w:date="2020-09-29T10:01:00Z">
        <w:r>
          <w:rPr/>
          <w:t xml:space="preserve">influenced </w:t>
        </w:r>
      </w:ins>
      <w:r>
        <w:rPr/>
        <w:t xml:space="preserve">by both local- and landscape-scale SNL abundance </w:t>
      </w:r>
      <w:r>
        <w:rPr/>
      </w:r>
      <w:commentRangeEnd w:id="8"/>
      <w:r>
        <w:commentReference w:id="8"/>
      </w:r>
      <w:r>
        <w:rPr/>
        <w:commentReference w:id="9"/>
      </w:r>
      <w:r>
        <w:rPr/>
        <w:t xml:space="preserve">(Westphal </w:t>
      </w:r>
      <w:r>
        <w:rPr>
          <w:i/>
        </w:rPr>
        <w:t>et al.</w:t>
      </w:r>
      <w:r>
        <w:rPr/>
        <w:t xml:space="preserve"> 2006), but this is poorly studied for other groups of beneficial organisms (but see Sander </w:t>
      </w:r>
      <w:r>
        <w:rPr>
          <w:i/>
        </w:rPr>
        <w:t>et al.</w:t>
      </w:r>
      <w:r>
        <w:rPr/>
        <w:t xml:space="preserve"> 2006). </w:t>
      </w:r>
      <w:commentRangeStart w:id="10"/>
      <w:r>
        <w:rPr/>
        <w:t>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r>
        <w:rPr/>
      </w:r>
      <w:commentRangeEnd w:id="10"/>
      <w:r>
        <w:commentReference w:id="10"/>
      </w:r>
      <w:r>
        <w:rPr/>
        <w:commentReference w:id="11"/>
      </w:r>
    </w:p>
    <w:p>
      <w:pPr>
        <w:pStyle w:val="TextBody"/>
        <w:rPr/>
      </w:pPr>
      <w:r>
        <w:rPr/>
        <w:t xml:space="preserve">In this study, we used pitfall traps to determine how landscape composition affects the seasonal activity density of arthropods across a </w:t>
      </w:r>
      <w:ins w:id="20" w:author="Paul Galpern" w:date="2020-09-18T12:23:00Z">
        <w:r>
          <w:rPr/>
          <w:t xml:space="preserve">large </w:t>
        </w:r>
      </w:ins>
      <w:r>
        <w:rPr/>
        <w:t xml:space="preserve">Canadian prairie agroecosystem. We considered the following hypotheses: 1. Untilled semi-natural land (SNL) provides egg-laying and feeding areas for predatory arthropods,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w:t>
      </w:r>
      <w:ins w:id="21" w:author="Vickruck, Jessica" w:date="2020-09-29T10:04:00Z">
        <w:r>
          <w:rPr/>
          <w:t xml:space="preserve">(field level?) </w:t>
        </w:r>
      </w:ins>
      <w:r>
        <w:rPr/>
        <w:t xml:space="preserve">for arthropods, but will also be negatively associated at larger (landscape-level) scales. Using a large pitfall trapping dataset, we </w:t>
      </w:r>
      <w:del w:id="22" w:author="Paul Galpern" w:date="2020-09-18T12:36:00Z">
        <w:r>
          <w:rPr/>
          <w:delText xml:space="preserve">were able to </w:delText>
        </w:r>
      </w:del>
      <w:r>
        <w:rPr/>
        <w:t>relate seasonal changes in arthropod abundance to landscape composition at multiple spatial scales</w:t>
      </w:r>
      <w:del w:id="23" w:author="Paul Galpern" w:date="2020-09-18T12:37:00Z">
        <w:r>
          <w:rPr/>
          <w:delText>, and found evidence of SNL acting as late-season sinks in abundance</w:delText>
        </w:r>
      </w:del>
      <w:r>
        <w:rPr/>
        <w:commentReference w:id="12"/>
      </w:r>
      <w:r>
        <w:rPr/>
        <w:t>.</w:t>
      </w:r>
    </w:p>
    <w:p>
      <w:pPr>
        <w:pStyle w:val="TextBody"/>
        <w:rPr/>
      </w:pPr>
      <w:ins w:id="24" w:author="Paul Galpern" w:date="2020-09-18T12:37:00Z">
        <w:commentRangeStart w:id="13"/>
        <w:r>
          <w:rPr/>
          <w:t>Methods</w:t>
        </w:r>
      </w:ins>
      <w:r>
        <w:rPr/>
      </w:r>
      <w:commentRangeEnd w:id="13"/>
      <w:r>
        <w:commentReference w:id="13"/>
      </w:r>
      <w:r>
        <w:rPr/>
        <w:commentReference w:id="14"/>
      </w:r>
    </w:p>
    <w:p>
      <w:pPr>
        <w:pStyle w:val="TextBody"/>
        <w:rPr/>
      </w:pPr>
      <w:r>
        <w:rPr/>
        <w:t>We used a set of 198 pitfall traps installed in road margins (minimum of 5 m away from the road edge, 85 traps) and in-field locations (113) across southern Alberta, Canada in 2017 (</w:t>
      </w:r>
      <w:commentRangeStart w:id="15"/>
      <w:r>
        <w:rPr/>
        <w:t>Figure [fig:siteMap]</w:t>
      </w:r>
      <w:r>
        <w:rPr/>
      </w:r>
      <w:commentRangeEnd w:id="15"/>
      <w:r>
        <w:commentReference w:id="15"/>
      </w:r>
      <w:r>
        <w:rPr/>
        <w:t xml:space="preserve">). Traps were placed starting on May 16, and collections ended on August 28 with collection occurring </w:t>
      </w:r>
      <w:ins w:id="25" w:author="Paul Galpern" w:date="2020-09-18T13:27:00Z">
        <w:r>
          <w:rPr/>
          <w:t xml:space="preserve">continuously and traps emptied </w:t>
        </w:r>
      </w:ins>
      <w:r>
        <w:rPr/>
        <w:t>every 14 days on average (SD: 3)</w:t>
      </w:r>
      <w:ins w:id="26" w:author="Paul Galpern" w:date="2020-09-18T13:27:00Z">
        <w:r>
          <w:rPr/>
          <w:t xml:space="preserve"> to provide “X” unique temporal</w:t>
        </w:r>
      </w:ins>
      <w:ins w:id="27" w:author="Paul Galpern" w:date="2020-09-18T13:28:00Z">
        <w:r>
          <w:rPr/>
          <w:t xml:space="preserve"> estimates per site throughout the season. Traps were deployed</w:t>
        </w:r>
      </w:ins>
      <w:del w:id="28" w:author="Paul Galpern" w:date="2020-09-18T13:28:00Z">
        <w:r>
          <w:rPr/>
          <w:delText>,</w:delText>
        </w:r>
      </w:del>
      <w:r>
        <w:rPr/>
        <w:t xml:space="preserve">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w:t>
      </w:r>
      <w:commentRangeStart w:id="16"/>
      <w:r>
        <w:rPr/>
        <w:t>Specimens were identified to species using appropriate taxonomic literature.</w:t>
      </w:r>
      <w:r>
        <w:rPr/>
      </w:r>
      <w:commentRangeEnd w:id="16"/>
      <w:r>
        <w:commentReference w:id="16"/>
      </w:r>
      <w:r>
        <w:rPr/>
        <w:commentReference w:id="17"/>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commentRangeStart w:id="18"/>
      <w:r>
        <w:rPr/>
        <w:t xml:space="preserve">We used </w:t>
      </w:r>
      <w:r>
        <w:rPr/>
      </w:r>
      <w:commentRangeEnd w:id="18"/>
      <w:r>
        <w:commentReference w:id="18"/>
      </w:r>
      <w:r>
        <w:rPr/>
        <w:commentReference w:id="19"/>
      </w:r>
      <w:r>
        <w:rPr/>
        <w:t xml:space="preserve">four highly-abundant species of predatory arthropods found in the pitfall traps, as common species are often more important for ecosystem service provision than rare species (Winfree </w:t>
      </w:r>
      <w:r>
        <w:rPr>
          <w:i/>
        </w:rPr>
        <w:t>et al.</w:t>
      </w:r>
      <w:r>
        <w:rPr/>
        <w:t xml:space="preserve"> 2015). </w:t>
      </w:r>
      <w:commentRangeStart w:id="20"/>
      <w:commentRangeStart w:id="21"/>
      <w:r>
        <w:rPr>
          <w:i/>
        </w:rPr>
        <w:t>Pterostichus melanarius</w:t>
      </w:r>
      <w:r>
        <w:rPr/>
        <w:t xml:space="preserve"> </w:t>
      </w:r>
      <w:r>
        <w:rPr/>
      </w:r>
      <w:commentRangeEnd w:id="21"/>
      <w:r>
        <w:commentReference w:id="21"/>
      </w:r>
      <w:r>
        <w:rPr/>
        <w:commentReference w:id="22"/>
      </w:r>
      <w:r>
        <w:rPr/>
        <w:t>is a</w:t>
      </w:r>
      <w:ins w:id="29" w:author="Paul Galpern" w:date="2020-09-18T13:11:00Z">
        <w:r>
          <w:rPr/>
          <w:t>n</w:t>
        </w:r>
      </w:ins>
      <w:r>
        <w:rPr/>
        <w:t xml:space="preserve"> introduced predatory ground beetle (Coleoptera: Carabidae) that is a wide-ranging generalist (Cárcamo &amp; Spence 1994; Larsen </w:t>
      </w:r>
      <w:r>
        <w:rPr>
          <w:i/>
        </w:rPr>
        <w:t>et al.</w:t>
      </w:r>
      <w:r>
        <w:rPr/>
        <w:t xml:space="preserve"> 2003; Busch 2016).</w:t>
      </w:r>
      <w:r>
        <w:rPr/>
      </w:r>
      <w:commentRangeEnd w:id="20"/>
      <w:r>
        <w:commentReference w:id="20"/>
      </w:r>
      <w:r>
        <w:rPr/>
        <w:t xml:space="preserve">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 Finally, </w:t>
      </w:r>
      <w:commentRangeStart w:id="23"/>
      <w:r>
        <w:rPr>
          <w:i/>
        </w:rPr>
        <w:t>Phallangium opilio</w:t>
      </w:r>
      <w:r>
        <w:rPr/>
        <w:t xml:space="preserve"> </w:t>
      </w:r>
      <w:r>
        <w:rPr/>
      </w:r>
      <w:commentRangeEnd w:id="23"/>
      <w:r>
        <w:commentReference w:id="23"/>
      </w:r>
      <w:r>
        <w:rPr/>
        <w:t>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p>
    <w:p>
      <w:pPr>
        <w:pStyle w:val="TextBody"/>
        <w:rPr/>
      </w:pPr>
      <w:r>
        <w:rPr/>
        <w:t xml:space="preserve">Increased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“activity density”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study.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w:t>
      </w:r>
      <w:ins w:id="30" w:author="Paul Galpern" w:date="2020-09-18T13:14:00Z">
        <w:r>
          <w:rPr/>
          <w:t xml:space="preserve"> used</w:t>
        </w:r>
      </w:ins>
      <w:r>
        <w:rPr/>
        <w:t xml:space="preserve">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4"/>
      <w:r>
        <w:rPr/>
        <w:t xml:space="preserve">This allows </w:t>
      </w:r>
      <w:ins w:id="31" w:author="Paul Galpern" w:date="2020-09-18T13:14:00Z">
        <w:r>
          <w:rPr/>
          <w:t xml:space="preserve">for </w:t>
        </w:r>
      </w:ins>
      <w:r>
        <w:rPr/>
        <w:t xml:space="preserve">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w:t>
      </w:r>
      <w:ins w:id="32" w:author="Vickruck, Jessica" w:date="2020-09-29T10:19:00Z">
        <w:r>
          <w:rPr/>
          <w:t>i</w:t>
        </w:r>
      </w:ins>
      <w:del w:id="33" w:author="Vickruck, Jessica" w:date="2020-09-29T10:19:00Z">
        <w:r>
          <w:rPr/>
          <w:delText>e</w:delText>
        </w:r>
      </w:del>
      <w:r>
        <w:rPr/>
        <w:t>mental at wider scales, indicating that the cover type may not constitute a completely usable habitat.</w:t>
      </w:r>
      <w:commentRangeEnd w:id="24"/>
      <w:r>
        <w:commentReference w:id="24"/>
      </w:r>
      <w:r>
        <w:rPr/>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Forest 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other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25"/>
      <w:r>
        <w:rPr>
          <w:b/>
        </w:rPr>
        <w:t>Paul, do we need a separate box/figure explaining how to interpret these plots, or should we just include references?</w:t>
      </w:r>
      <w:r>
        <w:rPr/>
        <w:t xml:space="preserve"> </w:t>
      </w:r>
      <w:r>
        <w:rPr/>
      </w:r>
      <w:commentRangeEnd w:id="25"/>
      <w:r>
        <w:commentReference w:id="25"/>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 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34"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w:t>
      </w:r>
      <w:commentRangeStart w:id="26"/>
      <w:r>
        <w:rPr/>
        <w:t xml:space="preserve">Several landscape “fingerprints" were evident in the landscape annuli, with cereal cover increasing with distance away, along with a corresponding decrease in canola cover </w:t>
      </w:r>
      <w:commentRangeStart w:id="27"/>
      <w:r>
        <w:rPr/>
        <w:t>(resulting in strong concurvity)</w:t>
      </w:r>
      <w:r>
        <w:rPr/>
      </w:r>
      <w:commentRangeEnd w:id="27"/>
      <w:r>
        <w:commentReference w:id="27"/>
      </w:r>
      <w:r>
        <w:rPr/>
        <w:t xml:space="preserve">. </w:t>
      </w:r>
      <w:r>
        <w:rPr/>
      </w:r>
      <w:commentRangeEnd w:id="26"/>
      <w:r>
        <w:commentReference w:id="26"/>
      </w:r>
      <w:r>
        <w:rPr/>
        <w:commentReference w:id="28"/>
      </w:r>
      <w:r>
        <w:rPr/>
        <w:t xml:space="preserve">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w:t>
      </w:r>
    </w:p>
    <w:p>
      <w:pPr>
        <w:pStyle w:val="FigurewithCaption"/>
        <w:rPr/>
      </w:pPr>
      <w:r>
        <w:rPr/>
        <w:drawing>
          <wp:inline distT="0" distB="0" distL="0" distR="0">
            <wp:extent cx="5617845" cy="479171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5617845" cy="4791710"/>
                    </a:xfrm>
                    <a:prstGeom prst="rect">
                      <a:avLst/>
                    </a:prstGeom>
                  </pic:spPr>
                </pic:pic>
              </a:graphicData>
            </a:graphic>
          </wp:inline>
        </w:drawing>
      </w:r>
    </w:p>
    <w:p>
      <w:pPr>
        <w:pStyle w:val="ImageCaption"/>
        <w:rPr/>
      </w:pPr>
      <w:commentRangeStart w:id="29"/>
      <w:r>
        <w:rPr/>
        <w:t>[fig:landscapeComp</w:t>
      </w:r>
      <w:r>
        <w:rPr/>
      </w:r>
      <w:commentRangeEnd w:id="29"/>
      <w:r>
        <w:commentReference w:id="29"/>
      </w:r>
      <w:r>
        <w:rPr/>
        <w:commentReference w:id="30"/>
      </w:r>
      <w:r>
        <w:rPr/>
        <w:t>]Landscape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w:t>
      </w:r>
      <w:commentRangeStart w:id="31"/>
      <w:r>
        <w:rPr/>
        <w:t xml:space="preserve">higher activity density of </w:t>
      </w:r>
      <w:r>
        <w:rPr>
          <w:i/>
        </w:rPr>
        <w:t>P. melanarius</w:t>
      </w:r>
      <w:r>
        <w:rPr/>
        <w:t xml:space="preserve"> than other trap locations </w:t>
      </w:r>
      <w:r>
        <w:rPr/>
      </w:r>
      <w:commentRangeEnd w:id="31"/>
      <w:r>
        <w:commentReference w:id="31"/>
      </w:r>
      <w:r>
        <w:rPr/>
        <w:t>(Figure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w:t>
      </w:r>
      <w:commentRangeStart w:id="32"/>
      <w:r>
        <w:rPr/>
        <w:t xml:space="preserve">and nearby grassland had a neutral effect early in the summer but a negative effect later in the summer </w:t>
      </w:r>
      <w:r>
        <w:rPr/>
      </w:r>
      <w:commentRangeEnd w:id="32"/>
      <w:r>
        <w:commentReference w:id="32"/>
      </w:r>
      <w:r>
        <w:rPr/>
        <w:commentReference w:id="33"/>
      </w:r>
      <w:r>
        <w:rPr/>
        <w:t xml:space="preserve">(Figure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w:t>
      </w:r>
      <w:commentRangeStart w:id="34"/>
      <w:r>
        <w:rPr/>
        <w:t xml:space="preserve">Pulses acted as a late-season source, indicating that </w:t>
      </w:r>
      <w:r>
        <w:rPr>
          <w:i/>
        </w:rPr>
        <w:t>P. melanarius</w:t>
      </w:r>
      <w:r>
        <w:rPr/>
        <w:t xml:space="preserve"> may migrate out of the crop after (or during) harvest.</w:t>
      </w:r>
      <w:r>
        <w:rPr/>
      </w:r>
      <w:commentRangeEnd w:id="34"/>
      <w:r>
        <w:commentReference w:id="34"/>
      </w:r>
      <w:r>
        <w:rPr/>
        <w:commentReference w:id="35"/>
      </w:r>
      <w:r>
        <w:rPr/>
        <w:t xml:space="preserve">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commentRangeStart w:id="36"/>
      <w:r>
        <w:rPr/>
        <w:t>[fig:PteMelLandscape</w:t>
      </w:r>
      <w:r>
        <w:rPr/>
      </w:r>
      <w:ins w:id="35" w:author="Samuel Robinson" w:date="2020-10-21T13:54:19Z">
        <w:commentRangeEnd w:id="36"/>
        <w:r>
          <w:commentReference w:id="36"/>
        </w:r>
        <w:r>
          <w:rPr/>
          <w:commentReference w:id="37"/>
        </w:r>
      </w:ins>
      <w:r>
        <w:rPr/>
        <w:t>]Landscape influence on Pterostichus melanarius activity density. Lines and dots represent means, and bars and shaded regions represent 95% confidence intervals (1.96 x SE). Coloured regions represent early-, mid-, and late-season effects (</w:t>
      </w:r>
      <w:commentRangeStart w:id="38"/>
      <w:r>
        <w:rPr/>
        <w:t>red, green, blue</w:t>
      </w:r>
      <w:r>
        <w:rPr/>
      </w:r>
      <w:commentRangeEnd w:id="38"/>
      <w:r>
        <w:commentReference w:id="38"/>
      </w:r>
      <w:r>
        <w:rPr/>
        <w:commentReference w:id="39"/>
      </w:r>
      <w:r>
        <w:rPr/>
        <w:t>)</w:t>
      </w:r>
    </w:p>
    <w:p>
      <w:pPr>
        <w:pStyle w:val="TextBody"/>
        <w:rPr/>
      </w:pPr>
      <w:commentRangeStart w:id="40"/>
      <w:commentRangeStart w:id="41"/>
      <w:r>
        <w:rPr/>
        <w:t xml:space="preserve">Activity density </w:t>
      </w:r>
      <w:r>
        <w:rPr/>
      </w:r>
      <w:ins w:id="36" w:author="Samuel Robinson" w:date="2020-10-21T13:46:30Z">
        <w:commentRangeEnd w:id="41"/>
        <w:r>
          <w:commentReference w:id="41"/>
        </w:r>
        <w:r>
          <w:rPr/>
          <w:commentReference w:id="42"/>
        </w:r>
      </w:ins>
      <w:r>
        <w:rPr/>
        <w:t xml:space="preserve">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w:t>
      </w:r>
      <w:r>
        <w:rPr/>
      </w:r>
      <w:commentRangeEnd w:id="40"/>
      <w:r>
        <w:commentReference w:id="40"/>
      </w:r>
      <w:r>
        <w:rPr/>
        <w:t xml:space="preserve">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w:t>
      </w:r>
      <w:commentRangeStart w:id="43"/>
      <w:r>
        <w:rPr/>
        <w:t>related later in the season (Figures</w:t>
      </w:r>
      <w:r>
        <w:rPr/>
      </w:r>
      <w:commentRangeEnd w:id="43"/>
      <w:r>
        <w:commentReference w:id="43"/>
      </w:r>
      <w:r>
        <w:rPr/>
        <w:t xml:space="preserve"> [fig:ParDisLandscape]b, [fig:ParMoeLandscape]c, p=0.077, &lt;0.001). Urban land cover had a similar effect on </w:t>
      </w:r>
      <w:r>
        <w:rPr>
          <w:i/>
        </w:rPr>
        <w:t>P. moesta</w:t>
      </w:r>
      <w:r>
        <w:rPr/>
        <w:t>, acting as an early source and a late sink (</w:t>
      </w:r>
      <w:commentRangeStart w:id="44"/>
      <w:r>
        <w:rPr/>
        <w:t xml:space="preserve">Figure [fig:ParMoeLandscape]f). </w:t>
      </w:r>
      <w:commentRangeStart w:id="45"/>
      <w:r>
        <w:rPr/>
      </w:r>
      <w:commentRangeEnd w:id="44"/>
      <w:r>
        <w:commentReference w:id="44"/>
      </w:r>
      <w:r>
        <w:rPr/>
        <w:t xml:space="preserve">Trees and shrubs acted as a sink for </w:t>
      </w:r>
      <w:r>
        <w:rPr>
          <w:i/>
        </w:rPr>
        <w:t>P. distincta</w:t>
      </w:r>
      <w:r>
        <w:rPr/>
        <w:t xml:space="preserve"> later in the season, and as a weak source early on in the season for </w:t>
      </w:r>
      <w:r>
        <w:rPr>
          <w:i/>
        </w:rPr>
        <w:t>P. moesta</w:t>
      </w:r>
      <w:r>
        <w:rPr/>
        <w:t xml:space="preserve"> (Figures [fig:ParDisLandscape]d, [fig:ParMoeLandscape]d).</w:t>
      </w:r>
      <w:r>
        <w:rPr/>
      </w:r>
      <w:commentRangeEnd w:id="45"/>
      <w:r>
        <w:commentReference w:id="45"/>
      </w:r>
      <w:r>
        <w:rPr/>
        <w:t xml:space="preserve">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[fig:ParDisLandscape]Landscape influence on Pardosa distincta activity density. Lines and dots represent means, and bars and shaded regions represent 95% confidence intervals (1.96 x SE). Coloured regions represent early-, mid-, and late-season effects (red, green,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[fig:ParMoeLandscape]Landscape influence on Pardosa moesta activity density. Lines and dots represent means, and bars and shaded regions represent 95% confidence intervals (1.96 x SE). Coloured regions represent early-, mid-, and late-season effects (red, green, blue)</w:t>
      </w:r>
    </w:p>
    <w:p>
      <w:pPr>
        <w:pStyle w:val="TextBody"/>
        <w:rPr/>
      </w:pPr>
      <w:r>
        <w:rPr>
          <w:i/>
        </w:rPr>
        <w:t>Phalangium opilio</w:t>
      </w:r>
      <w:r>
        <w:rPr/>
        <w:t xml:space="preserve"> activity density was strongly influenced by trap location, with </w:t>
      </w:r>
      <w:commentRangeStart w:id="46"/>
      <w:r>
        <w:rPr/>
        <w:t>pivot corners</w:t>
      </w:r>
      <w:r>
        <w:rPr/>
      </w:r>
      <w:commentRangeEnd w:id="46"/>
      <w:r>
        <w:commentReference w:id="46"/>
      </w:r>
      <w:r>
        <w:rPr/>
        <w:t xml:space="preserve"> and wetlands having the highest activity density (Figure [fig:OpilioLandscape]a). Landscape composition explained 0.1052% of variance in </w:t>
      </w:r>
      <w:r>
        <w:rPr>
          <w:i/>
        </w:rPr>
        <w:t>P. opilio</w:t>
      </w:r>
      <w:r>
        <w:rPr/>
        <w:t xml:space="preserve"> activity density. Nearby grassland </w:t>
      </w:r>
      <w:r>
        <w:rPr>
          <w:highlight w:val="yellow"/>
          <w:rPrChange w:id="0" w:author="Vickruck, Jessica" w:date="2020-09-29T11:23:00Z"/>
        </w:rPr>
        <w:t>(p=)</w:t>
      </w:r>
      <w:r>
        <w:rPr/>
        <w:t xml:space="preserve"> and woodland </w:t>
      </w:r>
      <w:r>
        <w:rPr>
          <w:highlight w:val="yellow"/>
          <w:rPrChange w:id="0" w:author="Vickruck, Jessica" w:date="2020-09-29T11:23:00Z"/>
        </w:rPr>
        <w:t>(p=)</w:t>
      </w:r>
      <w:r>
        <w:rPr/>
        <w:t xml:space="preserve"> both had negative effects on </w:t>
      </w:r>
      <w:r>
        <w:rPr>
          <w:i/>
        </w:rPr>
        <w:t>P. opilio</w:t>
      </w:r>
      <w:r>
        <w:rPr/>
        <w:t xml:space="preserve"> activity density, but only early in the season (Figures [fig:OpilioLandscape]b,c). </w:t>
      </w:r>
      <w:commentRangeStart w:id="47"/>
      <w:r>
        <w:rPr/>
        <w:t xml:space="preserve">Compare this to </w:t>
      </w:r>
      <w:r>
        <w:rPr>
          <w:i/>
        </w:rPr>
        <w:t>P. melanarius</w:t>
      </w:r>
      <w:r>
        <w:rPr/>
        <w:t xml:space="preserve">, which is also influenced by grassland and woodland, but where the effect was negative </w:t>
      </w:r>
      <w:r>
        <w:rPr>
          <w:i/>
        </w:rPr>
        <w:t>late</w:t>
      </w:r>
      <w:r>
        <w:rPr/>
        <w:t xml:space="preserve"> in the season. </w:t>
      </w:r>
      <w:r>
        <w:rPr/>
      </w:r>
      <w:commentRangeEnd w:id="47"/>
      <w:r>
        <w:commentReference w:id="47"/>
      </w:r>
      <w:r>
        <w:rPr/>
        <w:t>The temporal and spatial components, as in the other two species, were both very strong (both p&lt;0.001). The landscape composition and trap location explained 13% of variance in activity density, while the spatial and temporal smoothers accounted for 52%.</w:t>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48"/>
      <w:commentRangeStart w:id="49"/>
      <w:r>
        <w:rPr/>
        <w:t>for model components</w:t>
      </w:r>
      <w:r>
        <w:rPr/>
      </w:r>
      <w:commentRangeEnd w:id="49"/>
      <w:r>
        <w:commentReference w:id="49"/>
      </w:r>
      <w:r>
        <w:rPr/>
      </w:r>
      <w:commentRangeEnd w:id="48"/>
      <w:r>
        <w:commentReference w:id="48"/>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8"/>
        <w:gridCol w:w="2157"/>
        <w:gridCol w:w="1758"/>
        <w:gridCol w:w="1758"/>
        <w:gridCol w:w="2099"/>
      </w:tblGrid>
      <w:tr>
        <w:trPr/>
        <w:tc>
          <w:tcPr>
            <w:tcW w:w="1588"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157"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58"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58"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99"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Trees/Shrubs</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r>
    </w:p>
    <w:p>
      <w:pPr>
        <w:pStyle w:val="TextBody"/>
        <w:rPr/>
      </w:pPr>
      <w:ins w:id="39" w:author="Vickruck, Jessica" w:date="2020-09-29T11:24:00Z">
        <w:r>
          <w:rPr/>
          <w:t>Discussion??</w:t>
        </w:r>
      </w:ins>
    </w:p>
    <w:p>
      <w:pPr>
        <w:pStyle w:val="TextBody"/>
        <w:rPr/>
      </w:pPr>
      <w:r>
        <w:rPr/>
        <w:t xml:space="preserve">The activity density of </w:t>
      </w:r>
      <w:r>
        <w:rPr>
          <w:i/>
        </w:rPr>
        <w:t>Pterostichus melanarius</w:t>
      </w:r>
      <w:r>
        <w:rPr/>
        <w:t xml:space="preserve"> and </w:t>
      </w:r>
      <w:r>
        <w:rPr>
          <w:i/>
        </w:rPr>
        <w:t>Phalangium opilio</w:t>
      </w:r>
      <w:r>
        <w:rPr/>
        <w:t xml:space="preserve"> responded </w:t>
      </w:r>
      <w:del w:id="40" w:author="Paul Galpern" w:date="2020-09-18T13:34:00Z">
        <w:r>
          <w:rPr/>
          <w:delText xml:space="preserve">to </w:delText>
        </w:r>
      </w:del>
      <w:r>
        <w:rPr/>
        <w:t>strongly</w:t>
      </w:r>
      <w:ins w:id="41"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some support for our predictions of SNL (grass and wetland, woodlands, and road margins)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50"/>
      <w:r>
        <w:rPr/>
        <w:t xml:space="preserve">While there was limited </w:t>
      </w:r>
      <w:r>
        <w:rPr/>
      </w:r>
      <w:commentRangeEnd w:id="50"/>
      <w:r>
        <w:commentReference w:id="50"/>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del w:id="42" w:author="Vickruck, Jessica" w:date="2020-09-29T12:39:00Z">
        <w:r>
          <w:rPr/>
          <w:delText xml:space="preserve">The predatory ground beetle </w:delText>
        </w:r>
      </w:del>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51"/>
      <w:r>
        <w:rPr/>
        <w:t>The</w:t>
      </w:r>
      <w:r>
        <w:rPr/>
      </w:r>
      <w:ins w:id="43" w:author="Samuel Robinson" w:date="2020-10-21T13:57:09Z">
        <w:commentRangeEnd w:id="51"/>
        <w:r>
          <w:commentReference w:id="51"/>
        </w:r>
        <w:r>
          <w:rPr/>
          <w:commentReference w:id="52"/>
        </w:r>
      </w:ins>
      <w:r>
        <w:rPr/>
        <w:t xml:space="preserv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for overwintering or winter foraging (Aitchison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w:t>
      </w:r>
      <w:del w:id="44" w:author="Vickruck, Jessica" w:date="2020-09-29T15:31:00Z">
        <w:r>
          <w:rPr/>
          <w:delText>more</w:delText>
        </w:r>
      </w:del>
      <w:r>
        <w:rPr/>
        <w:commentReference w:id="53"/>
      </w:r>
      <w:ins w:id="45" w:author="Samuel Robinson" w:date="2020-10-21T13:57:18Z">
        <w:r>
          <w:rPr/>
          <w:commentReference w:id="54"/>
        </w:r>
      </w:ins>
      <w:r>
        <w:rPr/>
        <w:t xml:space="preserv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xml:space="preserve">, we </w:t>
      </w:r>
      <w:commentRangeStart w:id="55"/>
      <w:r>
        <w:rPr/>
        <w:t xml:space="preserve">found that roads clearly acted as an early source and a late sink </w:t>
      </w:r>
      <w:r>
        <w:rPr/>
      </w:r>
      <w:ins w:id="46" w:author="Samuel Robinson" w:date="2020-10-21T13:58:07Z">
        <w:commentRangeEnd w:id="55"/>
        <w:r>
          <w:commentReference w:id="55"/>
        </w:r>
        <w:r>
          <w:rPr/>
          <w:commentReference w:id="56"/>
        </w:r>
      </w:ins>
      <w:r>
        <w:rPr/>
        <w:t xml:space="preserve">(similar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w:t>
      </w:r>
      <w:commentRangeStart w:id="57"/>
      <w:r>
        <w:rPr/>
        <w:t>Lycosids</w:t>
      </w:r>
      <w:r>
        <w:rPr/>
      </w:r>
      <w:ins w:id="47" w:author="Samuel Robinson" w:date="2020-10-21T13:58:36Z">
        <w:commentRangeEnd w:id="57"/>
        <w:r>
          <w:commentReference w:id="57"/>
        </w:r>
        <w:r>
          <w:rPr/>
          <w:commentReference w:id="58"/>
        </w:r>
      </w:ins>
      <w:r>
        <w:rPr/>
        <w:t xml:space="preserve">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 either through ballooning as juveniles (Richter 1970; Greenstone 1982) or through other long-distance travel.</w:t>
      </w:r>
    </w:p>
    <w:p>
      <w:pPr>
        <w:pStyle w:val="TextBody"/>
        <w:rPr/>
      </w:pPr>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grassy pivot corners and wetlands, but grasslands and wetlands 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p>
    <w:p>
      <w:pPr>
        <w:pStyle w:val="TextBody"/>
        <w:rPr/>
      </w:pPr>
      <w:commentRangeStart w:id="59"/>
      <w:commentRangeStart w:id="60"/>
      <w:r>
        <w:rPr/>
        <w:t>Many other stu</w:t>
      </w:r>
      <w:r>
        <w:rPr/>
      </w:r>
      <w:commentRangeEnd w:id="60"/>
      <w:r>
        <w:commentReference w:id="60"/>
      </w:r>
      <w:r>
        <w:rPr/>
      </w:r>
      <w:ins w:id="48" w:author="Samuel Robinson" w:date="2020-10-21T13:58:43Z">
        <w:commentRangeEnd w:id="59"/>
        <w:r>
          <w:commentReference w:id="59"/>
        </w:r>
        <w:r>
          <w:rPr/>
          <w:commentReference w:id="61"/>
        </w:r>
      </w:ins>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w:t>
      </w:r>
      <w:commentRangeStart w:id="62"/>
      <w:r>
        <w:rPr/>
        <w:t>fig:PteMelSpatiotemporal</w:t>
      </w:r>
      <w:r>
        <w:rPr/>
      </w:r>
      <w:commentRangeEnd w:id="62"/>
      <w:r>
        <w:commentReference w:id="62"/>
      </w:r>
      <w:r>
        <w:rPr/>
        <w:t>]Temporal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[fig:ParMoeSpatiotemporal]Temporal and spatial components of Pardosa moesta 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45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4"/>
        <w:gridCol w:w="664"/>
        <w:gridCol w:w="743"/>
        <w:gridCol w:w="798"/>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4"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79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4561"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4"/>
        <w:gridCol w:w="665"/>
        <w:gridCol w:w="665"/>
        <w:gridCol w:w="664"/>
        <w:gridCol w:w="983"/>
      </w:tblGrid>
      <w:tr>
        <w:trPr/>
        <w:tc>
          <w:tcPr>
            <w:tcW w:w="1584"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r>
        <w:rPr>
          <w:i/>
        </w:rPr>
        <w:t>phalangium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r>
        <w:rPr>
          <w:i/>
        </w:rPr>
        <w:t>phalangium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r>
        <w:rPr>
          <w:i/>
        </w:rPr>
        <w:t>pardosa moesta</w:t>
      </w:r>
      <w:r>
        <w:rPr/>
        <w:t xml:space="preserve"> and </w:t>
      </w:r>
      <w:r>
        <w:rPr>
          <w:i/>
        </w:rPr>
        <w:t>pardosa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Arthropods of Canadian grasslands (Volume 3): Biodiversity and systematics part 1. In: </w:t>
      </w:r>
      <w:r>
        <w:rPr>
          <w:i/>
        </w:rPr>
        <w:t>Arthropods of canadian grasslands (volume 3): Biodiversity and systematics part 1</w:t>
      </w:r>
      <w:r>
        <w:rPr/>
        <w:t xml:space="preserve"> (eds.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carabidae and arachnida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lang w:val="fr-CA"/>
          <w:rPrChange w:id="0" w:author="Vickruck, Jessica" w:date="2020-09-29T09:50:00Z"/>
        </w:rPr>
        <w:t xml:space="preserve">Kowal, V.A. &amp; Cartar, R.V. (2011). </w:t>
      </w:r>
      <w:r>
        <w:rPr/>
        <w:t xml:space="preserve">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 xml:space="preserve">Lövei, G.L. &amp; Sunderland, K.D. (1996). Ecology and behavior of ground beetles (coleoptera: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toor even larger thanthe effects of farming practices. </w:t>
      </w:r>
      <w:r>
        <w:rPr>
          <w:i/>
        </w:rPr>
        <w:t>Agriculture, Ecosystems &amp; Environment</w:t>
      </w:r>
      <w:r>
        <w:rPr/>
        <w:t>, 288, 106698.</w:t>
      </w:r>
    </w:p>
    <w:p>
      <w:pPr>
        <w:pStyle w:val="TextBody"/>
        <w:rPr>
          <w:lang w:val="fr-CA"/>
        </w:rPr>
      </w:pPr>
      <w:r>
        <w:rPr/>
        <w:t xml:space="preserve">Moring, J.B. &amp; Stewart, K.W. (1994). Habitat partitioning by the wolf spider (Araneae, Lycosidae) guild in streamside and riparian vegetation zones of the Conejos River, Colorado. </w:t>
      </w:r>
      <w:r>
        <w:rPr>
          <w:i/>
          <w:lang w:val="fr-CA"/>
          <w:rPrChange w:id="0" w:author="Vickruck, Jessica" w:date="2020-09-29T09:50:00Z">
            <w:rPr>
              <w:i/>
            </w:rPr>
          </w:rPrChange>
        </w:rPr>
        <w:t>The Journal of Arachnology</w:t>
      </w:r>
      <w:r>
        <w:rPr>
          <w:lang w:val="fr-CA"/>
          <w:rPrChange w:id="0" w:author="Vickruck, Jessica" w:date="2020-09-29T09:50:00Z"/>
        </w:rPr>
        <w:t>, 22, 205–217.</w:t>
      </w:r>
    </w:p>
    <w:p>
      <w:pPr>
        <w:pStyle w:val="TextBody"/>
        <w:rPr>
          <w:lang w:val="fr-CA"/>
        </w:rPr>
      </w:pPr>
      <w:r>
        <w:rPr>
          <w:lang w:val="fr-CA"/>
          <w:rPrChange w:id="0" w:author="Vickruck, Jessica" w:date="2020-09-29T09:50:00Z"/>
        </w:rPr>
        <w:t xml:space="preserve">Muster, C. &amp; Meyer, M. (2014). </w:t>
      </w:r>
      <w:r>
        <w:rPr>
          <w:i/>
          <w:lang w:val="fr-CA"/>
          <w:rPrChange w:id="0" w:author="Vickruck, Jessica" w:date="2020-09-29T09:50:00Z">
            <w:rPr>
              <w:i/>
            </w:rPr>
          </w:rPrChange>
        </w:rPr>
        <w:t>Ferrantia</w:t>
      </w:r>
      <w:r>
        <w:rPr>
          <w:lang w:val="fr-CA"/>
          <w:rPrChange w:id="0" w:author="Vickruck, Jessica" w:date="2020-09-29T09:50:00Z"/>
        </w:rPr>
        <w:t>. Travaux scientifiques du musée national d’histoire naturelle de luxembourg. Musée national d’histoire naturelle, Luxembourg.</w:t>
      </w:r>
    </w:p>
    <w:p>
      <w:pPr>
        <w:pStyle w:val="TextBody"/>
        <w:rPr/>
      </w:pPr>
      <w:r>
        <w:rPr>
          <w:lang w:val="fr-CA"/>
          <w:rPrChange w:id="0" w:author="Vickruck, Jessica" w:date="2020-09-29T09:50:00Z"/>
        </w:rPr>
        <w:t xml:space="preserve">Nakagawa, S., Johnson, P.C.D. &amp; Schielzeth, H. (2017). </w:t>
      </w:r>
      <w:r>
        <w:rPr/>
        <w:t xml:space="preserve">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r>
        <w:rPr>
          <w:i/>
        </w:rPr>
        <w:t>carabus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Van de Poel, S. (2015). Harvestman communities in small forest patches in european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2"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3" w:author="Vickruck, Jessica" w:date="2020-09-29T09:50:00Z" w:initials="VJ">
    <w:p>
      <w:r>
        <w:rPr>
          <w:rFonts w:ascii="Liberation Serif" w:hAnsi="Liberation Serif" w:eastAsia="DejaVu Sans" w:cs="DejaVu Sans"/>
          <w:lang w:val="en-US" w:eastAsia="en-US" w:bidi="en-US"/>
        </w:rPr>
        <w:t>I probably would have stopped at food insecurity ;)</w:t>
      </w:r>
    </w:p>
  </w:comment>
  <w:comment w:id="4" w:author="Samuel Robinson" w:date="2020-10-15T14:18:5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09:50): "..."</w:t>
      </w:r>
    </w:p>
    <w:p>
      <w:r>
        <w:rPr>
          <w:rFonts w:ascii="Liberation Serif" w:hAnsi="Liberation Serif" w:eastAsia="DejaVu Sans" w:cs="DejaVu Sans"/>
          <w:sz w:val="20"/>
          <w:lang w:val="en-US" w:eastAsia="en-US" w:bidi="ar-SA"/>
        </w:rPr>
        <w:t>Changed</w:t>
      </w:r>
    </w:p>
    <w:p>
      <w:r>
        <w:rPr>
          <w:rFonts w:ascii="Liberation Serif" w:hAnsi="Liberation Serif" w:eastAsia="DejaVu Sans" w:cs="DejaVu Sans"/>
          <w:lang w:val="en-US" w:eastAsia="en-US" w:bidi="en-US"/>
        </w:rPr>
      </w:r>
    </w:p>
  </w:comment>
  <w:comment w:id="5"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6" w:author="Vickruck, Jessica" w:date="2020-09-29T09:59:00Z" w:initials="VJ">
    <w:p>
      <w:r>
        <w:rPr>
          <w:rFonts w:ascii="Liberation Serif" w:hAnsi="Liberation Serif" w:eastAsia="DejaVu Sans" w:cs="DejaVu Sans"/>
          <w:lang w:val="en-US" w:eastAsia="en-US" w:bidi="en-US"/>
        </w:rPr>
        <w:t>This sentence changes perspective half way through which makes it hard to follow. The first half is from the perspective of the arthropod (source and sink habitat) but the second is from the perspective of the crop.</w:t>
      </w:r>
    </w:p>
  </w:comment>
  <w:comment w:id="7" w:author="Samuel Robinson" w:date="2020-10-15T14:21: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09:59): "..."</w:t>
      </w:r>
    </w:p>
    <w:p>
      <w:r>
        <w:rPr>
          <w:rFonts w:ascii="Liberation Serif" w:hAnsi="Liberation Serif" w:eastAsia="DejaVu Sans" w:cs="DejaVu Sans"/>
          <w:sz w:val="20"/>
          <w:lang w:val="en-US" w:eastAsia="en-US" w:bidi="ar-SA"/>
        </w:rPr>
        <w:t>Changed</w:t>
      </w:r>
    </w:p>
  </w:comment>
  <w:comment w:id="8" w:author="Vickruck, Jessica" w:date="2020-09-29T10:02:00Z" w:initials="VJ">
    <w:p>
      <w:r>
        <w:rPr>
          <w:rFonts w:ascii="Liberation Serif" w:hAnsi="Liberation Serif" w:eastAsia="DejaVu Sans" w:cs="DejaVu Sans"/>
          <w:lang w:val="en-US" w:eastAsia="en-US" w:bidi="en-US"/>
        </w:rPr>
        <w:t>I feel like this sentence needs more explanation. How are you defining local and landscape, and in what way is it influenced? I think this a valuable sentence, but perhaps try and be explicit in the example.</w:t>
      </w:r>
    </w:p>
  </w:comment>
  <w:comment w:id="9" w:author="Samuel Robinson" w:date="2020-10-15T14:22:3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10:02): "..."</w:t>
      </w:r>
    </w:p>
    <w:p>
      <w:r>
        <w:rPr>
          <w:rFonts w:ascii="Liberation Serif" w:hAnsi="Liberation Serif" w:eastAsia="DejaVu Sans" w:cs="DejaVu Sans"/>
          <w:sz w:val="20"/>
          <w:lang w:val="en-US" w:eastAsia="en-US" w:bidi="ar-SA"/>
        </w:rPr>
        <w:t>Changed</w:t>
      </w:r>
    </w:p>
  </w:comment>
  <w:comment w:id="10" w:author="Vickruck, Jessica" w:date="2020-09-29T10:05:00Z" w:initials="VJ">
    <w:p>
      <w:r>
        <w:rPr>
          <w:rFonts w:ascii="Liberation Serif" w:hAnsi="Liberation Serif" w:eastAsia="DejaVu Sans" w:cs="DejaVu Sans"/>
          <w:lang w:val="en-US" w:eastAsia="en-US" w:bidi="en-US"/>
        </w:rPr>
        <w:t>You spend quite a bit of time talking about the lack of natural history data for carabid species, so it feels like this is going to be one of the objectives of the manuscript, but it isn’t really.</w:t>
      </w:r>
    </w:p>
  </w:comment>
  <w:comment w:id="11" w:author="Samuel Robinson" w:date="2020-10-15T14:23:0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10:05): "..."</w:t>
      </w:r>
    </w:p>
    <w:p>
      <w:r>
        <w:rPr>
          <w:rFonts w:ascii="Liberation Serif" w:hAnsi="Liberation Serif" w:eastAsia="DejaVu Sans" w:cs="DejaVu Sans"/>
          <w:sz w:val="20"/>
          <w:lang w:val="en-US" w:eastAsia="en-US" w:bidi="ar-SA"/>
        </w:rPr>
        <w:t>It kind of is.</w:t>
      </w:r>
    </w:p>
  </w:comment>
  <w:comment w:id="12" w:author="Paul Galpern" w:date="2020-09-18T12:37:00Z" w:initials="PG">
    <w:p>
      <w:r>
        <w:rPr>
          <w:rFonts w:ascii="Liberation Serif" w:hAnsi="Liberation Serif" w:eastAsia="Segoe UI" w:cs="Tahoma"/>
          <w:lang w:val="en-US" w:eastAsia="en-US" w:bidi="en-US"/>
        </w:rPr>
        <w:t>Seems too early for results.</w:t>
      </w:r>
    </w:p>
  </w:comment>
  <w:comment w:id="13" w:author="Vickruck, Jessica" w:date="2020-09-29T10:09:00Z" w:initials="VJ">
    <w:p>
      <w:r>
        <w:rPr>
          <w:rFonts w:ascii="Liberation Serif" w:hAnsi="Liberation Serif" w:eastAsia="DejaVu Sans" w:cs="DejaVu Sans"/>
          <w:lang w:val="en-US" w:eastAsia="en-US" w:bidi="en-US"/>
        </w:rPr>
        <w:t>Adding a few sub headings to the methods would help the reader follow.</w:t>
      </w:r>
    </w:p>
  </w:comment>
  <w:comment w:id="14" w:author="Samuel Robinson" w:date="2020-10-15T14:25: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10:09): "..."</w:t>
      </w:r>
    </w:p>
    <w:p>
      <w:r>
        <w:rPr>
          <w:rFonts w:ascii="Liberation Serif" w:hAnsi="Liberation Serif" w:eastAsia="DejaVu Sans" w:cs="DejaVu Sans"/>
          <w:sz w:val="20"/>
          <w:lang w:val="en-US" w:eastAsia="en-US" w:bidi="ar-SA"/>
        </w:rPr>
        <w:t>This didn’t show up in the word version, for some reason</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Vickruck, Jessica" w:date="2020-09-29T10:08:00Z" w:initials="VJ">
    <w:p>
      <w:r>
        <w:rPr>
          <w:rFonts w:ascii="Liberation Serif" w:hAnsi="Liberation Serif" w:eastAsia="DejaVu Sans" w:cs="DejaVu Sans"/>
          <w:lang w:val="en-US" w:eastAsia="en-US" w:bidi="en-US"/>
        </w:rPr>
        <w:t>Lol I can hear the taxonomists screaming in the background: “</w:t>
      </w:r>
      <w:r>
        <w:rPr>
          <w:rFonts w:ascii="Liberation Serif" w:hAnsi="Liberation Serif" w:eastAsia="DejaVu Sans" w:cs="DejaVu Sans"/>
          <w:b/>
          <w:lang w:val="en-US" w:eastAsia="en-US" w:bidi="en-US"/>
        </w:rPr>
        <w:t>Please reference our keys or they will stop giving us grants to do our jobs</w:t>
      </w:r>
      <w:r>
        <w:rPr>
          <w:rFonts w:ascii="Liberation Serif" w:hAnsi="Liberation Serif" w:eastAsia="DejaVu Sans" w:cs="DejaVu Sans"/>
          <w:lang w:val="en-US" w:eastAsia="en-US" w:bidi="en-US"/>
        </w:rPr>
        <w:t>!!”</w:t>
      </w:r>
    </w:p>
  </w:comment>
  <w:comment w:id="17" w:author="Samuel Robinson" w:date="2020-10-15T14:25:4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10:08): "..."</w:t>
      </w:r>
    </w:p>
    <w:p>
      <w:r>
        <w:rPr>
          <w:rFonts w:ascii="Liberation Serif" w:hAnsi="Liberation Serif" w:eastAsia="DejaVu Sans" w:cs="DejaVu Sans"/>
          <w:sz w:val="20"/>
          <w:lang w:val="en-US" w:eastAsia="en-US" w:bidi="ar-SA"/>
        </w:rPr>
        <w:t>Done. Diane gave me all the refs.</w:t>
      </w:r>
    </w:p>
  </w:comment>
  <w:comment w:id="18" w:author="Vickruck, Jessica" w:date="2020-09-29T10:33:00Z" w:initials="VJ">
    <w:p>
      <w:r>
        <w:rPr>
          <w:rFonts w:ascii="Liberation Serif" w:hAnsi="Liberation Serif" w:eastAsia="DejaVu Sans" w:cs="DejaVu Sans"/>
          <w:lang w:val="en-US" w:eastAsia="en-US" w:bidi="en-US"/>
        </w:rPr>
        <w:t>Given your comment above about how we need to know about the natural history of the organism to make predictions about how we would expect each species to use the landscape, it might be worth noting that this was (I think anyway) part of why you selected the species?</w:t>
      </w:r>
    </w:p>
  </w:comment>
  <w:comment w:id="19" w:author="Samuel Robinson" w:date="2020-10-15T14:36:3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10:33): "..."</w:t>
      </w:r>
    </w:p>
    <w:p>
      <w:r>
        <w:rPr>
          <w:rFonts w:ascii="Liberation Serif" w:hAnsi="Liberation Serif" w:eastAsia="DejaVu Sans" w:cs="DejaVu Sans"/>
          <w:sz w:val="20"/>
          <w:lang w:val="en-US" w:eastAsia="en-US" w:bidi="ar-SA"/>
        </w:rPr>
        <w:t>Changed</w:t>
      </w:r>
    </w:p>
  </w:comment>
  <w:comment w:id="21" w:author="Vickruck, Jessica" w:date="2020-09-29T10:14:00Z" w:initials="VJ">
    <w:p>
      <w:r>
        <w:rPr>
          <w:rFonts w:ascii="Liberation Serif" w:hAnsi="Liberation Serif" w:eastAsia="DejaVu Sans" w:cs="DejaVu Sans"/>
          <w:lang w:val="en-US" w:eastAsia="en-US" w:bidi="en-US"/>
        </w:rPr>
        <w:t>Are they known to be important predators of crop pests? Might be worth a mention here.</w:t>
      </w:r>
    </w:p>
  </w:comment>
  <w:comment w:id="22" w:author="Samuel Robinson" w:date="2020-10-15T14:37:4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10:14): "..."</w:t>
      </w:r>
    </w:p>
    <w:p>
      <w:r>
        <w:rPr>
          <w:rFonts w:ascii="Liberation Serif" w:hAnsi="Liberation Serif" w:eastAsia="DejaVu Sans" w:cs="DejaVu Sans"/>
          <w:sz w:val="20"/>
          <w:lang w:val="en-US" w:eastAsia="en-US" w:bidi="ar-SA"/>
        </w:rPr>
        <w:t>Changed</w:t>
      </w:r>
    </w:p>
  </w:comment>
  <w:comment w:id="20" w:author="Vickruck, Jessica" w:date="2020-09-29T10:12:00Z" w:initials="VJ">
    <w:p>
      <w:r>
        <w:rPr>
          <w:rFonts w:ascii="Liberation Serif" w:hAnsi="Liberation Serif" w:eastAsia="DejaVu Sans" w:cs="DejaVu Sans"/>
          <w:lang w:val="en-US" w:eastAsia="en-US" w:bidi="en-US"/>
        </w:rPr>
        <w:t xml:space="preserve">Total aside, but there are SO many cool pop gen things that could be done with this dataset. Did you know that there are short winged and long winged morphs of this species. The short winged ones are supposed to be the dispers.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An awesome 4</w:t>
      </w:r>
      <w:r>
        <w:rPr>
          <w:rFonts w:ascii="Liberation Serif" w:hAnsi="Liberation Serif" w:eastAsia="DejaVu Sans" w:cs="DejaVu Sans"/>
          <w:vertAlign w:val="superscript"/>
          <w:lang w:val="en-US" w:eastAsia="en-US" w:bidi="en-US"/>
        </w:rPr>
        <w:t>th</w:t>
      </w:r>
      <w:r>
        <w:rPr>
          <w:rFonts w:ascii="Liberation Serif" w:hAnsi="Liberation Serif" w:eastAsia="DejaVu Sans" w:cs="DejaVu Sans"/>
          <w:lang w:val="en-US" w:eastAsia="en-US" w:bidi="en-US"/>
        </w:rPr>
        <w:t xml:space="preserve"> year project (not pop gen) would be to see what the short winged vs long winged proportions are across various gradients…but I digress ;) </w:t>
      </w:r>
    </w:p>
  </w:comment>
  <w:comment w:id="23" w:author="Vickruck, Jessica" w:date="2020-09-29T10:15:00Z" w:initials="VJ">
    <w:p>
      <w:r>
        <w:rPr>
          <w:rFonts w:ascii="Liberation Serif" w:hAnsi="Liberation Serif" w:eastAsia="DejaVu Sans" w:cs="DejaVu Sans"/>
          <w:lang w:val="en-US" w:eastAsia="en-US" w:bidi="en-US"/>
        </w:rPr>
        <w:t>I just had flashbacks to pitfall traps full of thousands of these. They were just giant balls of legs ;)</w:t>
      </w:r>
    </w:p>
  </w:comment>
  <w:comment w:id="24" w:author="Paul Galpern" w:date="2020-09-18T13:16:00Z" w:initials="PG">
    <w:p>
      <w:r>
        <w:rPr>
          <w:rFonts w:ascii="Liberation Serif" w:hAnsi="Liberation Serif" w:eastAsia="Segoe UI" w:cs="Tahoma"/>
          <w:lang w:val="en-US" w:eastAsia="en-US" w:bidi="en-US"/>
        </w:rPr>
        <w:t>This is a good description.</w:t>
      </w:r>
    </w:p>
  </w:comment>
  <w:comment w:id="25"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27" w:author="Paul Galpern" w:date="2020-09-18T13:20:00Z" w:initials="PG">
    <w:p>
      <w:r>
        <w:rPr>
          <w:rFonts w:ascii="Liberation Serif" w:hAnsi="Liberation Serif" w:eastAsia="Segoe UI" w:cs="Tahoma"/>
          <w:lang w:val="en-US" w:eastAsia="en-US" w:bidi="en-US"/>
        </w:rPr>
        <w:t>I don’t think you need to repeat this.</w:t>
      </w:r>
    </w:p>
  </w:comment>
  <w:comment w:id="26" w:author="Vickruck, Jessica" w:date="2020-09-29T10:31:00Z" w:initials="VJ">
    <w:p>
      <w:r>
        <w:rPr>
          <w:rFonts w:ascii="Liberation Serif" w:hAnsi="Liberation Serif" w:eastAsia="DejaVu Sans" w:cs="DejaVu Sans"/>
          <w:lang w:val="en-US" w:eastAsia="en-US" w:bidi="en-US"/>
        </w:rPr>
        <w:t>Isn’t this more indicative of sampling bias than anything else? Cereal likely increased further away because we targeted canola crops for trapping. Or was that the point? lol</w:t>
      </w:r>
    </w:p>
  </w:comment>
  <w:comment w:id="28" w:author="Samuel Robinson" w:date="2020-10-15T14:38: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10:31): "..."</w:t>
      </w:r>
    </w:p>
    <w:p>
      <w:r>
        <w:rPr>
          <w:rFonts w:ascii="Liberation Serif" w:hAnsi="Liberation Serif" w:eastAsia="DejaVu Sans" w:cs="DejaVu Sans"/>
          <w:sz w:val="20"/>
          <w:lang w:val="en-US" w:eastAsia="en-US" w:bidi="ar-SA"/>
        </w:rPr>
        <w:t>Possibly, but this will occur no matter where you sample. Canola was definitely a dominant signal, but we got a bunch of other cover types as well.</w:t>
      </w:r>
    </w:p>
  </w:comment>
  <w:comment w:id="29" w:author="Vickruck, Jessica" w:date="2020-09-29T10:26:00Z" w:initials="VJ">
    <w:p>
      <w:r>
        <w:rPr>
          <w:rFonts w:ascii="Liberation Serif" w:hAnsi="Liberation Serif" w:eastAsia="DejaVu Sans" w:cs="DejaVu Sans"/>
          <w:lang w:val="en-US" w:eastAsia="en-US" w:bidi="en-US"/>
        </w:rPr>
        <w:t>This figure took a bit for me to digest. I think it is the x axis title that is throwing me off.</w:t>
      </w:r>
    </w:p>
  </w:comment>
  <w:comment w:id="30" w:author="Samuel Robinson" w:date="2020-10-15T15:03:0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10:26): "..."</w:t>
      </w:r>
    </w:p>
    <w:p>
      <w:r>
        <w:rPr>
          <w:rFonts w:ascii="Liberation Serif" w:hAnsi="Liberation Serif" w:eastAsia="DejaVu Sans" w:cs="DejaVu Sans"/>
          <w:sz w:val="20"/>
          <w:lang w:val="en-US" w:eastAsia="en-US" w:bidi="ar-SA"/>
        </w:rPr>
        <w:t>Not sure if there’s any way to improve that</w:t>
      </w:r>
    </w:p>
  </w:comment>
  <w:comment w:id="31" w:author="Vickruck, Jessica" w:date="2020-09-29T10:43:00Z" w:initials="VJ">
    <w:p>
      <w:r>
        <w:rPr>
          <w:rFonts w:ascii="Liberation Serif" w:hAnsi="Liberation Serif" w:eastAsia="DejaVu Sans" w:cs="DejaVu Sans"/>
          <w:lang w:val="en-US" w:eastAsia="en-US" w:bidi="en-US"/>
        </w:rPr>
        <w:t xml:space="preserve">Somewhat counter-intuitive that </w:t>
      </w:r>
    </w:p>
  </w:comment>
  <w:comment w:id="32" w:author="Vickruck, Jessica" w:date="2020-09-29T10:56:00Z" w:initials="VJ">
    <w:p>
      <w:r>
        <w:rPr>
          <w:rFonts w:ascii="Liberation Serif" w:hAnsi="Liberation Serif" w:eastAsia="DejaVu Sans" w:cs="DejaVu Sans"/>
          <w:lang w:val="en-US" w:eastAsia="en-US" w:bidi="en-US"/>
        </w:rPr>
        <w:t>I think you need to be consistent in the wording here. You refer to early and late summer in the text, but the figure has 3 dates (20 June, 20 July and 20 Aug) so I am not sure which corresponds to which throughout.</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Also, when you say negative are you simply referring to whether or not the entire trendline falls under the zero? Both the July 20 or the Aug 20 line so positive effects, but the July 20th effect is negative across almost all distances. </w:t>
      </w:r>
    </w:p>
  </w:comment>
  <w:comment w:id="33" w:author="Samuel Robinson" w:date="2020-10-15T15:07: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10:56): "..."</w:t>
      </w:r>
    </w:p>
    <w:p>
      <w:r>
        <w:rPr>
          <w:rFonts w:ascii="Liberation Serif" w:hAnsi="Liberation Serif" w:eastAsia="DejaVu Sans" w:cs="DejaVu Sans"/>
          <w:sz w:val="20"/>
          <w:lang w:val="en-US" w:eastAsia="en-US" w:bidi="ar-SA"/>
        </w:rPr>
        <w:t>I think you’re referring to the slope of the line. Both the slope and intercept matter here. Hopefully the explanatory box will help.</w:t>
      </w:r>
    </w:p>
  </w:comment>
  <w:comment w:id="34" w:author="Vickruck, Jessica" w:date="2020-09-29T11:01:00Z" w:initials="VJ">
    <w:p>
      <w:r>
        <w:rPr>
          <w:rFonts w:ascii="Liberation Serif" w:hAnsi="Liberation Serif" w:eastAsia="DejaVu Sans" w:cs="DejaVu Sans"/>
          <w:lang w:val="en-US" w:eastAsia="en-US" w:bidi="en-US"/>
        </w:rPr>
        <w:t xml:space="preserve">Why only one time point for pulses? You may have mentioned this above, but I can’t seem to find it now </w:t>
      </w:r>
      <w:r>
        <w:rPr>
          <w:rFonts w:ascii="Wingdings" w:hAnsi="Wingdings" w:eastAsia="Wingdings" w:cs="Wingdings"/>
          <w:lang w:val="en-US" w:eastAsia="en-US" w:bidi="en-US"/>
        </w:rPr>
        <w:t></w:t>
      </w:r>
      <w:r>
        <w:rPr>
          <w:rFonts w:ascii="Liberation Serif" w:hAnsi="Liberation Serif" w:eastAsia="DejaVu Sans" w:cs="DejaVu Sans"/>
          <w:lang w:val="en-US" w:eastAsia="en-US" w:bidi="en-US"/>
        </w:rPr>
        <w:t xml:space="preserve"> </w:t>
      </w:r>
    </w:p>
  </w:comment>
  <w:comment w:id="35" w:author="Samuel Robinson" w:date="2020-10-15T15:11: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11:01): "..."</w:t>
      </w:r>
    </w:p>
    <w:p>
      <w:r>
        <w:rPr>
          <w:rFonts w:ascii="Liberation Serif" w:hAnsi="Liberation Serif" w:eastAsia="DejaVu Sans" w:cs="DejaVu Sans"/>
          <w:sz w:val="20"/>
          <w:lang w:val="en-US" w:eastAsia="en-US" w:bidi="ar-SA"/>
        </w:rPr>
        <w:t>Mentioned in Discussion</w:t>
      </w:r>
    </w:p>
  </w:comment>
  <w:comment w:id="36" w:author="Vickruck, Jessica" w:date="2020-09-29T10:37:00Z" w:initials="VJ">
    <w:p>
      <w:r>
        <w:rPr>
          <w:rFonts w:ascii="Liberation Serif" w:hAnsi="Liberation Serif" w:eastAsia="DejaVu Sans" w:cs="DejaVu Sans"/>
          <w:lang w:val="en-US" w:eastAsia="en-US" w:bidi="en-US"/>
        </w:rPr>
        <w:t xml:space="preserve">Overall comment. Figures should describe the </w:t>
      </w:r>
      <w:r>
        <w:rPr>
          <w:rFonts w:ascii="Liberation Serif" w:hAnsi="Liberation Serif" w:eastAsia="DejaVu Sans" w:cs="DejaVu Sans"/>
          <w:b/>
          <w:lang w:val="en-US" w:eastAsia="en-US" w:bidi="en-US"/>
        </w:rPr>
        <w:t>a</w:t>
      </w:r>
      <w:r>
        <w:rPr>
          <w:rFonts w:ascii="Liberation Serif" w:hAnsi="Liberation Serif" w:eastAsia="DejaVu Sans" w:cs="DejaVu Sans"/>
          <w:lang w:val="en-US" w:eastAsia="en-US" w:bidi="en-US"/>
        </w:rPr>
        <w:t xml:space="preserve"> through </w:t>
      </w:r>
      <w:r>
        <w:rPr>
          <w:rFonts w:ascii="Liberation Serif" w:hAnsi="Liberation Serif" w:eastAsia="DejaVu Sans" w:cs="DejaVu Sans"/>
          <w:b/>
          <w:lang w:val="en-US" w:eastAsia="en-US" w:bidi="en-US"/>
        </w:rPr>
        <w:t>d</w:t>
      </w:r>
      <w:r>
        <w:rPr>
          <w:rFonts w:ascii="Liberation Serif" w:hAnsi="Liberation Serif" w:eastAsia="DejaVu Sans" w:cs="DejaVu Sans"/>
          <w:lang w:val="en-US" w:eastAsia="en-US" w:bidi="en-US"/>
        </w:rPr>
        <w:t xml:space="preserve"> for the reader.</w:t>
      </w:r>
    </w:p>
  </w:comment>
  <w:comment w:id="37" w:author="Samuel Robinson" w:date="2020-10-21T13:54:19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10:37): "..."</w:t>
      </w:r>
    </w:p>
    <w:p>
      <w:r>
        <w:rPr>
          <w:rFonts w:ascii="Liberation Serif" w:hAnsi="Liberation Serif" w:eastAsia="DejaVu Sans" w:cs="DejaVu Sans"/>
          <w:sz w:val="20"/>
          <w:lang w:val="en-US" w:eastAsia="en-US" w:bidi="ar-SA"/>
        </w:rPr>
        <w:t>Changed</w:t>
      </w:r>
    </w:p>
  </w:comment>
  <w:comment w:id="38" w:author="Vickruck, Jessica" w:date="2020-09-29T10:35:00Z" w:initials="VJ">
    <w:p>
      <w:r>
        <w:rPr>
          <w:rFonts w:ascii="Liberation Serif" w:hAnsi="Liberation Serif" w:eastAsia="DejaVu Sans" w:cs="DejaVu Sans"/>
          <w:lang w:val="en-US" w:eastAsia="en-US" w:bidi="en-US"/>
        </w:rPr>
        <w:t>I am not sure if something happened here; but I see the colours as blue, purple and red. The blue and the red are particularly hard to tease apart in the graphs.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To make it easier on the reader, if you are going to refer to them as early, mid and late season effects, then I would use those as your figure labels throughout as well.</w:t>
      </w:r>
    </w:p>
  </w:comment>
  <w:comment w:id="39" w:author="Samuel Robinson" w:date="2020-10-15T15:39:0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10:35): "..."</w:t>
      </w:r>
    </w:p>
    <w:p>
      <w:r>
        <w:rPr>
          <w:rFonts w:ascii="Liberation Serif" w:hAnsi="Liberation Serif" w:eastAsia="DejaVu Sans" w:cs="DejaVu Sans"/>
          <w:sz w:val="20"/>
          <w:lang w:val="en-US" w:eastAsia="en-US" w:bidi="ar-SA"/>
        </w:rPr>
        <w:t>Fixed the wording, but I don’t really think there’s any way around using these colours, unless we removed confidence intervals. Changed Date to Early, Mid, and Late</w:t>
      </w:r>
    </w:p>
  </w:comment>
  <w:comment w:id="41" w:author="Vickruck, Jessica" w:date="2020-09-29T11:19:00Z" w:initials="VJ">
    <w:p>
      <w:r>
        <w:rPr>
          <w:rFonts w:ascii="Liberation Serif" w:hAnsi="Liberation Serif" w:eastAsia="DejaVu Sans" w:cs="DejaVu Sans"/>
          <w:lang w:val="en-US" w:eastAsia="en-US" w:bidi="en-US"/>
        </w:rPr>
        <w:t>I think it would be helpful for the reader to talk about each species in a separate paragraph, especially since the figures don’t have the same components.</w:t>
      </w:r>
    </w:p>
  </w:comment>
  <w:comment w:id="42" w:author="Samuel Robinson" w:date="2020-10-21T13:46:30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11:19): "..."</w:t>
      </w:r>
    </w:p>
    <w:p>
      <w:r>
        <w:rPr>
          <w:rFonts w:ascii="Liberation Serif" w:hAnsi="Liberation Serif" w:eastAsia="DejaVu Sans" w:cs="DejaVu Sans"/>
          <w:sz w:val="20"/>
          <w:lang w:val="en-US" w:eastAsia="en-US" w:bidi="ar-SA"/>
        </w:rPr>
        <w:t>Separated into different paragraphs</w:t>
      </w:r>
    </w:p>
  </w:comment>
  <w:comment w:id="40" w:author="Vickruck, Jessica" w:date="2020-09-29T11:06:00Z" w:initials="VJ">
    <w:p>
      <w:r>
        <w:rPr>
          <w:rFonts w:ascii="Liberation Serif" w:hAnsi="Liberation Serif" w:eastAsia="DejaVu Sans" w:cs="DejaVu Sans"/>
          <w:lang w:val="en-US" w:eastAsia="en-US" w:bidi="en-US"/>
        </w:rPr>
        <w:t>This sentence contradicts itself.</w:t>
      </w:r>
    </w:p>
  </w:comment>
  <w:comment w:id="43" w:author="Vickruck, Jessica" w:date="2020-09-29T11:08:00Z" w:initials="VJ">
    <w:p>
      <w:r>
        <w:rPr>
          <w:rFonts w:ascii="Liberation Serif" w:hAnsi="Liberation Serif" w:eastAsia="DejaVu Sans" w:cs="DejaVu Sans"/>
          <w:lang w:val="en-US" w:eastAsia="en-US" w:bidi="en-US"/>
        </w:rPr>
        <w:t>Same comments on terminology as above</w:t>
      </w:r>
    </w:p>
  </w:comment>
  <w:comment w:id="44" w:author="Vickruck, Jessica" w:date="2020-09-29T11:09:00Z" w:initials="VJ">
    <w:p>
      <w:r>
        <w:rPr>
          <w:rFonts w:ascii="Liberation Serif" w:hAnsi="Liberation Serif" w:eastAsia="DejaVu Sans" w:cs="DejaVu Sans"/>
          <w:lang w:val="en-US" w:eastAsia="en-US" w:bidi="en-US"/>
        </w:rPr>
        <w:t>There is not part f to the figure.</w:t>
      </w:r>
    </w:p>
  </w:comment>
  <w:comment w:id="45" w:author="Vickruck, Jessica" w:date="2020-09-29T11:17:00Z" w:initials="VJ">
    <w:p>
      <w:r>
        <w:rPr>
          <w:rFonts w:ascii="Liberation Serif" w:hAnsi="Liberation Serif" w:eastAsia="DejaVu Sans" w:cs="DejaVu Sans"/>
          <w:lang w:val="en-US" w:eastAsia="en-US" w:bidi="en-US"/>
        </w:rPr>
        <w:t>Panel D on ParDisdLandscape is “Woodland” and in ParMoeLandscape is “Pulse Effect”, but either is trees and shrubs.</w:t>
      </w:r>
    </w:p>
  </w:comment>
  <w:comment w:id="46" w:author="Vickruck, Jessica" w:date="2020-09-29T11:22:00Z" w:initials="VJ">
    <w:p>
      <w:r>
        <w:rPr>
          <w:rFonts w:ascii="Liberation Serif" w:hAnsi="Liberation Serif" w:eastAsia="DejaVu Sans" w:cs="DejaVu Sans"/>
          <w:lang w:val="en-US" w:eastAsia="en-US" w:bidi="en-US"/>
        </w:rPr>
        <w:t>I believe this is the first time you have mentioned pivot corners in the manuscript.</w:t>
      </w:r>
    </w:p>
  </w:comment>
  <w:comment w:id="47" w:author="Vickruck, Jessica" w:date="2020-09-29T11:24:00Z" w:initials="VJ">
    <w:p>
      <w:r>
        <w:rPr>
          <w:rFonts w:ascii="Liberation Serif" w:hAnsi="Liberation Serif" w:eastAsia="DejaVu Sans" w:cs="DejaVu Sans"/>
          <w:lang w:val="en-US" w:eastAsia="en-US" w:bidi="en-US"/>
        </w:rPr>
        <w:t>I would save this bit for the discussion.</w:t>
      </w:r>
    </w:p>
  </w:comment>
  <w:comment w:id="49"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48" w:author="Vickruck, Jessica" w:date="2020-09-29T10:41:00Z" w:initials="VJ">
    <w:p>
      <w:r>
        <w:rPr>
          <w:rFonts w:ascii="Liberation Serif" w:hAnsi="Liberation Serif" w:eastAsia="DejaVu Sans" w:cs="DejaVu Sans"/>
          <w:lang w:val="en-US" w:eastAsia="en-US" w:bidi="en-US"/>
        </w:rPr>
        <w:t>I agree, this table is great.</w:t>
      </w:r>
    </w:p>
  </w:comment>
  <w:comment w:id="50"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51" w:author="Vickruck, Jessica" w:date="2020-09-29T12:41:00Z" w:initials="VJ">
    <w:p>
      <w:r>
        <w:rPr>
          <w:rFonts w:ascii="Liberation Serif" w:hAnsi="Liberation Serif" w:eastAsia="DejaVu Sans" w:cs="DejaVu Sans"/>
          <w:lang w:val="en-US" w:eastAsia="en-US" w:bidi="en-US"/>
        </w:rPr>
        <w:t xml:space="preserve">Start here </w:t>
      </w:r>
    </w:p>
  </w:comment>
  <w:comment w:id="52" w:author="Samuel Robinson" w:date="2020-10-21T13:57:09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12:41): "..."</w:t>
      </w:r>
    </w:p>
    <w:p>
      <w:r>
        <w:rPr>
          <w:rFonts w:ascii="Liberation Serif" w:hAnsi="Liberation Serif" w:eastAsia="DejaVu Sans" w:cs="DejaVu Sans"/>
          <w:sz w:val="20"/>
          <w:lang w:val="en-US" w:eastAsia="en-US" w:bidi="ar-SA"/>
        </w:rPr>
        <w:t>???</w:t>
      </w:r>
    </w:p>
  </w:comment>
  <w:comment w:id="53" w:author="Vickruck, Jessica" w:date="2020-09-29T15:31:00Z" w:initials="VJ">
    <w:p>
      <w:r>
        <w:rPr>
          <w:rFonts w:ascii="Liberation Serif" w:hAnsi="Liberation Serif" w:eastAsia="DejaVu Sans" w:cs="DejaVu Sans"/>
          <w:lang w:val="en-US" w:eastAsia="en-US" w:bidi="en-US"/>
        </w:rPr>
        <w:t>I removed this because I was waiting to hear what is was more active than ;)</w:t>
      </w:r>
    </w:p>
  </w:comment>
  <w:comment w:id="54" w:author="Samuel Robinson" w:date="2020-10-21T13:57:18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15:31): "..."</w:t>
      </w:r>
    </w:p>
    <w:p>
      <w:r>
        <w:rPr>
          <w:rFonts w:ascii="Liberation Serif" w:hAnsi="Liberation Serif" w:eastAsia="DejaVu Sans" w:cs="DejaVu Sans"/>
          <w:sz w:val="20"/>
          <w:lang w:val="en-US" w:eastAsia="en-US" w:bidi="ar-SA"/>
        </w:rPr>
        <w:t>Changed</w:t>
      </w:r>
    </w:p>
  </w:comment>
  <w:comment w:id="55" w:author="Vickruck, Jessica" w:date="2020-09-29T15:32:00Z" w:initials="VJ">
    <w:p>
      <w:r>
        <w:rPr>
          <w:rFonts w:ascii="Liberation Serif" w:hAnsi="Liberation Serif" w:eastAsia="DejaVu Sans" w:cs="DejaVu Sans"/>
          <w:lang w:val="en-US" w:eastAsia="en-US" w:bidi="en-US"/>
        </w:rPr>
        <w:t>I think I know what you mean here, but biologically roads can’t be actual habitat (unless you really think that they are living on the roads!)</w:t>
      </w:r>
    </w:p>
  </w:comment>
  <w:comment w:id="56" w:author="Samuel Robinson" w:date="2020-10-21T13:58:07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15:32): "..."</w:t>
      </w:r>
    </w:p>
    <w:p>
      <w:r>
        <w:rPr>
          <w:rFonts w:ascii="Liberation Serif" w:hAnsi="Liberation Serif" w:eastAsia="DejaVu Sans" w:cs="DejaVu Sans"/>
          <w:sz w:val="20"/>
          <w:lang w:val="en-US" w:eastAsia="en-US" w:bidi="ar-SA"/>
        </w:rPr>
        <w:t>Changed</w:t>
      </w:r>
    </w:p>
  </w:comment>
  <w:comment w:id="57" w:author="Vickruck, Jessica" w:date="2020-09-29T15:33:00Z" w:initials="VJ">
    <w:p>
      <w:r>
        <w:rPr>
          <w:rFonts w:ascii="Liberation Serif" w:hAnsi="Liberation Serif" w:eastAsia="DejaVu Sans" w:cs="DejaVu Sans"/>
          <w:lang w:val="en-US" w:eastAsia="en-US" w:bidi="en-US"/>
        </w:rPr>
        <w:t xml:space="preserve">Perhaps remind your reader that </w:t>
      </w:r>
      <w:r>
        <w:rPr>
          <w:rFonts w:ascii="Liberation Serif" w:hAnsi="Liberation Serif" w:eastAsia="DejaVu Sans" w:cs="DejaVu Sans"/>
          <w:i/>
          <w:lang w:val="en-US" w:eastAsia="en-US" w:bidi="en-US"/>
        </w:rPr>
        <w:t xml:space="preserve">Pardosa </w:t>
      </w:r>
      <w:r>
        <w:rPr>
          <w:rFonts w:ascii="Liberation Serif" w:hAnsi="Liberation Serif" w:eastAsia="DejaVu Sans" w:cs="DejaVu Sans"/>
          <w:lang w:val="en-US" w:eastAsia="en-US" w:bidi="en-US"/>
        </w:rPr>
        <w:t>is in the family Lycosidae (most won’t know I don’t think).</w:t>
      </w:r>
    </w:p>
  </w:comment>
  <w:comment w:id="58" w:author="Samuel Robinson" w:date="2020-10-21T13:58:36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15:33): "..."</w:t>
      </w:r>
    </w:p>
    <w:p>
      <w:r>
        <w:rPr>
          <w:rFonts w:ascii="Liberation Serif" w:hAnsi="Liberation Serif" w:eastAsia="DejaVu Sans" w:cs="DejaVu Sans"/>
          <w:sz w:val="20"/>
          <w:lang w:val="en-US" w:eastAsia="en-US" w:bidi="ar-SA"/>
        </w:rPr>
        <w:t>Changed</w:t>
      </w:r>
    </w:p>
  </w:comment>
  <w:comment w:id="60"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59" w:author="Vickruck, Jessica" w:date="2020-09-29T15:37:00Z" w:initials="VJ">
    <w:p>
      <w:r>
        <w:rPr>
          <w:rFonts w:ascii="Liberation Serif" w:hAnsi="Liberation Serif" w:eastAsia="DejaVu Sans" w:cs="DejaVu Sans"/>
          <w:lang w:val="en-US" w:eastAsia="en-US" w:bidi="en-US"/>
        </w:rPr>
        <w:t>Ah I was just coming here to say the same thing! You have done a great job of putting your results in the context of the literature, but what does it all mean biologically?! What should producers be doing to maximize their ecosystem services from these species? (Or is it worth their time??)</w:t>
      </w:r>
    </w:p>
  </w:comment>
  <w:comment w:id="61" w:author="Samuel Robinson" w:date="2020-10-21T13:58:43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15:37): "..."</w:t>
      </w:r>
    </w:p>
    <w:p>
      <w:r>
        <w:rPr>
          <w:rFonts w:ascii="Liberation Serif" w:hAnsi="Liberation Serif" w:eastAsia="DejaVu Sans" w:cs="DejaVu Sans"/>
          <w:sz w:val="20"/>
          <w:lang w:val="en-US" w:eastAsia="en-US" w:bidi="ar-SA"/>
        </w:rPr>
        <w:t>Really hard to say whether it’s worth their time, because we don’t know how much predation is going on. However, I’ll give it a shot.</w:t>
      </w:r>
    </w:p>
  </w:comment>
  <w:comment w:id="62" w:author="Vickruck, Jessica" w:date="2020-09-29T11:04:00Z" w:initials="VJ">
    <w:p>
      <w:r>
        <w:rPr>
          <w:rFonts w:ascii="Liberation Serif" w:hAnsi="Liberation Serif" w:eastAsia="DejaVu Sans" w:cs="DejaVu Sans"/>
          <w:lang w:val="en-US" w:eastAsia="en-US" w:bidi="en-US"/>
        </w:rPr>
        <w:t xml:space="preserve">I would suggest flushing these out a bit more. (I know they are only going in the supplemental, but I still would ;)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 w:name="Wingdings">
    <w:charset w:val="01"/>
    <w:family w:val="roman"/>
    <w:pitch w:val="variable"/>
  </w:font>
</w:fonts>
</file>

<file path=word/settings.xml><?xml version="1.0" encoding="utf-8"?>
<w:settings xmlns:w="http://schemas.openxmlformats.org/wordprocessingml/2006/main">
  <w:zoom w:percent="9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Application>LibreOffice/6.0.7.3$Linux_X86_64 LibreOffice_project/00m0$Build-3</Application>
  <Pages>30</Pages>
  <Words>7432</Words>
  <Characters>43219</Characters>
  <CharactersWithSpaces>49969</CharactersWithSpaces>
  <Paragraphs>647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2020-09-29T18:39:00Z</dcterms:created>
  <dc:creator>Samuel Robinson;Paul Galpern</dc:creator>
  <dc:description/>
  <dc:language>en-CA</dc:language>
  <cp:lastModifiedBy>Samuel Robinson</cp:lastModifiedBy>
  <dcterms:modified xsi:type="dcterms:W3CDTF">2020-10-21T13:59:18Z</dcterms:modified>
  <cp:revision>5</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