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commentRangeStart w:id="0"/>
      <w:r>
        <w:rPr/>
        <w:t>Preamble</w:t>
      </w:r>
      <w:r>
        <w:rPr/>
      </w:r>
      <w:commentRangeEnd w:id="0"/>
      <w:r>
        <w:commentReference w:id="0"/>
      </w:r>
      <w:r>
        <w:rPr/>
        <w:t>... we thank the reviewers for their feedback, etcetera</w:t>
      </w:r>
    </w:p>
    <w:p>
      <w:pPr>
        <w:pStyle w:val="Normal"/>
        <w:rPr/>
      </w:pPr>
      <w:r>
        <w:rPr/>
      </w:r>
    </w:p>
    <w:p>
      <w:pPr>
        <w:pStyle w:val="Normal"/>
        <w:rPr/>
      </w:pPr>
      <w:r>
        <w:rPr/>
      </w:r>
    </w:p>
    <w:p>
      <w:pPr>
        <w:pStyle w:val="Normal"/>
        <w:rPr/>
      </w:pPr>
      <w:commentRangeStart w:id="1"/>
      <w:r>
        <w:rPr/>
        <w:t>Response to Reviewers</w:t>
      </w:r>
      <w:r>
        <w:rPr/>
      </w:r>
      <w:commentRangeEnd w:id="1"/>
      <w:r>
        <w:commentReference w:id="1"/>
      </w:r>
      <w:r>
        <w:rPr/>
        <w:t>:</w:t>
      </w:r>
    </w:p>
    <w:p>
      <w:pPr>
        <w:pStyle w:val="Normal"/>
        <w:rPr/>
      </w:pPr>
      <w:r>
        <w:rPr/>
      </w:r>
    </w:p>
    <w:p>
      <w:pPr>
        <w:pStyle w:val="Normal"/>
        <w:rPr>
          <w:u w:val="single"/>
        </w:rPr>
      </w:pPr>
      <w:r>
        <w:rPr>
          <w:u w:val="single"/>
        </w:rPr>
        <w:t>Reviewer 1</w:t>
      </w:r>
    </w:p>
    <w:p>
      <w:pPr>
        <w:pStyle w:val="Normal"/>
        <w:rPr/>
      </w:pPr>
      <w:r>
        <w:rPr/>
      </w:r>
    </w:p>
    <w:p>
      <w:pPr>
        <w:pStyle w:val="Normal"/>
        <w:rPr>
          <w:i/>
          <w:i/>
          <w:iCs/>
        </w:rPr>
      </w:pPr>
      <w:r>
        <w:rPr>
          <w:i/>
          <w:iCs/>
        </w:rPr>
        <w:t>L49-50. Ok but did you address this issue in the present study?</w:t>
      </w:r>
    </w:p>
    <w:p>
      <w:pPr>
        <w:pStyle w:val="Normal"/>
        <w:rPr/>
      </w:pPr>
      <w:r>
        <w:rPr/>
      </w:r>
    </w:p>
    <w:p>
      <w:pPr>
        <w:pStyle w:val="Normal"/>
        <w:rPr>
          <w:i/>
          <w:i/>
          <w:iCs/>
        </w:rPr>
      </w:pPr>
      <w:r>
        <w:rPr/>
        <w:t xml:space="preserve">We did not explicitly document the life-history characteristics of the predatory arthropods in our study, so we removed this sentence. </w:t>
      </w:r>
    </w:p>
    <w:p>
      <w:pPr>
        <w:pStyle w:val="Normal"/>
        <w:rPr>
          <w:i/>
          <w:i/>
          <w:iCs/>
        </w:rPr>
      </w:pPr>
      <w:r>
        <w:rPr>
          <w:i/>
          <w:iCs/>
        </w:rPr>
      </w:r>
    </w:p>
    <w:p>
      <w:pPr>
        <w:pStyle w:val="Normal"/>
        <w:rPr>
          <w:i/>
          <w:i/>
          <w:iCs/>
        </w:rPr>
      </w:pPr>
      <w:r>
        <w:rPr>
          <w:i/>
          <w:iCs/>
        </w:rPr>
        <w:t>L72. "Canola" At this stage, there is no justification of the choice of canola as a focus crop model. The rational for this choice should appear here or before in the text</w:t>
      </w:r>
    </w:p>
    <w:p>
      <w:pPr>
        <w:pStyle w:val="Normal"/>
        <w:rPr/>
      </w:pPr>
      <w:r>
        <w:rPr/>
      </w:r>
    </w:p>
    <w:p>
      <w:pPr>
        <w:pStyle w:val="Normal"/>
        <w:rPr>
          <w:i/>
          <w:i/>
          <w:iCs/>
        </w:rPr>
      </w:pPr>
      <w:r>
        <w:rPr/>
        <w:t>Canola is one of the most commonly-planted crops in southern Alberta, and was one of the focal crops for an earlier study (Vickruck et al. 2019), of which this study is a continuation. We have added a few sentences to justify the use of canola crops.</w:t>
      </w:r>
    </w:p>
    <w:p>
      <w:pPr>
        <w:pStyle w:val="Normal"/>
        <w:rPr>
          <w:i/>
          <w:i/>
          <w:iCs/>
        </w:rPr>
      </w:pPr>
      <w:r>
        <w:rPr>
          <w:i/>
          <w:iCs/>
        </w:rPr>
      </w:r>
    </w:p>
    <w:p>
      <w:pPr>
        <w:pStyle w:val="Normal"/>
        <w:rPr>
          <w:i/>
          <w:i/>
          <w:iCs/>
        </w:rPr>
      </w:pPr>
      <w:r>
        <w:rPr>
          <w:i/>
          <w:iCs/>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rPr>
          <w:i/>
          <w:i/>
          <w:iCs/>
        </w:rPr>
      </w:pPr>
      <w:r>
        <w:rPr>
          <w:i/>
          <w:iCs/>
        </w:rPr>
      </w:r>
    </w:p>
    <w:p>
      <w:pPr>
        <w:pStyle w:val="Normal"/>
        <w:rPr>
          <w:i/>
          <w:i/>
          <w:iCs/>
        </w:rPr>
      </w:pPr>
      <w:r>
        <w:rPr/>
        <w:t xml:space="preserve">The reviewer is correct that many other management practices could influence arthropod abundances, but we have no information on surrounding fertilizer treatments or mowing practices, and the effect of crop rotation was beyond the scope of the study. No-till practices are common in Alberta (82% of cropped areas in Vulcan County used no-till, Statistics Canada 2016), but again, we did not aim to gather specific information in and around the sampling areas. As mentioned in the text (L300 in original manuscript), there is some evidence of crop rotations causing increased carabid abundance (Bertrand et al. 2016, Busch 2016), and crop rotation information would be accessible from previous years’ classified landscape data, but this was </w:t>
      </w:r>
      <w:commentRangeStart w:id="2"/>
      <w:r>
        <w:rPr/>
        <w:t>beyond the scope of our study</w:t>
      </w:r>
      <w:r>
        <w:rPr/>
      </w:r>
      <w:commentRangeEnd w:id="2"/>
      <w:r>
        <w:commentReference w:id="2"/>
      </w:r>
      <w:r>
        <w:rPr/>
        <w:commentReference w:id="3"/>
      </w:r>
      <w:r>
        <w:rPr/>
        <w:t xml:space="preserve">, and we would likely not have enough data to estimate the effects of both crop rotation history and the spatio-temporal effects of the surrounding landscape. </w:t>
      </w:r>
    </w:p>
    <w:p>
      <w:pPr>
        <w:pStyle w:val="Normal"/>
        <w:rPr>
          <w:i/>
          <w:i/>
          <w:iCs/>
        </w:rPr>
      </w:pPr>
      <w:r>
        <w:rPr>
          <w:i/>
          <w:iCs/>
        </w:rPr>
      </w:r>
    </w:p>
    <w:p>
      <w:pPr>
        <w:pStyle w:val="Normal"/>
        <w:rPr>
          <w:i/>
          <w:i/>
          <w:iCs/>
        </w:rPr>
      </w:pPr>
      <w:r>
        <w:rPr>
          <w:i/>
          <w:iCs/>
        </w:rPr>
        <w:t>L73. "grassy field edges" Is in-field an appropriate name for the category? Is a grassy field margin not more similar to a road margin than to an agricultural field?</w:t>
      </w:r>
    </w:p>
    <w:p>
      <w:pPr>
        <w:pStyle w:val="Normal"/>
        <w:rPr>
          <w:i/>
          <w:i/>
          <w:iCs/>
        </w:rPr>
      </w:pPr>
      <w:r>
        <w:rPr>
          <w:i/>
          <w:iCs/>
        </w:rPr>
      </w:r>
    </w:p>
    <w:p>
      <w:pPr>
        <w:pStyle w:val="Normal"/>
        <w:rPr/>
      </w:pPr>
      <w:r>
        <w:rPr/>
        <w:t>The grassy field edges we describe here are actually the grassy corners of central-pivot irrigated fields. While road margins are managed by mowing alone, pivot corners are variously grazed, mowed, or even cultivated. They also differ in their topology, as pivot corners have a core region (centre of the corner region) while road margins are essentially “all edge”.</w:t>
      </w:r>
    </w:p>
    <w:p>
      <w:pPr>
        <w:pStyle w:val="Normal"/>
        <w:rPr>
          <w:i/>
          <w:i/>
          <w:iCs/>
        </w:rPr>
      </w:pPr>
      <w:r>
        <w:rPr>
          <w:i/>
          <w:iCs/>
        </w:rPr>
      </w:r>
    </w:p>
    <w:p>
      <w:pPr>
        <w:pStyle w:val="Normal"/>
        <w:rPr>
          <w:i/>
          <w:i/>
          <w:iCs/>
        </w:rPr>
      </w:pPr>
      <w:r>
        <w:rPr>
          <w:i/>
          <w:iCs/>
        </w:rPr>
        <w:t>L73. "remnant prairie grasslands" What is it exactly?</w:t>
      </w:r>
    </w:p>
    <w:p>
      <w:pPr>
        <w:pStyle w:val="Normal"/>
        <w:rPr>
          <w:i/>
          <w:i/>
          <w:iCs/>
        </w:rPr>
      </w:pPr>
      <w:r>
        <w:rPr>
          <w:i/>
          <w:iCs/>
        </w:rPr>
      </w:r>
    </w:p>
    <w:p>
      <w:pPr>
        <w:pStyle w:val="Normal"/>
        <w:rPr>
          <w:i/>
          <w:i/>
          <w:iCs/>
        </w:rPr>
      </w:pPr>
      <w:r>
        <w:rPr/>
        <w:t>They are uncultivated grasslands primarily composed of native grasses and herbs. They are typically grazed by cattle, but are not usually used for harvesting hay or fodder.</w:t>
      </w:r>
    </w:p>
    <w:p>
      <w:pPr>
        <w:pStyle w:val="Normal"/>
        <w:rPr>
          <w:i/>
          <w:i/>
          <w:iCs/>
        </w:rPr>
      </w:pPr>
      <w:r>
        <w:rPr>
          <w:i/>
          <w:iCs/>
        </w:rPr>
      </w:r>
    </w:p>
    <w:p>
      <w:pPr>
        <w:pStyle w:val="Normal"/>
        <w:rPr>
          <w:i/>
          <w:i/>
          <w:iCs/>
        </w:rPr>
      </w:pPr>
      <w:r>
        <w:rPr>
          <w:i/>
          <w:iCs/>
        </w:rPr>
        <w:t xml:space="preserve">L74-75. </w:t>
      </w:r>
      <w:commentRangeStart w:id="4"/>
      <w:commentRangeStart w:id="5"/>
      <w:r>
        <w:rPr>
          <w:i/>
          <w:iCs/>
        </w:rPr>
        <w:t xml:space="preserve">I did not fully understand the design (fields/transects/other sites). </w:t>
      </w:r>
      <w:r>
        <w:rPr>
          <w:i/>
          <w:iCs/>
        </w:rPr>
      </w:r>
      <w:commentRangeEnd w:id="5"/>
      <w:r>
        <w:commentReference w:id="5"/>
      </w:r>
      <w:r>
        <w:rPr>
          <w:i/>
          <w:iCs/>
        </w:rPr>
      </w:r>
      <w:commentRangeEnd w:id="4"/>
      <w:r>
        <w:commentReference w:id="4"/>
      </w:r>
      <w:r>
        <w:rPr>
          <w:i/>
          <w:iCs/>
        </w:rPr>
        <w:commentReference w:id="6"/>
      </w:r>
      <w:r>
        <w:rPr>
          <w:i/>
          <w:iCs/>
        </w:rPr>
        <w:t>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rPr>
          <w:i/>
          <w:i/>
          <w:iCs/>
        </w:rPr>
      </w:pPr>
      <w:r>
        <w:rPr>
          <w:i/>
          <w:iCs/>
        </w:rPr>
      </w:r>
    </w:p>
    <w:p>
      <w:pPr>
        <w:pStyle w:val="Normal"/>
        <w:rPr>
          <w:i/>
          <w:i/>
          <w:iCs/>
        </w:rPr>
      </w:pPr>
      <w:r>
        <w:rPr/>
        <w:t>We updated the map in Figure 1 to clarify this, and provided two small inset maps to show the sampling design in greater detail.</w:t>
      </w:r>
    </w:p>
    <w:p>
      <w:pPr>
        <w:pStyle w:val="Normal"/>
        <w:rPr>
          <w:i/>
          <w:i/>
          <w:iCs/>
        </w:rPr>
      </w:pPr>
      <w:r>
        <w:rPr>
          <w:i/>
          <w:iCs/>
        </w:rPr>
      </w:r>
    </w:p>
    <w:p>
      <w:pPr>
        <w:pStyle w:val="Normal"/>
        <w:rPr/>
      </w:pPr>
      <w:r>
        <w:rPr>
          <w:i/>
          <w:iCs/>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rPr>
          <w:i/>
          <w:i/>
          <w:iCs/>
        </w:rPr>
      </w:pPr>
      <w:r>
        <w:rPr>
          <w:i/>
          <w:iCs/>
        </w:rPr>
      </w:r>
    </w:p>
    <w:p>
      <w:pPr>
        <w:pStyle w:val="Normal"/>
        <w:rPr/>
      </w:pPr>
      <w:commentRangeStart w:id="7"/>
      <w:commentRangeStart w:id="8"/>
      <w:r>
        <w:rPr/>
        <w:t>We ran an additional set of models using circles buffers of increasing radius, and chose the best-fitting model to compare to the annular regression. We found that generally, functional regression provides a better fit (in terms of AIC scores) than the “traditional” radial regression. Table 3 in the revised manuscript compares the null model (no landscape terms), our functional regression model, and the traditional radial model.</w:t>
      </w:r>
      <w:r>
        <w:rPr/>
      </w:r>
      <w:commentRangeEnd w:id="8"/>
      <w:r>
        <w:commentReference w:id="8"/>
      </w:r>
      <w:commentRangeEnd w:id="7"/>
      <w:r>
        <w:commentReference w:id="7"/>
      </w:r>
      <w:r>
        <w:rPr/>
      </w:r>
    </w:p>
    <w:p>
      <w:pPr>
        <w:pStyle w:val="Normal"/>
        <w:rPr>
          <w:i/>
          <w:i/>
          <w:iCs/>
        </w:rPr>
      </w:pPr>
      <w:r>
        <w:rPr>
          <w:i/>
          <w:iCs/>
        </w:rPr>
      </w:r>
    </w:p>
    <w:p>
      <w:pPr>
        <w:pStyle w:val="Normal"/>
        <w:rPr>
          <w:i/>
          <w:i/>
          <w:iCs/>
        </w:rPr>
      </w:pPr>
      <w:r>
        <w:rPr>
          <w:i/>
          <w:iCs/>
        </w:rPr>
        <w:t>L120. "Local and regional" Please use a consistent terminology through the whole ms (see my comment for Line 197).</w:t>
      </w:r>
    </w:p>
    <w:p>
      <w:pPr>
        <w:pStyle w:val="Normal"/>
        <w:rPr>
          <w:i/>
          <w:i/>
          <w:iCs/>
        </w:rPr>
      </w:pPr>
      <w:r>
        <w:rPr>
          <w:i/>
          <w:iCs/>
        </w:rPr>
      </w:r>
    </w:p>
    <w:p>
      <w:pPr>
        <w:pStyle w:val="Normal"/>
        <w:rPr>
          <w:i/>
          <w:i/>
          <w:iCs/>
        </w:rPr>
      </w:pPr>
      <w:r>
        <w:rPr/>
        <w:t>We have changed the terminology. See our comments below on line 197.</w:t>
      </w:r>
    </w:p>
    <w:p>
      <w:pPr>
        <w:pStyle w:val="Normal"/>
        <w:rPr>
          <w:i/>
          <w:i/>
          <w:iCs/>
        </w:rPr>
      </w:pPr>
      <w:r>
        <w:rPr>
          <w:i/>
          <w:iCs/>
        </w:rPr>
      </w:r>
    </w:p>
    <w:p>
      <w:pPr>
        <w:pStyle w:val="Normal"/>
        <w:rPr/>
      </w:pPr>
      <w:r>
        <w:rPr>
          <w:i/>
          <w:iCs/>
        </w:rPr>
        <w:t>L128. "grain" In my mind, this is the scale of effect that is varying when you change from a ring to another, rather than the relevant grain that refers to the degree of fineness in the description of landscape features</w:t>
      </w:r>
    </w:p>
    <w:p>
      <w:pPr>
        <w:pStyle w:val="Normal"/>
        <w:rPr>
          <w:i/>
          <w:i/>
          <w:iCs/>
        </w:rPr>
      </w:pPr>
      <w:r>
        <w:rPr>
          <w:i/>
          <w:iCs/>
        </w:rPr>
      </w:r>
    </w:p>
    <w:p>
      <w:pPr>
        <w:pStyle w:val="Normal"/>
        <w:rPr/>
      </w:pPr>
      <w:commentRangeStart w:id="9"/>
      <w:r>
        <w:rPr/>
        <w:t>We rewrote this sentence (and a sentence in the Introduction) to clarify that this refers to scale of landscape relevant to an organism, not the scale of description of landscape features.</w:t>
      </w:r>
      <w:commentRangeEnd w:id="9"/>
      <w:r>
        <w:commentReference w:id="9"/>
      </w:r>
      <w:r>
        <w:rPr/>
      </w:r>
    </w:p>
    <w:p>
      <w:pPr>
        <w:pStyle w:val="Normal"/>
        <w:rPr>
          <w:color w:val="C9211E"/>
        </w:rPr>
      </w:pPr>
      <w:r>
        <w:rPr>
          <w:color w:val="C9211E"/>
        </w:rPr>
      </w:r>
    </w:p>
    <w:p>
      <w:pPr>
        <w:pStyle w:val="Normal"/>
        <w:rPr/>
      </w:pPr>
      <w:r>
        <w:rPr>
          <w:i/>
          <w:iCs/>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rPr/>
      </w:pPr>
      <w:r>
        <w:rPr/>
      </w:r>
    </w:p>
    <w:p>
      <w:pPr>
        <w:pStyle w:val="Normal"/>
        <w:rPr/>
      </w:pPr>
      <w:r>
        <w:rPr/>
        <w:t xml:space="preserve">The reviewer is correct, in that we did not measure landscape composition at multiple times throughout the year. Rather, functional regression asks whether the relationship between abundance and proportion cover changes throughout the year (in Figure 2d, the slope of proportion cover on activity density is positive on day 100 and negative at day 200). “Average” here refers to the average coverage in all annuli surrounding a given location, not the average over time. </w:t>
      </w:r>
      <w:commentRangeStart w:id="10"/>
      <w:r>
        <w:rPr/>
        <w:t>We have rewritten lines 143 and lines 180-182 to clarify this.</w:t>
      </w:r>
      <w:commentRangeEnd w:id="10"/>
      <w:r>
        <w:commentReference w:id="10"/>
      </w:r>
      <w:r>
        <w:rPr/>
      </w:r>
    </w:p>
    <w:p>
      <w:pPr>
        <w:pStyle w:val="Normal"/>
        <w:rPr>
          <w:i/>
          <w:i/>
          <w:iCs/>
        </w:rPr>
      </w:pPr>
      <w:r>
        <w:rPr>
          <w:i/>
          <w:iCs/>
        </w:rPr>
      </w:r>
    </w:p>
    <w:p>
      <w:pPr>
        <w:pStyle w:val="Normal"/>
        <w:rPr>
          <w:i/>
          <w:i/>
          <w:iCs/>
        </w:rPr>
      </w:pPr>
      <w:r>
        <w:rPr>
          <w:i/>
          <w:iCs/>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rPr/>
      </w:pPr>
      <w:r>
        <w:rPr/>
      </w:r>
    </w:p>
    <w:p>
      <w:pPr>
        <w:pStyle w:val="Normal"/>
        <w:rPr/>
      </w:pPr>
      <w:r>
        <w:rPr/>
        <w:t>Changed “correlated” to “concurved”, as this is the measure we used to assess concurvity. We added a sentence describing how we visually examined the spatial nature of the concurvity to determine whether classes should be combined or excluded altogether.</w:t>
      </w:r>
    </w:p>
    <w:p>
      <w:pPr>
        <w:pStyle w:val="Normal"/>
        <w:rPr/>
      </w:pPr>
      <w:r>
        <w:rPr/>
      </w:r>
    </w:p>
    <w:p>
      <w:pPr>
        <w:pStyle w:val="Normal"/>
        <w:rPr>
          <w:i/>
          <w:i/>
          <w:iCs/>
        </w:rPr>
      </w:pPr>
      <w:r>
        <w:rPr>
          <w:i/>
          <w:iCs/>
        </w:rPr>
        <w:t>L161. "correlated" idem</w:t>
      </w:r>
    </w:p>
    <w:p>
      <w:pPr>
        <w:pStyle w:val="Normal"/>
        <w:rPr>
          <w:i/>
          <w:i/>
          <w:iCs/>
        </w:rPr>
      </w:pPr>
      <w:r>
        <w:rPr>
          <w:i/>
          <w:iCs/>
        </w:rPr>
      </w:r>
    </w:p>
    <w:p>
      <w:pPr>
        <w:pStyle w:val="Normal"/>
        <w:rPr/>
      </w:pPr>
      <w:r>
        <w:rPr/>
        <w:t>As above, changed “correlated” to “concurved”.</w:t>
      </w:r>
    </w:p>
    <w:p>
      <w:pPr>
        <w:pStyle w:val="Normal"/>
        <w:rPr>
          <w:i/>
          <w:i/>
          <w:iCs/>
        </w:rPr>
      </w:pPr>
      <w:r>
        <w:rPr>
          <w:i/>
          <w:iCs/>
        </w:rPr>
      </w:r>
    </w:p>
    <w:p>
      <w:pPr>
        <w:pStyle w:val="Normal"/>
        <w:rPr>
          <w:i/>
          <w:i/>
          <w:iCs/>
        </w:rPr>
      </w:pPr>
      <w:r>
        <w:rPr>
          <w:i/>
          <w:iCs/>
        </w:rPr>
        <w:t>L169. "both" ?</w:t>
      </w:r>
    </w:p>
    <w:p>
      <w:pPr>
        <w:pStyle w:val="Normal"/>
        <w:rPr>
          <w:i/>
          <w:i/>
          <w:iCs/>
        </w:rPr>
      </w:pPr>
      <w:r>
        <w:rPr>
          <w:i/>
          <w:iCs/>
        </w:rPr>
      </w:r>
    </w:p>
    <w:p>
      <w:pPr>
        <w:pStyle w:val="Normal"/>
        <w:rPr>
          <w:i/>
          <w:i/>
          <w:iCs/>
        </w:rPr>
      </w:pPr>
      <w:r>
        <w:rPr/>
        <w:t>Deleted “both”.</w:t>
      </w:r>
    </w:p>
    <w:p>
      <w:pPr>
        <w:pStyle w:val="Normal"/>
        <w:rPr>
          <w:i/>
          <w:i/>
          <w:iCs/>
        </w:rPr>
      </w:pPr>
      <w:r>
        <w:rPr>
          <w:i/>
          <w:iCs/>
        </w:rPr>
      </w:r>
    </w:p>
    <w:p>
      <w:pPr>
        <w:pStyle w:val="Normal"/>
        <w:rPr>
          <w:i/>
          <w:i/>
          <w:iCs/>
        </w:rPr>
      </w:pPr>
      <w:r>
        <w:rPr>
          <w:i/>
          <w:iCs/>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rPr>
          <w:i/>
          <w:i/>
          <w:iCs/>
        </w:rPr>
      </w:pPr>
      <w:r>
        <w:rPr>
          <w:i/>
          <w:iCs/>
        </w:rPr>
      </w:r>
    </w:p>
    <w:p>
      <w:pPr>
        <w:pStyle w:val="Normal"/>
        <w:rPr>
          <w:i/>
          <w:i/>
          <w:iCs/>
        </w:rPr>
      </w:pPr>
      <w:r>
        <w:rPr/>
        <w:t>We agree with this, and have changed “local-level” and “landscape-level” to “near” and “far” throughout the text.</w:t>
      </w:r>
    </w:p>
    <w:p>
      <w:pPr>
        <w:pStyle w:val="Normal"/>
        <w:rPr>
          <w:i/>
          <w:i/>
          <w:iCs/>
        </w:rPr>
      </w:pPr>
      <w:r>
        <w:rPr>
          <w:i/>
          <w:iCs/>
        </w:rPr>
      </w:r>
    </w:p>
    <w:p>
      <w:pPr>
        <w:pStyle w:val="Normal"/>
        <w:rPr>
          <w:i/>
          <w:i/>
          <w:iCs/>
        </w:rPr>
      </w:pPr>
      <w:r>
        <w:rPr>
          <w:i/>
          <w:iCs/>
        </w:rPr>
        <w:t>L221. "out of the crop" out of this type of crop</w:t>
      </w:r>
    </w:p>
    <w:p>
      <w:pPr>
        <w:pStyle w:val="Normal"/>
        <w:rPr>
          <w:i/>
          <w:i/>
          <w:iCs/>
        </w:rPr>
      </w:pPr>
      <w:r>
        <w:rPr>
          <w:i/>
          <w:iCs/>
        </w:rPr>
      </w:r>
    </w:p>
    <w:p>
      <w:pPr>
        <w:pStyle w:val="Normal"/>
        <w:rPr>
          <w:i/>
          <w:i/>
          <w:iCs/>
        </w:rPr>
      </w:pPr>
      <w:r>
        <w:rPr/>
        <w:t>Changed “out of the crop” to “out of pulses”.</w:t>
      </w:r>
    </w:p>
    <w:p>
      <w:pPr>
        <w:pStyle w:val="Normal"/>
        <w:rPr>
          <w:i/>
          <w:i/>
          <w:iCs/>
        </w:rPr>
      </w:pPr>
      <w:r>
        <w:rPr>
          <w:i/>
          <w:iCs/>
        </w:rPr>
      </w:r>
    </w:p>
    <w:p>
      <w:pPr>
        <w:pStyle w:val="Normal"/>
        <w:rPr>
          <w:i/>
          <w:i/>
          <w:iCs/>
        </w:rPr>
      </w:pPr>
      <w:r>
        <w:rPr>
          <w:i/>
          <w:iCs/>
        </w:rPr>
        <w:t>L223. "local" why local? In my mind s(E, N) explores the whole spatial coverage. It is difficult to extract relevant scale of clustering from Fig S3b.</w:t>
      </w:r>
    </w:p>
    <w:p>
      <w:pPr>
        <w:pStyle w:val="Normal"/>
        <w:rPr>
          <w:i/>
          <w:i/>
          <w:iCs/>
        </w:rPr>
      </w:pPr>
      <w:r>
        <w:rPr>
          <w:i/>
          <w:iCs/>
        </w:rPr>
      </w:r>
    </w:p>
    <w:p>
      <w:pPr>
        <w:pStyle w:val="Normal"/>
        <w:rPr/>
      </w:pPr>
      <w:r>
        <w:rPr/>
        <w:t xml:space="preserve">The reviewer is correct, as the </w:t>
      </w:r>
      <w:r>
        <w:rPr>
          <w:i/>
          <w:iCs/>
        </w:rPr>
        <w:t>s(E,N)</w:t>
      </w:r>
      <w:r>
        <w:rPr/>
        <w:t xml:space="preserve"> smoother models the entire spatial domain. Changed “local” to “large-scale”.</w:t>
      </w:r>
    </w:p>
    <w:p>
      <w:pPr>
        <w:pStyle w:val="Normal"/>
        <w:rPr/>
      </w:pPr>
      <w:r>
        <w:rPr/>
      </w:r>
    </w:p>
    <w:p>
      <w:pPr>
        <w:pStyle w:val="Normal"/>
        <w:rPr/>
      </w:pPr>
      <w:r>
        <w:rPr>
          <w:i/>
          <w:iCs/>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rPr/>
      </w:pPr>
      <w:r>
        <w:rPr/>
      </w:r>
    </w:p>
    <w:p>
      <w:pPr>
        <w:pStyle w:val="Normal"/>
        <w:rPr/>
      </w:pPr>
      <w:r>
        <w:rPr/>
        <w:t xml:space="preserve">Our statement (“Activity-density of both </w:t>
      </w:r>
      <w:r>
        <w:rPr>
          <w:i/>
          <w:iCs/>
        </w:rPr>
        <w:t>Pardosa</w:t>
      </w:r>
      <w:r>
        <w:rPr/>
        <w:t xml:space="preserve"> species had a strong temporal and spatial component, although the temporal component was dominant for </w:t>
      </w:r>
      <w:r>
        <w:rPr>
          <w:i/>
          <w:iCs/>
        </w:rPr>
        <w:t>P. distincta</w:t>
      </w:r>
      <w:r>
        <w:rPr/>
        <w:t xml:space="preserve">, whereas the spatial component was dominant for </w:t>
      </w:r>
      <w:r>
        <w:rPr>
          <w:i/>
          <w:iCs/>
        </w:rPr>
        <w:t>P. moesta</w:t>
      </w:r>
      <w:r>
        <w:rPr/>
        <w:t xml:space="preserve">”) is consistent with both tables, as Table S4 shows s(Day) as significant and s(E,N) as not significant, while Table S6 shows s(Day) as not significant and s(E,N) as significant. </w:t>
      </w:r>
    </w:p>
    <w:p>
      <w:pPr>
        <w:pStyle w:val="Normal"/>
        <w:rPr/>
      </w:pPr>
      <w:r>
        <w:rPr/>
      </w:r>
    </w:p>
    <w:p>
      <w:pPr>
        <w:pStyle w:val="Normal"/>
        <w:rPr/>
      </w:pPr>
      <w:r>
        <w:rPr/>
        <w:t>To respond to the reviewer’s comments on spatial patterns being hard to detect in Figures S4b and S5b, we have fixed the limits of the y-axis on Figures S3a-S6a and the limits of the colour scheme on Figures S3b-S6b to the same values across all figures in order to accurately depict the range of variation captured by the spatial and temporal smoothers. For example, Figure S4a now clearly shows that the temporal smoother captured a large amount of variation, while the spatial smoother shown in S4b did not (colours are similar across the map).</w:t>
      </w:r>
    </w:p>
    <w:p>
      <w:pPr>
        <w:pStyle w:val="Normal"/>
        <w:rPr>
          <w:i/>
          <w:i/>
          <w:iCs/>
          <w:color w:val="C9211E"/>
        </w:rPr>
      </w:pPr>
      <w:r>
        <w:rPr>
          <w:i/>
          <w:iCs/>
          <w:color w:val="C9211E"/>
        </w:rPr>
      </w:r>
    </w:p>
    <w:p>
      <w:pPr>
        <w:pStyle w:val="Normal"/>
        <w:rPr/>
      </w:pPr>
      <w:r>
        <w:rPr>
          <w:i/>
          <w:iCs/>
        </w:rPr>
        <w:t>L236. "late in the season" I do not understand. There was no significant effect of s(Day):Pasture. As far as I understand Fig4 and TableS4, the results are negative effects of pasture and woodlands, both increasing for large landscape scales.</w:t>
      </w:r>
    </w:p>
    <w:p>
      <w:pPr>
        <w:pStyle w:val="Normal"/>
        <w:rPr/>
      </w:pPr>
      <w:r>
        <w:rPr/>
      </w:r>
    </w:p>
    <w:p>
      <w:pPr>
        <w:pStyle w:val="Normal"/>
        <w:rPr/>
      </w:pPr>
      <w:r>
        <w:rPr/>
        <w:t xml:space="preserve">There is no significant effect of s(Day):Pasture, but there is a significant effect of s(Day):Woodland, which is what the “late in the season” part of this sentence was referring to. Figure 4c is showing that woodlands had a negative effect on </w:t>
      </w:r>
      <w:r>
        <w:rPr>
          <w:i/>
          <w:iCs/>
        </w:rPr>
        <w:t>P. distincta</w:t>
      </w:r>
      <w:r>
        <w:rPr/>
        <w:t xml:space="preserve"> activity density during the later part of the season, and that this effect did not depend on the spatial scale. </w:t>
      </w:r>
      <w:commentRangeStart w:id="11"/>
      <w:r>
        <w:rPr/>
        <w:t>We have updated the first few sentences in this paragraph to clarify this.</w:t>
      </w:r>
      <w:commentRangeEnd w:id="11"/>
      <w:r>
        <w:commentReference w:id="11"/>
      </w:r>
      <w:r>
        <w:rPr/>
      </w:r>
    </w:p>
    <w:p>
      <w:pPr>
        <w:pStyle w:val="Normal"/>
        <w:rPr>
          <w:i/>
          <w:i/>
          <w:iCs/>
          <w:color w:val="C9211E"/>
        </w:rPr>
      </w:pPr>
      <w:r>
        <w:rPr>
          <w:i/>
          <w:iCs/>
          <w:color w:val="C9211E"/>
        </w:rPr>
      </w:r>
    </w:p>
    <w:p>
      <w:pPr>
        <w:pStyle w:val="Normal"/>
        <w:rPr>
          <w:i/>
          <w:i/>
          <w:iCs/>
        </w:rPr>
      </w:pPr>
      <w:r>
        <w:rPr>
          <w:i/>
          <w:iCs/>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rPr/>
      </w:pPr>
      <w:r>
        <w:rPr/>
      </w:r>
    </w:p>
    <w:p>
      <w:pPr>
        <w:pStyle w:val="Normal"/>
        <w:rPr>
          <w:i/>
          <w:i/>
          <w:iCs/>
        </w:rPr>
      </w:pPr>
      <w:r>
        <w:rPr/>
        <w:t>See our comment above.</w:t>
      </w:r>
    </w:p>
    <w:p>
      <w:pPr>
        <w:pStyle w:val="Normal"/>
        <w:rPr>
          <w:i/>
          <w:i/>
          <w:iCs/>
          <w:color w:val="C9211E"/>
        </w:rPr>
      </w:pPr>
      <w:r>
        <w:rPr>
          <w:i/>
          <w:iCs/>
          <w:color w:val="C9211E"/>
        </w:rPr>
      </w:r>
    </w:p>
    <w:p>
      <w:pPr>
        <w:pStyle w:val="Normal"/>
        <w:rPr/>
      </w:pPr>
      <w:commentRangeStart w:id="12"/>
      <w:r>
        <w:rPr>
          <w:i/>
          <w:iCs/>
        </w:rPr>
        <w:t>L247-248. "Similar to P. distincta" See my comment for Line 232</w:t>
      </w:r>
    </w:p>
    <w:p>
      <w:pPr>
        <w:pStyle w:val="Normal"/>
        <w:rPr/>
      </w:pPr>
      <w:r>
        <w:rPr/>
      </w:r>
    </w:p>
    <w:p>
      <w:pPr>
        <w:pStyle w:val="Normal"/>
        <w:rPr/>
      </w:pPr>
      <w:r>
        <w:rPr/>
        <w:t xml:space="preserve">See our comments on Line 232. </w:t>
      </w:r>
      <w:commentRangeEnd w:id="12"/>
      <w:r>
        <w:commentReference w:id="12"/>
      </w:r>
      <w:r>
        <w:rPr/>
      </w:r>
    </w:p>
    <w:p>
      <w:pPr>
        <w:pStyle w:val="Normal"/>
        <w:rPr>
          <w:i/>
          <w:i/>
          <w:iCs/>
          <w:color w:val="C9211E"/>
        </w:rPr>
      </w:pPr>
      <w:r>
        <w:rPr>
          <w:i/>
          <w:iCs/>
          <w:color w:val="C9211E"/>
        </w:rPr>
      </w:r>
    </w:p>
    <w:p>
      <w:pPr>
        <w:pStyle w:val="Normal"/>
        <w:rPr>
          <w:i/>
          <w:i/>
          <w:iCs/>
        </w:rPr>
      </w:pPr>
      <w:r>
        <w:rPr>
          <w:i/>
          <w:iCs/>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rPr/>
      </w:pPr>
      <w:r>
        <w:rPr/>
      </w:r>
    </w:p>
    <w:p>
      <w:pPr>
        <w:pStyle w:val="Normal"/>
        <w:rPr/>
      </w:pPr>
      <w:r>
        <w:rPr/>
        <w:t>The woodland:time interaction (ti(Distance,Day):Woodland) was weak (p=0.07), so we have removed the interaction and only present the main effect of s(Distance):Woodland.</w:t>
      </w:r>
    </w:p>
    <w:p>
      <w:pPr>
        <w:pStyle w:val="Normal"/>
        <w:rPr>
          <w:i/>
          <w:i/>
          <w:iCs/>
          <w:color w:val="C9211E"/>
        </w:rPr>
      </w:pPr>
      <w:r>
        <w:rPr>
          <w:i/>
          <w:iCs/>
          <w:color w:val="C9211E"/>
        </w:rPr>
      </w:r>
    </w:p>
    <w:p>
      <w:pPr>
        <w:pStyle w:val="Normal"/>
        <w:rPr>
          <w:i/>
          <w:i/>
          <w:iCs/>
        </w:rPr>
      </w:pPr>
      <w:r>
        <w:rPr>
          <w:i/>
          <w:iCs/>
        </w:rPr>
        <w:t>In the whole ms: I think dispersal (resp. dispersion) is more appropriate than migrate (resp. Migration).</w:t>
      </w:r>
    </w:p>
    <w:p>
      <w:pPr>
        <w:pStyle w:val="Normal"/>
        <w:rPr/>
      </w:pPr>
      <w:r>
        <w:rPr/>
      </w:r>
    </w:p>
    <w:p>
      <w:pPr>
        <w:pStyle w:val="Normal"/>
        <w:rPr>
          <w:i/>
          <w:i/>
          <w:iCs/>
        </w:rPr>
      </w:pPr>
      <w:r>
        <w:rPr/>
        <w:t>Agreed; we have changed “migrate” to “disperse” throughout the text.</w:t>
      </w:r>
    </w:p>
    <w:p>
      <w:pPr>
        <w:pStyle w:val="Normal"/>
        <w:rPr>
          <w:i/>
          <w:i/>
          <w:iCs/>
          <w:color w:val="C9211E"/>
        </w:rPr>
      </w:pPr>
      <w:r>
        <w:rPr>
          <w:i/>
          <w:iCs/>
          <w:color w:val="C9211E"/>
        </w:rPr>
      </w:r>
    </w:p>
    <w:p>
      <w:pPr>
        <w:pStyle w:val="Normal"/>
        <w:rPr/>
      </w:pPr>
      <w:r>
        <w:rPr>
          <w:i/>
          <w:iCs/>
        </w:rPr>
        <w:t>In Figs3a, 4a, 5a, 6a, is it possible to add letters for groups as a result of a pariwise comparison (rather than only significant level of estimates in Tables S1, S3, S5 and S7)?</w:t>
      </w:r>
    </w:p>
    <w:p>
      <w:pPr>
        <w:pStyle w:val="Normal"/>
        <w:rPr/>
      </w:pPr>
      <w:r>
        <w:rPr/>
      </w:r>
    </w:p>
    <w:p>
      <w:pPr>
        <w:pStyle w:val="Normal"/>
        <w:rPr/>
      </w:pPr>
      <w:r>
        <w:rPr/>
        <w:t>We added pairwise letter groupings (after correcting for multiple comparisons).</w:t>
      </w:r>
    </w:p>
    <w:p>
      <w:pPr>
        <w:pStyle w:val="Normal"/>
        <w:rPr>
          <w:i/>
          <w:i/>
          <w:iCs/>
          <w:color w:val="C9211E"/>
        </w:rPr>
      </w:pPr>
      <w:r>
        <w:rPr>
          <w:i/>
          <w:iCs/>
          <w:color w:val="C9211E"/>
        </w:rPr>
      </w:r>
    </w:p>
    <w:p>
      <w:pPr>
        <w:pStyle w:val="Normal"/>
        <w:rPr/>
      </w:pPr>
      <w:r>
        <w:rPr>
          <w:i/>
          <w:iCs/>
          <w:color w:val="000000"/>
        </w:rPr>
        <w:t>In tables, S2, S4, S6 and S8, "Roads" rather than "Urban" would be more consistent with the text</w:t>
      </w:r>
    </w:p>
    <w:p>
      <w:pPr>
        <w:pStyle w:val="Normal"/>
        <w:rPr/>
      </w:pPr>
      <w:r>
        <w:rPr/>
      </w:r>
    </w:p>
    <w:p>
      <w:pPr>
        <w:pStyle w:val="Normal"/>
        <w:rPr/>
      </w:pPr>
      <w:r>
        <w:rPr/>
        <w:t>Changed “Urban” to “Roads” in Tables S2-S8.</w:t>
      </w:r>
    </w:p>
    <w:p>
      <w:pPr>
        <w:pStyle w:val="Normal"/>
        <w:rPr/>
      </w:pPr>
      <w:r>
        <w:rPr/>
      </w:r>
      <w:r>
        <w:br w:type="page"/>
      </w:r>
    </w:p>
    <w:p>
      <w:pPr>
        <w:pStyle w:val="Normal"/>
        <w:rPr>
          <w:u w:val="single"/>
        </w:rPr>
      </w:pPr>
      <w:r>
        <w:rPr>
          <w:u w:val="single"/>
        </w:rPr>
        <w:t>Reviewer 2</w:t>
      </w:r>
    </w:p>
    <w:p>
      <w:pPr>
        <w:pStyle w:val="Normal"/>
        <w:rPr/>
      </w:pPr>
      <w:r>
        <w:rPr/>
      </w:r>
    </w:p>
    <w:p>
      <w:pPr>
        <w:pStyle w:val="Normal"/>
        <w:rPr>
          <w:i/>
          <w:i/>
          <w:iCs/>
        </w:rPr>
      </w:pPr>
      <w:r>
        <w:rPr>
          <w:i/>
          <w:iCs/>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rPr>
          <w:i/>
          <w:i/>
          <w:iCs/>
        </w:rPr>
      </w:pPr>
      <w:r>
        <w:rPr>
          <w:i/>
          <w:iCs/>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rPr>
          <w:i/>
          <w:i/>
          <w:iCs/>
        </w:rPr>
      </w:pPr>
      <w:r>
        <w:rPr>
          <w:i/>
          <w:iCs/>
        </w:rPr>
      </w:r>
    </w:p>
    <w:p>
      <w:pPr>
        <w:pStyle w:val="Normal"/>
        <w:rPr>
          <w:i/>
          <w:i/>
          <w:iCs/>
        </w:rPr>
      </w:pPr>
      <w:commentRangeStart w:id="13"/>
      <w:r>
        <w:rPr/>
        <w:t xml:space="preserve">Reviewer 1 </w:t>
      </w:r>
      <w:r>
        <w:rPr/>
      </w:r>
      <w:commentRangeEnd w:id="13"/>
      <w:r>
        <w:commentReference w:id="13"/>
      </w:r>
      <w:r>
        <w:rPr/>
        <w:commentReference w:id="14"/>
      </w:r>
      <w:r>
        <w:rPr/>
        <w:t>also identified that the sampling design was unclear, so we updated our map to reflect this. Some traps were indeed nested within the same field, so we included a spatial smoother (</w:t>
      </w:r>
      <w:r>
        <w:rPr>
          <w:i/>
          <w:iCs/>
        </w:rPr>
        <w:t>s(E,N)</w:t>
      </w:r>
      <w:r>
        <w:rPr/>
        <w:t>)to account for spatial non-independence, as a “classic” random-intercept model can account for nesting but does not account for spatial relations between random intercepts. In other words, our model accounts for nested sampling design while improving estimates by leveraging spatial (and temporal) information.</w:t>
      </w:r>
    </w:p>
    <w:p>
      <w:pPr>
        <w:pStyle w:val="Normal"/>
        <w:rPr>
          <w:i/>
          <w:i/>
          <w:iCs/>
        </w:rPr>
      </w:pPr>
      <w:r>
        <w:rPr>
          <w:i/>
          <w:iCs/>
        </w:rPr>
      </w:r>
    </w:p>
    <w:p>
      <w:pPr>
        <w:pStyle w:val="Normal"/>
        <w:rPr/>
      </w:pPr>
      <w:r>
        <w:rPr>
          <w:i/>
          <w:iCs/>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rPr>
          <w:i/>
          <w:i/>
          <w:iCs/>
        </w:rPr>
      </w:pPr>
      <w:r>
        <w:rPr>
          <w:i/>
          <w:iCs/>
        </w:rPr>
        <w:t>In the analysis, location and temporal effect are defined as fixed and smooth effects (L136), but in the results, these are presented as random effects (L238).</w:t>
      </w:r>
    </w:p>
    <w:p>
      <w:pPr>
        <w:pStyle w:val="Normal"/>
        <w:rPr>
          <w:i/>
          <w:i/>
          <w:iCs/>
        </w:rPr>
      </w:pPr>
      <w:r>
        <w:rPr>
          <w:i/>
          <w:iCs/>
        </w:rPr>
      </w:r>
    </w:p>
    <w:p>
      <w:pPr>
        <w:pStyle w:val="Normal"/>
        <w:rPr>
          <w:i/>
          <w:i/>
          <w:iCs/>
        </w:rPr>
      </w:pPr>
      <w:r>
        <w:rPr/>
        <w:t xml:space="preserve">On the first point, the reviewer is correct in stating that all terms used a scalar-on-function regression, with the activity density being the response. We have the </w:t>
      </w:r>
      <w:r>
        <w:rPr>
          <w:i/>
          <w:iCs/>
        </w:rPr>
        <w:t>mgcv</w:t>
      </w:r>
      <w:r>
        <w:rPr/>
        <w:t xml:space="preserve"> model formula to the Supplemental along with a list of terms in order to explain this better.</w:t>
      </w:r>
    </w:p>
    <w:p>
      <w:pPr>
        <w:pStyle w:val="Normal"/>
        <w:rPr>
          <w:i/>
          <w:i/>
          <w:iCs/>
        </w:rPr>
      </w:pPr>
      <w:r>
        <w:rPr>
          <w:i/>
          <w:iCs/>
        </w:rPr>
      </w:r>
    </w:p>
    <w:p>
      <w:pPr>
        <w:pStyle w:val="Normal"/>
        <w:rPr>
          <w:i/>
          <w:i/>
          <w:iCs/>
        </w:rPr>
      </w:pPr>
      <w:r>
        <w:rPr/>
        <w:t>On the reviewer’s second point, all penalized smoothers are technically “random effects”, as the coefficients (β) for each basis function are drawn from multivariate normal prior (β ~</w:t>
      </w:r>
      <w:r>
        <w:rPr>
          <w:i/>
          <w:iCs/>
        </w:rPr>
        <w:t xml:space="preserve"> N</w:t>
      </w:r>
      <w:r>
        <w:rPr/>
        <w:t>(0, σ</w:t>
      </w:r>
      <w:r>
        <w:rPr>
          <w:vertAlign w:val="superscript"/>
        </w:rPr>
        <w:t>2</w:t>
      </w:r>
      <w:r>
        <w:rPr/>
        <w:t>S</w:t>
      </w:r>
      <w:r>
        <w:rPr>
          <w:vertAlign w:val="superscript"/>
        </w:rPr>
        <w:t>-</w:t>
      </w:r>
      <w:r>
        <w:rPr/>
        <w:t>/λ), where σ</w:t>
      </w:r>
      <w:r>
        <w:rPr>
          <w:vertAlign w:val="superscript"/>
        </w:rPr>
        <w:t>2</w:t>
      </w:r>
      <w:r>
        <w:rPr/>
        <w:t xml:space="preserve"> is the variance, S is the smoothing penalty matrix and λ is the smoothing parameter), and are estimated in exactly the same way as traditional random-intercepts coefficients (see section 4.2 of Wood 2017). However, this terminology is not commonly used in ecology and could be confusing, so we have changed “random effect” to “smoother” throughout the text to clarify this.</w:t>
      </w:r>
    </w:p>
    <w:p>
      <w:pPr>
        <w:pStyle w:val="Normal"/>
        <w:rPr>
          <w:i/>
          <w:i/>
          <w:iCs/>
        </w:rPr>
      </w:pPr>
      <w:r>
        <w:rPr>
          <w:i/>
          <w:iCs/>
        </w:rPr>
      </w:r>
    </w:p>
    <w:p>
      <w:pPr>
        <w:pStyle w:val="Normal"/>
        <w:rPr>
          <w:i/>
          <w:i/>
          <w:iCs/>
        </w:rPr>
      </w:pPr>
      <w:r>
        <w:rPr>
          <w:i/>
          <w:iCs/>
        </w:rPr>
        <w:t>3. A temporal effect of "cover class" was included in the model (L143). However, it is unclear how this term was informed. Was it derived from known crops' phenology and/or sowing dates?</w:t>
      </w:r>
    </w:p>
    <w:p>
      <w:pPr>
        <w:pStyle w:val="Normal"/>
        <w:rPr>
          <w:i/>
          <w:i/>
          <w:iCs/>
        </w:rPr>
      </w:pPr>
      <w:r>
        <w:rPr>
          <w:i/>
          <w:iCs/>
        </w:rPr>
      </w:r>
    </w:p>
    <w:p>
      <w:pPr>
        <w:pStyle w:val="Normal"/>
        <w:rPr>
          <w:i/>
          <w:i/>
          <w:iCs/>
        </w:rPr>
      </w:pPr>
      <w:commentRangeStart w:id="15"/>
      <w:r>
        <w:rPr/>
        <w:t>Reviewer 1 also identified that this was unclear, so we have re-written parts of this paragraph (as well as Box 1) to clarify this.</w:t>
      </w:r>
      <w:commentRangeEnd w:id="15"/>
      <w:r>
        <w:commentReference w:id="15"/>
      </w:r>
      <w:r>
        <w:rPr/>
      </w:r>
      <w:r>
        <w:br w:type="page"/>
      </w:r>
    </w:p>
    <w:p>
      <w:pPr>
        <w:pStyle w:val="Normal"/>
        <w:rPr>
          <w:i/>
          <w:i/>
          <w:iCs/>
        </w:rPr>
      </w:pPr>
      <w:r>
        <w:rPr>
          <w:i/>
          <w:iCs/>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rPr>
          <w:i/>
          <w:i/>
          <w:iCs/>
        </w:rPr>
      </w:pPr>
      <w:r>
        <w:rPr>
          <w:i/>
          <w:iCs/>
        </w:rPr>
      </w:r>
    </w:p>
    <w:p>
      <w:pPr>
        <w:pStyle w:val="Normal"/>
        <w:rPr>
          <w:i/>
          <w:i/>
          <w:iCs/>
        </w:rPr>
      </w:pPr>
      <w:r>
        <w:rPr/>
        <w:t xml:space="preserve">The reviewer makes three related points here: a) our study is observational, not manipulative, b) that foraging activity and abundance are confounded within the term “activity density”, and c) that changes in activity density are confounded with movement (“migration”). </w:t>
      </w:r>
    </w:p>
    <w:p>
      <w:pPr>
        <w:pStyle w:val="Normal"/>
        <w:rPr>
          <w:i/>
          <w:i/>
          <w:iCs/>
        </w:rPr>
      </w:pPr>
      <w:r>
        <w:rPr>
          <w:i/>
          <w:iCs/>
        </w:rPr>
      </w:r>
    </w:p>
    <w:p>
      <w:pPr>
        <w:pStyle w:val="Normal"/>
        <w:rPr>
          <w:i/>
          <w:i/>
          <w:iCs/>
        </w:rPr>
      </w:pPr>
      <w:r>
        <w:rPr/>
        <w:t xml:space="preserve">The overall spatial and temporal smoothers (S3-6) were somewhat concurved with the individual land cover smoothers (see Figure S1, columns 2 + 3), but this is difficult to remove because certain land cover types are more common in some parts of the spatial domain. For example, Figure 1 shows that Forest/Shrub cover is common in the western portion of our sampling areas (near Okotoks), but is uncommon in the eastern portion (near Duchess). This means that any effect of Forest/Shrub will always be </w:t>
      </w:r>
      <w:commentRangeStart w:id="16"/>
      <w:r>
        <w:rPr/>
        <w:t xml:space="preserve">tied up with </w:t>
      </w:r>
      <w:commentRangeEnd w:id="16"/>
      <w:r>
        <w:commentReference w:id="16"/>
      </w:r>
      <w:r>
        <w:rPr/>
      </w:r>
    </w:p>
    <w:p>
      <w:pPr>
        <w:pStyle w:val="Normal"/>
        <w:rPr>
          <w:i/>
          <w:i/>
          <w:iCs/>
        </w:rPr>
      </w:pPr>
      <w:r>
        <w:rPr>
          <w:i/>
          <w:iCs/>
        </w:rPr>
      </w:r>
    </w:p>
    <w:p>
      <w:pPr>
        <w:pStyle w:val="Normal"/>
        <w:rPr/>
      </w:pPr>
      <w:r>
        <w:rPr>
          <w:i/>
          <w:iCs/>
        </w:rPr>
        <w:t>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I</w:t>
      </w:r>
      <w:commentRangeStart w:id="17"/>
      <w:r>
        <w:rPr>
          <w:i/>
          <w:iCs/>
        </w:rPr>
        <w:t>f the model suggests that individuals are moving from one habitat to another during the season, we should also detect a temporal effect in the specific habitats. The evidence would be more convincing if supported by such local trends (e.g., change in activity density over time).</w:t>
      </w:r>
      <w:commentRangeEnd w:id="17"/>
      <w:r>
        <w:commentReference w:id="17"/>
      </w:r>
      <w:r>
        <w:rPr>
          <w:i/>
          <w:iCs/>
        </w:rPr>
      </w:r>
    </w:p>
    <w:p>
      <w:pPr>
        <w:pStyle w:val="Normal"/>
        <w:rPr/>
      </w:pPr>
      <w:r>
        <w:rPr/>
      </w:r>
    </w:p>
    <w:p>
      <w:pPr>
        <w:pStyle w:val="Normal"/>
        <w:rPr/>
      </w:pPr>
      <w:r>
        <w:rPr/>
        <w:t xml:space="preserve">As detailed above, we added the </w:t>
      </w:r>
      <w:r>
        <w:rPr>
          <w:i/>
          <w:iCs/>
        </w:rPr>
        <w:t>mgcv</w:t>
      </w:r>
      <w:r>
        <w:rPr/>
        <w:t xml:space="preserve"> model formula to the supplementary to explain our approach more thoroughly. Our model assumes that a given trap location type has a fixed level of “inherent” activity density (similar to detection probability in mark-recapture models), and that the surrounding landscape influences activity density depending on the distance and time of the year. We also included an overall temporal smoother and distance smoother to account for the spatial and temporal non-independence in the data. To relate this to the example given by the Reviewer (Figure 4a), </w:t>
      </w:r>
      <w:r>
        <w:rPr>
          <w:i/>
          <w:iCs/>
        </w:rPr>
        <w:t>P. distincta</w:t>
      </w:r>
      <w:r>
        <w:rPr/>
        <w:t xml:space="preserve"> activity density is much lower in canola crops than other trap locations, overall. Additionally, activity density was lower if there was Pasture present in the annuli at 500-1500m (4b), and was also lower during late July and August if woodland was present.</w:t>
      </w:r>
    </w:p>
    <w:p>
      <w:pPr>
        <w:pStyle w:val="Normal"/>
        <w:rPr/>
      </w:pPr>
      <w:r>
        <w:rPr/>
      </w:r>
    </w:p>
    <w:p>
      <w:pPr>
        <w:pStyle w:val="Normal"/>
        <w:rPr/>
      </w:pPr>
      <w:r>
        <w:rPr>
          <w:i/>
          <w:iCs/>
        </w:rPr>
        <w:t>6. L278-280. If the influence was limited to a radius of about 500 m, why is this an indication of "large-scale" effect when in the method, large-scale (landscape scales L198) refers to &gt; 500 m radius?</w:t>
      </w:r>
    </w:p>
    <w:p>
      <w:pPr>
        <w:pStyle w:val="Normal"/>
        <w:rPr/>
      </w:pPr>
      <w:r>
        <w:rPr/>
      </w:r>
    </w:p>
    <w:p>
      <w:pPr>
        <w:pStyle w:val="Normal"/>
        <w:rPr/>
      </w:pPr>
      <w:commentRangeStart w:id="18"/>
      <w:r>
        <w:rPr/>
        <w:t>We deleted “large-scale” and replaced “local cover” with “nearby landscapes”.</w:t>
      </w:r>
      <w:commentRangeEnd w:id="18"/>
      <w:r>
        <w:commentReference w:id="18"/>
      </w:r>
      <w:r>
        <w:rPr/>
      </w:r>
    </w:p>
    <w:p>
      <w:pPr>
        <w:pStyle w:val="Normal"/>
        <w:rPr>
          <w:i/>
          <w:i/>
          <w:iCs/>
        </w:rPr>
      </w:pPr>
      <w:r>
        <w:rPr>
          <w:i/>
          <w:iCs/>
        </w:rPr>
      </w:r>
    </w:p>
    <w:p>
      <w:pPr>
        <w:pStyle w:val="Normal"/>
        <w:rPr>
          <w:i/>
          <w:i/>
          <w:iCs/>
        </w:rPr>
      </w:pPr>
      <w:r>
        <w:rPr>
          <w:i/>
          <w:iCs/>
        </w:rPr>
        <w:t>7. L199. The early and late-season effects are defined by two dates. Are these specific dates, threshold dates (before and after, until) or median date of the period?</w:t>
      </w:r>
    </w:p>
    <w:p>
      <w:pPr>
        <w:pStyle w:val="Normal"/>
        <w:rPr>
          <w:i/>
          <w:i/>
          <w:iCs/>
        </w:rPr>
      </w:pPr>
      <w:r>
        <w:rPr>
          <w:i/>
          <w:iCs/>
        </w:rPr>
      </w:r>
    </w:p>
    <w:p>
      <w:pPr>
        <w:pStyle w:val="Normal"/>
        <w:rPr>
          <w:i/>
          <w:i/>
          <w:iCs/>
        </w:rPr>
      </w:pPr>
      <w:r>
        <w:rPr/>
        <w:t>These dates (June 20 and August 20) were chosen to show the change in spatial patterns over time. The first and last days of sampling were May 23 and August 22.</w:t>
      </w:r>
    </w:p>
    <w:p>
      <w:pPr>
        <w:pStyle w:val="Normal"/>
        <w:rPr>
          <w:i/>
          <w:i/>
          <w:iCs/>
        </w:rPr>
      </w:pPr>
      <w:r>
        <w:rPr>
          <w:i/>
          <w:iCs/>
        </w:rPr>
      </w:r>
    </w:p>
    <w:p>
      <w:pPr>
        <w:pStyle w:val="Normal"/>
        <w:rPr>
          <w:i/>
          <w:i/>
          <w:iCs/>
          <w:u w:val="single"/>
        </w:rPr>
      </w:pPr>
      <w:r>
        <w:rPr>
          <w:i/>
          <w:iCs/>
        </w:rPr>
        <w:t xml:space="preserve">8. L89 Although it has been shown and often repeated that the contribution of common species are more important to pollination services, </w:t>
      </w:r>
      <w:commentRangeStart w:id="19"/>
      <w:r>
        <w:rPr>
          <w:i/>
          <w:iCs/>
        </w:rPr>
        <w:t>several studies</w:t>
      </w:r>
      <w:r>
        <w:rPr>
          <w:i/>
          <w:iCs/>
        </w:rPr>
      </w:r>
      <w:commentRangeEnd w:id="19"/>
      <w:r>
        <w:commentReference w:id="19"/>
      </w:r>
      <w:r>
        <w:rPr>
          <w:i/>
          <w:iCs/>
        </w:rPr>
        <w:t xml:space="preserve"> show that this is not true for every aspect of service provision, as diversity (including less common/rare species) is associated with increased stability and resilience of service provision. I would rephrase this part of the text.</w:t>
      </w:r>
    </w:p>
    <w:p>
      <w:pPr>
        <w:pStyle w:val="Normal"/>
        <w:rPr>
          <w:i/>
          <w:i/>
          <w:iCs/>
          <w:u w:val="single"/>
        </w:rPr>
      </w:pPr>
      <w:r>
        <w:rPr>
          <w:i/>
          <w:iCs/>
          <w:u w:val="single"/>
        </w:rPr>
      </w:r>
    </w:p>
    <w:p>
      <w:pPr>
        <w:pStyle w:val="Normal"/>
        <w:rPr/>
      </w:pPr>
      <w:r>
        <w:rPr/>
        <w:t xml:space="preserve">The debate surrounding the relationship between biodiversity and stability of ecosystem services is highly contentious and even political in nature (deLaplante and Picasso 2011). Since the reviewer has not suggested any references on this point, we have added two references to attempt to demonstrate that this topic is not as simple as stated in the manuscript, but we refrain from joining in this debate at this time as it is beyond the scope of this </w:t>
      </w:r>
      <w:commentRangeStart w:id="20"/>
      <w:r>
        <w:rPr/>
        <w:t>paper.</w:t>
      </w:r>
      <w:r>
        <w:rPr/>
      </w:r>
      <w:commentRangeEnd w:id="20"/>
      <w:r>
        <w:commentReference w:id="20"/>
      </w:r>
      <w:r>
        <w:rPr/>
        <w:t xml:space="preserve"> </w:t>
      </w:r>
      <w:r>
        <w:br w:type="page"/>
      </w:r>
    </w:p>
    <w:p>
      <w:pPr>
        <w:pStyle w:val="Normal"/>
        <w:rPr/>
      </w:pPr>
      <w:r>
        <w:rPr/>
      </w:r>
    </w:p>
    <w:p>
      <w:pPr>
        <w:pStyle w:val="Normal"/>
        <w:rPr>
          <w:u w:val="single"/>
        </w:rPr>
      </w:pPr>
      <w:r>
        <w:rPr>
          <w:u w:val="single"/>
        </w:rPr>
        <w:t>References</w:t>
      </w:r>
    </w:p>
    <w:p>
      <w:pPr>
        <w:pStyle w:val="Normal"/>
        <w:rPr/>
      </w:pPr>
      <w:r>
        <w:rPr/>
      </w:r>
    </w:p>
    <w:p>
      <w:pPr>
        <w:pStyle w:val="Normal"/>
        <w:rPr/>
      </w:pPr>
      <w:r>
        <w:rPr/>
        <w:t>Craven, D., et al. 2018. Multiple facets of biodiversity drive the diversity–stability relationship. Nature Ecology and Evolution. 2: 1579–1587. https://doi.org/10.1038/s41559-018-0647-7</w:t>
      </w:r>
    </w:p>
    <w:p>
      <w:pPr>
        <w:pStyle w:val="Normal"/>
        <w:rPr/>
      </w:pPr>
      <w:r>
        <w:rPr/>
      </w:r>
    </w:p>
    <w:p>
      <w:pPr>
        <w:pStyle w:val="Normal"/>
        <w:rPr>
          <w:u w:val="single"/>
        </w:rPr>
      </w:pPr>
      <w:r>
        <w:rPr/>
        <w:t>Statistics Canada. 2016. Table 32-10-0408-01  Tillage practices used to prepare land for seeding. Accessed May 18, 2021.</w:t>
      </w:r>
    </w:p>
    <w:p>
      <w:pPr>
        <w:pStyle w:val="Normal"/>
        <w:rPr>
          <w:u w:val="single"/>
        </w:rPr>
      </w:pPr>
      <w:r>
        <w:rPr>
          <w:u w:val="single"/>
        </w:rPr>
      </w:r>
    </w:p>
    <w:p>
      <w:pPr>
        <w:pStyle w:val="Normal"/>
        <w:rPr>
          <w:u w:val="single"/>
        </w:rPr>
      </w:pPr>
      <w:r>
        <w:rPr/>
        <w:t>deLaplante, K., and Picasso,V.  The Biodiversity-Ecosystem Function Debate in Ecology. 2011. In: Handbook of The Philosophy of Science: Philosophy of Ecology. Eds: deLaplante, K., Brown, B., and Peacock, K. A. San Diego: North-Holland. Pages 169-200.</w:t>
      </w:r>
    </w:p>
    <w:p>
      <w:pPr>
        <w:pStyle w:val="Normal"/>
        <w:rPr>
          <w:u w:val="singl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ckruck, Jess" w:date="2021-06-01T08:54:00Z" w:initials="VJ">
    <w:p>
      <w:r>
        <w:rPr>
          <w:rFonts w:eastAsia="DejaVu Sans" w:cs="DejaVu Sans"/>
          <w:kern w:val="0"/>
          <w:lang w:val="en-US" w:eastAsia="en-US" w:bidi="en-US"/>
        </w:rPr>
      </w:r>
    </w:p>
  </w:comment>
  <w:comment w:id="1" w:author="Vickruck, Jess [2]" w:date="2021-06-01T09:19:00Z" w:initials="VJ">
    <w:p>
      <w:r>
        <w:rPr>
          <w:rFonts w:eastAsia="DejaVu Sans" w:cs="DejaVu Sans"/>
          <w:kern w:val="0"/>
          <w:lang w:val="en-US" w:eastAsia="en-US" w:bidi="en-US"/>
        </w:rPr>
        <w:t>As a general comment, a wise person once told me that you want to make the editors life as easy as possible. If I have changed the text, I tend to include the new text in quotes along with my response, so that the editor doesn’t have to try and go back and look at the old and new versions to see what is different. (I found I had to have both versions open so that I could know what was different. Also, because the line numbers are different in the revised version!)</w:t>
      </w:r>
    </w:p>
  </w:comment>
  <w:comment w:id="2" w:author="Vickruck, Jess [3]" w:date="2021-06-01T08:55:00Z" w:initials="VJ">
    <w:p>
      <w:r>
        <w:rPr>
          <w:rFonts w:eastAsia="DejaVu Sans" w:cs="DejaVu Sans"/>
          <w:kern w:val="0"/>
          <w:lang w:val="en-US" w:eastAsia="en-US" w:bidi="en-US"/>
        </w:rPr>
        <w:t>Maybe instead of saying that this is “beyond the scope of the study” it would be helpful to mention that this is an interesting and important question, but was not the focus of this analysis and that future work could be done to address this question.</w:t>
      </w:r>
    </w:p>
    <w:p>
      <w:r>
        <w:rPr>
          <w:rFonts w:eastAsia="DejaVu Sans" w:cs="DejaVu Sans"/>
          <w:kern w:val="0"/>
          <w:lang w:val="en-US" w:eastAsia="en-US" w:bidi="en-US"/>
        </w:rPr>
      </w:r>
    </w:p>
  </w:comment>
  <w:comment w:id="3" w:author="SR" w:date="2021-06-07T09:48:37Z" w:initials="SR">
    <w:p>
      <w:r>
        <w:rPr>
          <w:rFonts w:eastAsia="NSimSun" w:cs="Ari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Vickruck, Jess [3] (2021-06-01, 08:55): "..."</w:t>
      </w:r>
    </w:p>
    <w:p>
      <w:r>
        <w:rPr>
          <w:rFonts w:eastAsia="DejaVu Sans" w:cs="DejaVu Sans"/>
          <w:kern w:val="0"/>
          <w:sz w:val="20"/>
          <w:lang w:val="en-CA" w:eastAsia="zh-CN" w:bidi="hi-IN"/>
        </w:rPr>
        <w:t>Done</w:t>
      </w:r>
    </w:p>
  </w:comment>
  <w:comment w:id="5" w:author="SR" w:date="2021-05-25T17:34:00Z" w:initials="SR">
    <w:p>
      <w:r>
        <w:rPr>
          <w:rFonts w:eastAsia="DejaVu Sans" w:cs="DejaVu Sans"/>
          <w:kern w:val="0"/>
          <w:sz w:val="20"/>
          <w:lang w:val="en-US" w:eastAsia="en-US" w:bidi="en-US"/>
        </w:rPr>
        <w:t>Reviewer 2 was also confused by the design. I’ve added a bit more information, both on the map and in the text.</w:t>
      </w:r>
    </w:p>
  </w:comment>
  <w:comment w:id="4" w:author="Vickruck, Jess [4]" w:date="2021-06-01T09:15:00Z" w:initials="VJ">
    <w:p>
      <w:r>
        <w:rPr>
          <w:rFonts w:eastAsia="DejaVu Sans" w:cs="DejaVu Sans"/>
          <w:kern w:val="0"/>
          <w:lang w:val="en-US" w:eastAsia="en-US" w:bidi="en-US"/>
        </w:rPr>
        <w:t>So I think the issue here is that you have combined sampling strategies from two different studies here, so it is confusing. (To be honest I have failed to notice this the first time). If we were talking about bees I would be worried that the three infield sites aren’t independent from each other, but not as sure if that matters for carabids and spiders.</w:t>
      </w:r>
    </w:p>
    <w:p>
      <w:r>
        <w:rPr>
          <w:rFonts w:eastAsia="DejaVu Sans" w:cs="DejaVu Sans"/>
          <w:kern w:val="0"/>
          <w:lang w:val="en-US" w:eastAsia="en-US" w:bidi="en-US"/>
        </w:rPr>
      </w:r>
    </w:p>
    <w:p>
      <w:r>
        <w:rPr>
          <w:rFonts w:eastAsia="DejaVu Sans" w:cs="DejaVu Sans"/>
          <w:kern w:val="0"/>
          <w:lang w:val="en-US" w:eastAsia="en-US" w:bidi="en-US"/>
        </w:rPr>
        <w:t>It might help to be explicit that data was used from two different sampling regimes, and they lay both of them out that way.</w:t>
      </w:r>
    </w:p>
  </w:comment>
  <w:comment w:id="6" w:author="SR" w:date="2021-06-07T10:22:05Z" w:initials="SR">
    <w:p>
      <w:r>
        <w:rPr>
          <w:rFonts w:eastAsia="NSimSun" w:cs="Ari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Vickruck, Jess [4] (2021-06-01, 09:15): "..."</w:t>
      </w:r>
    </w:p>
    <w:p>
      <w:r>
        <w:rPr>
          <w:rFonts w:eastAsia="DejaVu Sans" w:cs="DejaVu Sans"/>
          <w:kern w:val="0"/>
          <w:sz w:val="20"/>
          <w:lang w:val="en-CA" w:eastAsia="zh-CN" w:bidi="hi-IN"/>
        </w:rPr>
        <w:t>Done</w:t>
      </w:r>
    </w:p>
  </w:comment>
  <w:comment w:id="8" w:author="SR" w:date="2021-05-25T17:15:00Z" w:initials="SR">
    <w:p>
      <w:r>
        <w:rPr>
          <w:rFonts w:eastAsia="DejaVu Sans" w:cs="DejaVu Sans"/>
          <w:kern w:val="0"/>
          <w:sz w:val="20"/>
          <w:lang w:val="en-US" w:eastAsia="en-US" w:bidi="en-US"/>
        </w:rPr>
        <w:t>We could also just say “this is beyond the scope of the manuscript”, but I think this is more useful</w:t>
      </w:r>
    </w:p>
  </w:comment>
  <w:comment w:id="7" w:author="Vickruck, Jess [5]" w:date="2021-06-01T20:40:00Z" w:initials="VJ">
    <w:p>
      <w:r>
        <w:rPr>
          <w:rFonts w:eastAsia="DejaVu Sans" w:cs="DejaVu Sans"/>
          <w:kern w:val="0"/>
          <w:lang w:val="en-US" w:eastAsia="en-US" w:bidi="en-US"/>
        </w:rPr>
        <w:t>Is this information in the manuscript, or just in the response to reviewers? I can’t find it in the text, but I think it should be!</w:t>
      </w:r>
    </w:p>
  </w:comment>
  <w:comment w:id="9" w:author="Vickruck, Jess [6]" w:date="2021-06-01T20:41:00Z" w:initials="VJ">
    <w:p>
      <w:r>
        <w:rPr>
          <w:rFonts w:eastAsia="DejaVu Sans" w:cs="DejaVu Sans"/>
          <w:kern w:val="0"/>
          <w:lang w:val="en-US" w:eastAsia="en-US" w:bidi="en-US"/>
        </w:rPr>
        <w:t xml:space="preserve">This would be an important place to include the actual text that was different. </w:t>
      </w:r>
    </w:p>
  </w:comment>
  <w:comment w:id="10" w:author="Vickruck, Jess [7]" w:date="2021-06-01T20:42:00Z" w:initials="VJ">
    <w:p>
      <w:r>
        <w:rPr>
          <w:rFonts w:eastAsia="DejaVu Sans" w:cs="DejaVu Sans"/>
          <w:kern w:val="0"/>
          <w:lang w:val="en-US" w:eastAsia="en-US" w:bidi="en-US"/>
        </w:rPr>
        <w:t>Include the text.</w:t>
      </w:r>
    </w:p>
  </w:comment>
  <w:comment w:id="11" w:author="Vickruck, Jess [8]" w:date="2021-06-01T20:45:00Z" w:initials="VJ">
    <w:p>
      <w:r>
        <w:rPr>
          <w:rFonts w:eastAsia="DejaVu Sans" w:cs="DejaVu Sans"/>
          <w:kern w:val="0"/>
          <w:lang w:val="en-US" w:eastAsia="en-US" w:bidi="en-US"/>
        </w:rPr>
        <w:t>Include text.</w:t>
      </w:r>
    </w:p>
  </w:comment>
  <w:comment w:id="12" w:author="Vickruck, Jess [9]" w:date="2021-06-01T20:46:00Z" w:initials="VJ">
    <w:p>
      <w:r>
        <w:rPr>
          <w:rFonts w:eastAsia="DejaVu Sans" w:cs="DejaVu Sans"/>
          <w:kern w:val="0"/>
          <w:lang w:val="en-US" w:eastAsia="en-US" w:bidi="en-US"/>
        </w:rPr>
        <w:t>Who’s on first??</w:t>
      </w:r>
    </w:p>
    <w:p>
      <w:r>
        <w:rPr>
          <w:rFonts w:eastAsia="DejaVu Sans" w:cs="DejaVu Sans"/>
          <w:kern w:val="0"/>
          <w:lang w:val="en-US" w:eastAsia="en-US" w:bidi="en-US"/>
        </w:rPr>
      </w:r>
    </w:p>
    <w:p>
      <w:r>
        <w:rPr>
          <w:rFonts w:eastAsia="DejaVu Sans" w:cs="DejaVu Sans"/>
          <w:kern w:val="0"/>
          <w:lang w:val="en-US" w:eastAsia="en-US" w:bidi="en-US"/>
        </w:rPr>
        <w:t>I’m confused by this! lol</w:t>
      </w:r>
    </w:p>
  </w:comment>
  <w:comment w:id="13" w:author="Vickruck, Jess [10]" w:date="2021-06-01T20:48:00Z" w:initials="VJ">
    <w:p>
      <w:r>
        <w:rPr>
          <w:rFonts w:eastAsia="DejaVu Sans" w:cs="DejaVu Sans"/>
          <w:kern w:val="0"/>
          <w:lang w:val="en-US" w:eastAsia="en-US" w:bidi="en-US"/>
        </w:rPr>
        <w:t>You updated the map, but did you update the text to explain this as well?</w:t>
      </w:r>
    </w:p>
  </w:comment>
  <w:comment w:id="14" w:author="SR" w:date="2021-06-07T12:17:59Z" w:initials="SR">
    <w:p>
      <w:r>
        <w:rPr>
          <w:rFonts w:eastAsia="NSimSun" w:cs="Ari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Vickruck, Jess [10] (2021-06-01, 20:48): "..."</w:t>
      </w:r>
    </w:p>
    <w:p>
      <w:r>
        <w:rPr>
          <w:rFonts w:eastAsia="DejaVu Sans" w:cs="DejaVu Sans"/>
          <w:kern w:val="0"/>
          <w:sz w:val="20"/>
          <w:lang w:val="en-CA" w:eastAsia="zh-CN" w:bidi="hi-IN"/>
        </w:rPr>
        <w:t>Done</w:t>
      </w:r>
    </w:p>
  </w:comment>
  <w:comment w:id="15" w:author="Vickruck, Jess [11]" w:date="2021-06-01T20:51:00Z" w:initials="VJ">
    <w:p>
      <w:r>
        <w:rPr>
          <w:rFonts w:eastAsia="DejaVu Sans" w:cs="DejaVu Sans"/>
          <w:kern w:val="0"/>
          <w:lang w:val="en-US" w:eastAsia="en-US" w:bidi="en-US"/>
        </w:rPr>
        <w:t>Include new text here.</w:t>
      </w:r>
    </w:p>
  </w:comment>
  <w:comment w:id="16" w:author="Vickruck, Jess [12]" w:date="2021-06-01T20:53:00Z" w:initials="VJ">
    <w:p>
      <w:r>
        <w:rPr>
          <w:rFonts w:eastAsia="DejaVu Sans" w:cs="DejaVu Sans"/>
          <w:kern w:val="0"/>
          <w:lang w:val="en-US" w:eastAsia="en-US" w:bidi="en-US"/>
        </w:rPr>
        <w:t xml:space="preserve"> I don’t think your thought was finished here!</w:t>
      </w:r>
    </w:p>
  </w:comment>
  <w:comment w:id="17" w:author="SR" w:date="2021-05-25T17:16:00Z" w:initials="SR">
    <w:p>
      <w:r>
        <w:rPr>
          <w:rFonts w:eastAsia="DejaVu Sans" w:cs="DejaVu Sans"/>
          <w:kern w:val="0"/>
          <w:sz w:val="20"/>
          <w:lang w:val="en-US" w:eastAsia="en-US" w:bidi="en-US"/>
        </w:rPr>
        <w:t>Not sure how we could show this, aside from simulating abundances in fake landscapes. Partial regression plots are notoriously difficult for GLMs, and raw data don’t account for co-occuring effects.</w:t>
      </w:r>
    </w:p>
  </w:comment>
  <w:comment w:id="18" w:author="Vickruck, Jess [13]" w:date="2021-06-01T20:54:00Z" w:initials="VJ">
    <w:p>
      <w:r>
        <w:rPr>
          <w:rFonts w:eastAsia="DejaVu Sans" w:cs="DejaVu Sans"/>
          <w:kern w:val="0"/>
          <w:lang w:val="en-US" w:eastAsia="en-US" w:bidi="en-US"/>
        </w:rPr>
        <w:t>I am not sure that this answers the question posed by the reviewer.</w:t>
      </w:r>
    </w:p>
  </w:comment>
  <w:comment w:id="19" w:author="SR" w:date="2021-05-25T17:35:00Z" w:initials="SR">
    <w:p>
      <w:r>
        <w:rPr>
          <w:rFonts w:eastAsia="DejaVu Sans" w:cs="DejaVu Sans"/>
          <w:kern w:val="0"/>
          <w:sz w:val="20"/>
          <w:lang w:val="en-US" w:eastAsia="en-US" w:bidi="en-US"/>
        </w:rPr>
        <w:t>Which ones? Seems like this is more of an “axe to grind” comment.</w:t>
      </w:r>
    </w:p>
  </w:comment>
  <w:comment w:id="20" w:author="Vickruck, Jess [14]" w:date="2021-06-01T20:56:00Z" w:initials="VJ">
    <w:p>
      <w:r>
        <w:rPr>
          <w:rFonts w:eastAsia="DejaVu Sans" w:cs="DejaVu Sans"/>
          <w:kern w:val="0"/>
          <w:lang w:val="en-US" w:eastAsia="en-US" w:bidi="en-US"/>
        </w:rPr>
        <w:t>Include new text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TextBody"/>
    <w:qFormat/>
    <w:pPr>
      <w:outlineLvl w:val="0"/>
    </w:pPr>
    <w:rPr>
      <w:rFonts w:ascii="Liberation Serif" w:hAnsi="Liberation Serif" w:eastAsia="Noto Serif CJK SC" w:cs="Lohit Devanagari"/>
      <w:b/>
      <w:bCs/>
      <w:sz w:val="48"/>
      <w:szCs w:val="4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a2379d"/>
    <w:rPr>
      <w:rFonts w:ascii="Segoe UI" w:hAnsi="Segoe UI" w:cs="Mangal"/>
      <w:sz w:val="18"/>
      <w:szCs w:val="16"/>
    </w:rPr>
  </w:style>
  <w:style w:type="character" w:styleId="CommentSubjectChar" w:customStyle="1">
    <w:name w:val="Comment Subject Char"/>
    <w:basedOn w:val="CommentTextChar"/>
    <w:link w:val="CommentSubject"/>
    <w:uiPriority w:val="99"/>
    <w:semiHidden/>
    <w:qFormat/>
    <w:rsid w:val="00a2379d"/>
    <w:rPr>
      <w:rFonts w:cs="Mangal"/>
      <w:b/>
      <w:bCs/>
      <w:szCs w:val="18"/>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a2379d"/>
    <w:pPr/>
    <w:rPr>
      <w:rFonts w:ascii="Segoe UI" w:hAnsi="Segoe UI" w:cs="Mangal"/>
      <w:sz w:val="18"/>
      <w:szCs w:val="16"/>
    </w:rPr>
  </w:style>
  <w:style w:type="paragraph" w:styleId="Annotationsubject">
    <w:name w:val="annotation subject"/>
    <w:basedOn w:val="Annotationtext"/>
    <w:next w:val="Annotationtext"/>
    <w:link w:val="CommentSubjectChar"/>
    <w:uiPriority w:val="99"/>
    <w:semiHidden/>
    <w:unhideWhenUsed/>
    <w:qFormat/>
    <w:rsid w:val="00a2379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Application>LibreOffice/6.4.7.2$Linux_X86_64 LibreOffice_project/40$Build-2</Application>
  <Pages>9</Pages>
  <Words>3275</Words>
  <Characters>17036</Characters>
  <CharactersWithSpaces>20242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2021-06-01T12:18:00Z</dcterms:created>
  <dc:creator>Vickruck, Jessica</dc:creator>
  <dc:description/>
  <dc:language>en-CA</dc:language>
  <cp:lastModifiedBy/>
  <dcterms:modified xsi:type="dcterms:W3CDTF">2021-06-07T13:19:09Z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