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00" w:lineRule="auto"/>
        <w:rPr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b2a4a"/>
          <w:sz w:val="44"/>
          <w:szCs w:val="44"/>
          <w:rtl w:val="0"/>
        </w:rPr>
        <w:t xml:space="preserve">Daily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color w:val="1b2a4a"/>
          <w:sz w:val="44"/>
          <w:szCs w:val="44"/>
          <w:rtl w:val="0"/>
        </w:rPr>
        <w:t xml:space="preserve">Market Sentiment Brief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Georgia" w:cs="Georgia" w:eastAsia="Georgia" w:hAnsi="Georgia"/>
          <w:i w:val="1"/>
          <w:iCs w:val="1"/>
          <w:color w:val="33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Georgia" w:cs="Georgia" w:eastAsia="Georgia" w:hAnsi="Georgia"/>
          <w:b w:val="0"/>
          <w:bCs w:val="0"/>
          <w:i w:val="1"/>
          <w:iCs w:val="1"/>
          <w:color w:val="33333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1"/>
          <w:iCs w:val="1"/>
          <w:color w:val="333333"/>
          <w:sz w:val="20"/>
          <w:szCs w:val="20"/>
          <w:rtl w:val="0"/>
        </w:rPr>
        <w:t xml:space="preserve">Cross-market social sentiment for 22 July 2026. Earnings strength and a semis-led tech bounce offset lingering AI-bubble skepticism; crypto voices lean constructive as ETF inflows resume and shorts get squeezed near the $65k.</w:t>
      </w:r>
    </w:p>
    <w:p w:rsidR="00000000" w:rsidDel="00000000" w:rsidP="00000000" w:rsidRDefault="00000000" w:rsidRPr="00000000" w14:paraId="00000004">
      <w:pPr>
        <w:rPr>
          <w:rFonts w:ascii="Georgia" w:cs="Georgia" w:eastAsia="Georgia" w:hAnsi="Georgia"/>
          <w:i w:val="1"/>
          <w:iCs w:val="1"/>
          <w:color w:val="333333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510.0" w:type="dxa"/>
        <w:jc w:val="center"/>
        <w:tblBorders>
          <w:top w:color="1b2a4a" w:space="0" w:sz="6" w:val="single"/>
          <w:left w:color="1b2a4a" w:space="0" w:sz="6" w:val="single"/>
          <w:bottom w:color="1b2a4a" w:space="0" w:sz="6" w:val="single"/>
          <w:right w:color="1b2a4a" w:space="0" w:sz="6" w:val="single"/>
          <w:insideV w:color="1b2a4a" w:space="0" w:sz="6" w:val="single"/>
        </w:tblBorders>
        <w:tblLayout w:type="fixed"/>
        <w:tblLook w:val="0400"/>
      </w:tblPr>
      <w:tblGrid>
        <w:gridCol w:w="2102"/>
        <w:gridCol w:w="2102"/>
        <w:gridCol w:w="2102"/>
        <w:gridCol w:w="2102"/>
        <w:gridCol w:w="2102"/>
        <w:tblGridChange w:id="0">
          <w:tblGrid>
            <w:gridCol w:w="2102"/>
            <w:gridCol w:w="2102"/>
            <w:gridCol w:w="2102"/>
            <w:gridCol w:w="2102"/>
            <w:gridCol w:w="2102"/>
          </w:tblGrid>
        </w:tblGridChange>
      </w:tblGrid>
      <w:tr>
        <w:trPr>
          <w:cantSplit w:val="0"/>
          <w:trHeight w:val="211.15698242187494" w:hRule="atLeast"/>
          <w:tblHeader w:val="0"/>
        </w:trPr>
        <w:tc>
          <w:tcPr/>
          <w:p w:rsidR="00000000" w:rsidDel="00000000" w:rsidP="00000000" w:rsidRDefault="00000000" w:rsidRPr="00000000" w14:paraId="0000000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i w:val="0"/>
                <w:iCs w:val="0"/>
                <w:color w:val="1b2a4a"/>
                <w:sz w:val="27"/>
                <w:szCs w:val="27"/>
                <w:rtl w:val="0"/>
              </w:rPr>
              <w:t xml:space="preserve">+0.22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8a8f98"/>
                <w:sz w:val="14"/>
                <w:szCs w:val="14"/>
                <w:rtl w:val="0"/>
              </w:rPr>
              <w:t xml:space="preserve">NET MOOD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i w:val="0"/>
                <w:iCs w:val="0"/>
                <w:color w:val="1b2a4a"/>
                <w:sz w:val="27"/>
                <w:szCs w:val="27"/>
                <w:rtl w:val="0"/>
              </w:rPr>
              <w:t xml:space="preserve">+0.45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8a8f98"/>
                <w:sz w:val="14"/>
                <w:szCs w:val="14"/>
                <w:rtl w:val="0"/>
              </w:rPr>
              <w:t xml:space="preserve">EARNINGS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i w:val="0"/>
                <w:iCs w:val="0"/>
                <w:color w:val="1b2a4a"/>
                <w:sz w:val="27"/>
                <w:szCs w:val="27"/>
                <w:rtl w:val="0"/>
              </w:rPr>
              <w:t xml:space="preserve">+0.35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8a8f98"/>
                <w:sz w:val="14"/>
                <w:szCs w:val="14"/>
                <w:rtl w:val="0"/>
              </w:rPr>
              <w:t xml:space="preserve">CRYPTO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i w:val="0"/>
                <w:iCs w:val="0"/>
                <w:color w:val="b5342b"/>
                <w:sz w:val="27"/>
                <w:szCs w:val="27"/>
                <w:rtl w:val="0"/>
              </w:rPr>
              <w:t xml:space="preserve">-0.05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8a8f98"/>
                <w:sz w:val="14"/>
                <w:szCs w:val="14"/>
                <w:rtl w:val="0"/>
              </w:rPr>
              <w:t xml:space="preserve">AI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i w:val="0"/>
                <w:iCs w:val="0"/>
                <w:color w:val="8a8f98"/>
                <w:sz w:val="27"/>
                <w:szCs w:val="27"/>
                <w:rtl w:val="0"/>
              </w:rPr>
              <w:t xml:space="preserve">0.00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8a8f98"/>
                <w:sz w:val="14"/>
                <w:szCs w:val="14"/>
                <w:rtl w:val="0"/>
              </w:rPr>
              <w:t xml:space="preserve">TRENDING STKS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rPr>
          <w:rFonts w:ascii="Arial" w:cs="Arial" w:eastAsia="Arial" w:hAnsi="Arial"/>
          <w:b w:val="1"/>
          <w:bCs w:val="1"/>
          <w:color w:val="1b2a4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2a4a"/>
          <w:sz w:val="26"/>
          <w:szCs w:val="26"/>
          <w:rtl w:val="0"/>
        </w:rPr>
        <w:t xml:space="preserve">Net mood</w:t>
      </w:r>
      <w:r w:rsidDel="00000000" w:rsidR="00000000" w:rsidRPr="00000000">
        <w:rPr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1"/>
          <w:iCs w:val="1"/>
          <w:color w:val="8a8f98"/>
          <w:sz w:val="20"/>
          <w:szCs w:val="20"/>
          <w:rtl w:val="0"/>
        </w:rPr>
        <w:t xml:space="preserve">Overall market mood, engagement-weighted across eight themes.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0"/>
          <w:szCs w:val="20"/>
          <w:rtl w:val="0"/>
        </w:rPr>
        <w:t xml:space="preserve">Cautiously constructive (+0.22). Strong beat-and-raise earnings and a sharp semiconductor rebound outweigh AI-bubble fear and a thin, noisy alt-season tape; followed crypto voices lean bullish into resuming ETF inflows.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b w:val="1"/>
          <w:bCs w:val="1"/>
          <w:color w:val="1b2a4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00" w:lineRule="auto"/>
        <w:rPr>
          <w:rFonts w:ascii="Georgia" w:cs="Georgia" w:eastAsia="Georgia" w:hAnsi="Georgia"/>
          <w:i w:val="1"/>
          <w:iCs w:val="1"/>
          <w:color w:val="8a8f98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2a4a"/>
          <w:sz w:val="26"/>
          <w:szCs w:val="26"/>
          <w:rtl w:val="0"/>
        </w:rPr>
        <w:t xml:space="preserve">Sentiment by theme</w:t>
      </w:r>
      <w:r w:rsidDel="00000000" w:rsidR="00000000" w:rsidRPr="00000000">
        <w:rPr>
          <w:sz w:val="24"/>
          <w:szCs w:val="24"/>
          <w:rtl w:val="0"/>
        </w:rPr>
        <w:t xml:space="preserve">   </w:t>
      </w:r>
      <w:sdt>
        <w:sdtPr>
          <w:id w:val="-2003295163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1"/>
              <w:iCs w:val="1"/>
              <w:color w:val="8a8f98"/>
              <w:sz w:val="20"/>
              <w:szCs w:val="20"/>
              <w:rtl w:val="0"/>
            </w:rPr>
            <w:t xml:space="preserve">Engagement-weighted score in [−1, +1]; contributors tagged.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"/>
        <w:tblW w:w="10530.0" w:type="dxa"/>
        <w:jc w:val="left"/>
        <w:tblInd w:w="-115.0" w:type="dxa"/>
        <w:tblLayout w:type="fixed"/>
        <w:tblLook w:val="0400"/>
      </w:tblPr>
      <w:tblGrid>
        <w:gridCol w:w="2190"/>
        <w:gridCol w:w="1440"/>
        <w:gridCol w:w="6900"/>
        <w:tblGridChange w:id="0">
          <w:tblGrid>
            <w:gridCol w:w="2190"/>
            <w:gridCol w:w="1440"/>
            <w:gridCol w:w="6900"/>
          </w:tblGrid>
        </w:tblGridChange>
      </w:tblGrid>
      <w:tr>
        <w:trPr>
          <w:cantSplit w:val="0"/>
          <w:trHeight w:val="521.25" w:hRule="atLeast"/>
          <w:tblHeader w:val="0"/>
        </w:trPr>
        <w:tc>
          <w:tcPr>
            <w:tcBorders>
              <w:bottom w:color="d8dce2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2a4a"/>
                <w:sz w:val="19"/>
                <w:szCs w:val="19"/>
                <w:rtl w:val="0"/>
              </w:rPr>
              <w:t xml:space="preserve">Market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8dce2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2a4a"/>
                <w:sz w:val="19"/>
                <w:szCs w:val="19"/>
                <w:rtl w:val="0"/>
              </w:rPr>
              <w:t xml:space="preserve">+0.05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8dce2" w:space="0" w:sz="4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Indices whipsaw; UBS lifts SPX target vs AI-crash calls, no consensus. </w:t>
            </w: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1"/>
                <w:iCs w:val="1"/>
                <w:color w:val="8a8f98"/>
                <w:sz w:val="19"/>
                <w:szCs w:val="19"/>
                <w:rtl w:val="0"/>
              </w:rPr>
              <w:t xml:space="preserve">@misterrcrypto, @neilsethinew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1.25" w:hRule="atLeast"/>
          <w:tblHeader w:val="0"/>
        </w:trPr>
        <w:tc>
          <w:tcPr>
            <w:tcBorders>
              <w:bottom w:color="d8dce2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2a4a"/>
                <w:sz w:val="19"/>
                <w:szCs w:val="19"/>
                <w:rtl w:val="0"/>
              </w:rPr>
              <w:t xml:space="preserve">Crypto majors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8dce2" w:space="0" w:sz="4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2a4a"/>
                <w:sz w:val="19"/>
                <w:szCs w:val="19"/>
                <w:rtl w:val="0"/>
              </w:rPr>
              <w:t xml:space="preserve">+0.35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8dce2" w:space="0" w:sz="4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ETF inflows resume, BTC holds $65–66k, shorts wiped; ETH&gt;BTC narrative. </w:t>
            </w: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1"/>
                <w:iCs w:val="1"/>
                <w:color w:val="8a8f98"/>
                <w:sz w:val="19"/>
                <w:szCs w:val="19"/>
                <w:rtl w:val="0"/>
              </w:rPr>
              <w:t xml:space="preserve">@KillaXBT, @fundstrat, @IvanOnTech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1.25" w:hRule="atLeast"/>
          <w:tblHeader w:val="0"/>
        </w:trPr>
        <w:tc>
          <w:tcPr>
            <w:tcBorders>
              <w:bottom w:color="d8dce2" w:space="0" w:sz="4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2a4a"/>
                <w:sz w:val="19"/>
                <w:szCs w:val="19"/>
                <w:rtl w:val="0"/>
              </w:rPr>
              <w:t xml:space="preserve">Alts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8dce2" w:space="0" w:sz="4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2a4a"/>
                <w:sz w:val="19"/>
                <w:szCs w:val="19"/>
                <w:rtl w:val="0"/>
              </w:rPr>
              <w:t xml:space="preserve">+0.15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8dce2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Wall-to-wall alt-season chatter but mostly low-engagement/bot posts. </w:t>
            </w: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1"/>
                <w:iCs w:val="1"/>
                <w:color w:val="8a8f98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1.25" w:hRule="atLeast"/>
          <w:tblHeader w:val="0"/>
        </w:trPr>
        <w:tc>
          <w:tcPr>
            <w:tcBorders>
              <w:bottom w:color="d8dce2" w:space="0" w:sz="4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2a4a"/>
                <w:sz w:val="19"/>
                <w:szCs w:val="19"/>
                <w:rtl w:val="0"/>
              </w:rPr>
              <w:t xml:space="preserve">Tech stocks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8dce2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2a4a"/>
                <w:sz w:val="19"/>
                <w:szCs w:val="19"/>
                <w:rtl w:val="0"/>
              </w:rPr>
              <w:t xml:space="preserve">+0.40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8dce2" w:space="0" w:sz="4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Broad semis rebound: SOXL +17%, MU +13%, AMD +9%; chip rally into earnings. </w:t>
            </w: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1"/>
                <w:iCs w:val="1"/>
                <w:color w:val="8a8f98"/>
                <w:sz w:val="19"/>
                <w:szCs w:val="19"/>
                <w:rtl w:val="0"/>
              </w:rPr>
              <w:t xml:space="preserve">@FinanceLancelot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1.25" w:hRule="atLeast"/>
          <w:tblHeader w:val="0"/>
        </w:trPr>
        <w:tc>
          <w:tcPr>
            <w:tcBorders>
              <w:bottom w:color="d8dce2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2a4a"/>
                <w:sz w:val="19"/>
                <w:szCs w:val="19"/>
                <w:rtl w:val="0"/>
              </w:rPr>
              <w:t xml:space="preserve">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8dce2" w:space="0" w:sz="4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5342b"/>
                <w:sz w:val="19"/>
                <w:szCs w:val="19"/>
                <w:rtl w:val="0"/>
              </w:rPr>
              <w:t xml:space="preserve">-0.05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8dce2" w:space="0" w:sz="4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Bubble-fear (Kimi K3 shock) vs chip-strength bounce; roughly balanced. </w:t>
            </w: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1"/>
                <w:iCs w:val="1"/>
                <w:color w:val="8a8f98"/>
                <w:sz w:val="19"/>
                <w:szCs w:val="19"/>
                <w:rtl w:val="0"/>
              </w:rPr>
              <w:t xml:space="preserve">@PeterSchiff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1.25" w:hRule="atLeast"/>
          <w:tblHeader w:val="0"/>
        </w:trPr>
        <w:tc>
          <w:tcPr>
            <w:tcBorders>
              <w:bottom w:color="d8dce2" w:space="0" w:sz="4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2a4a"/>
                <w:sz w:val="19"/>
                <w:szCs w:val="19"/>
                <w:rtl w:val="0"/>
              </w:rPr>
              <w:t xml:space="preserve">Trending stocks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8dce2" w:space="0" w:sz="4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a8f98"/>
                <w:sz w:val="19"/>
                <w:szCs w:val="19"/>
                <w:rtl w:val="0"/>
              </w:rPr>
              <w:t xml:space="preserve">+0.00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8dce2" w:space="0" w:sz="4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Dominated by options-flow bot spam; no directional signal. </w:t>
            </w: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1"/>
                <w:iCs w:val="1"/>
                <w:color w:val="8a8f98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1.25" w:hRule="atLeast"/>
          <w:tblHeader w:val="0"/>
        </w:trPr>
        <w:tc>
          <w:tcPr>
            <w:tcBorders>
              <w:bottom w:color="d8dce2" w:space="0" w:sz="4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2a4a"/>
                <w:sz w:val="19"/>
                <w:szCs w:val="19"/>
                <w:rtl w:val="0"/>
              </w:rPr>
              <w:t xml:space="preserve">Macro / Fed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8dce2" w:space="0" w:sz="4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2a4a"/>
                <w:sz w:val="19"/>
                <w:szCs w:val="19"/>
                <w:rtl w:val="0"/>
              </w:rPr>
              <w:t xml:space="preserve">+0.05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8dce2" w:space="0" w:sz="4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Hike odds ~7% but bond desks flag oil-driven inflation risk; gold firm. </w:t>
            </w: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1"/>
                <w:iCs w:val="1"/>
                <w:color w:val="8a8f98"/>
                <w:sz w:val="19"/>
                <w:szCs w:val="19"/>
                <w:rtl w:val="0"/>
              </w:rPr>
              <w:t xml:space="preserve">@StackerSatoshi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1.25" w:hRule="atLeast"/>
          <w:tblHeader w:val="0"/>
        </w:trPr>
        <w:tc>
          <w:tcPr>
            <w:tcBorders>
              <w:bottom w:color="d8dce2" w:space="0" w:sz="4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2a4a"/>
                <w:sz w:val="19"/>
                <w:szCs w:val="19"/>
                <w:rtl w:val="0"/>
              </w:rPr>
              <w:t xml:space="preserve">Earnings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8dce2" w:space="0" w:sz="4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2a4a"/>
                <w:sz w:val="19"/>
                <w:szCs w:val="19"/>
                <w:rtl w:val="0"/>
              </w:rPr>
              <w:t xml:space="preserve">+0.45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8dce2" w:space="0" w:sz="4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Broad beat-and-raise: MMM, NOC, DHR, GM, TSMC all top estimates. </w:t>
            </w: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1"/>
                <w:iCs w:val="1"/>
                <w:color w:val="8a8f98"/>
                <w:sz w:val="19"/>
                <w:szCs w:val="19"/>
                <w:rtl w:val="0"/>
              </w:rPr>
              <w:t xml:space="preserve">@MEXCOceania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rPr>
          <w:rFonts w:ascii="Arial" w:cs="Arial" w:eastAsia="Arial" w:hAnsi="Arial"/>
          <w:b w:val="1"/>
          <w:bCs w:val="1"/>
          <w:color w:val="1b2a4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Arial" w:cs="Arial" w:eastAsia="Arial" w:hAnsi="Arial"/>
          <w:b w:val="1"/>
          <w:bCs w:val="1"/>
          <w:color w:val="1b2a4a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3"/>
          <w:szCs w:val="23"/>
          <w:rtl w:val="0"/>
        </w:rPr>
        <w:t xml:space="preserve">TRENDING</w:t>
      </w: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19"/>
          <w:szCs w:val="19"/>
          <w:rtl w:val="0"/>
        </w:rPr>
        <w:t xml:space="preserve">   </w:t>
      </w:r>
      <w:r w:rsidDel="00000000" w:rsidR="00000000" w:rsidRPr="00000000">
        <w:rPr>
          <w:rFonts w:ascii="Georgia" w:cs="Georgia" w:eastAsia="Georgia" w:hAnsi="Georgia"/>
          <w:sz w:val="19"/>
          <w:szCs w:val="19"/>
          <w:rtl w:val="0"/>
        </w:rPr>
        <w:t xml:space="preserve">BTC $66k / ETF inflows · semiconductors (MU, AMD, SOXL) · AI-bubble debate (Kimi K3) · alt-season · earnings beats · Fed rate path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Arial" w:cs="Arial" w:eastAsia="Arial" w:hAnsi="Arial"/>
          <w:b w:val="1"/>
          <w:bCs w:val="1"/>
          <w:color w:val="1b2a4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2a4a"/>
          <w:sz w:val="26"/>
          <w:szCs w:val="26"/>
          <w:rtl w:val="0"/>
        </w:rPr>
        <w:t xml:space="preserve">Notable voices</w:t>
      </w:r>
      <w:r w:rsidDel="00000000" w:rsidR="00000000" w:rsidRPr="00000000">
        <w:rPr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1"/>
          <w:iCs w:val="1"/>
          <w:color w:val="8a8f98"/>
          <w:sz w:val="20"/>
          <w:szCs w:val="20"/>
          <w:rtl w:val="0"/>
        </w:rPr>
        <w:t xml:space="preserve">Highest-signal posts from the accounts we follow.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Georgia" w:cs="Georgia" w:eastAsia="Georgia" w:hAnsi="Georgia"/>
          <w:b w:val="0"/>
          <w:bCs w:val="0"/>
          <w:i w:val="0"/>
          <w:iCs w:val="0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0"/>
          <w:szCs w:val="20"/>
          <w:rtl w:val="0"/>
        </w:rPr>
        <w:t xml:space="preserve">@fundstrat frames ETH outperforming DRAM by 72pp; </w:t>
      </w:r>
    </w:p>
    <w:p w:rsidR="00000000" w:rsidDel="00000000" w:rsidP="00000000" w:rsidRDefault="00000000" w:rsidRPr="00000000" w14:paraId="00000031">
      <w:pPr>
        <w:rPr>
          <w:rFonts w:ascii="Georgia" w:cs="Georgia" w:eastAsia="Georgia" w:hAnsi="Georgia"/>
          <w:b w:val="0"/>
          <w:bCs w:val="0"/>
          <w:i w:val="0"/>
          <w:iCs w:val="0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0"/>
          <w:szCs w:val="20"/>
          <w:rtl w:val="0"/>
        </w:rPr>
        <w:t xml:space="preserve">@KillaXBT maps higher-lows into the 2027–28 cycle; </w:t>
      </w:r>
    </w:p>
    <w:p w:rsidR="00000000" w:rsidDel="00000000" w:rsidP="00000000" w:rsidRDefault="00000000" w:rsidRPr="00000000" w14:paraId="00000032">
      <w:pPr>
        <w:rPr>
          <w:rFonts w:ascii="Georgia" w:cs="Georgia" w:eastAsia="Georgia" w:hAnsi="Georgia"/>
          <w:b w:val="0"/>
          <w:bCs w:val="0"/>
          <w:i w:val="0"/>
          <w:iCs w:val="0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0"/>
          <w:szCs w:val="20"/>
          <w:rtl w:val="0"/>
        </w:rPr>
        <w:t xml:space="preserve">@cz_binance and @VitalikButerin constructive on on-chain throughput.</w:t>
      </w:r>
    </w:p>
    <w:p w:rsidR="00000000" w:rsidDel="00000000" w:rsidP="00000000" w:rsidRDefault="00000000" w:rsidRPr="00000000" w14:paraId="00000033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color="141414" w:space="6" w:sz="6" w:val="single"/>
          <w:bottom w:color="141414" w:space="6" w:sz="6" w:val="single"/>
        </w:pBdr>
        <w:rPr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color w:val="1b2a4a"/>
          <w:sz w:val="20"/>
          <w:szCs w:val="20"/>
          <w:rtl w:val="0"/>
        </w:rPr>
        <w:t xml:space="preserve">Positioning implication: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1"/>
          <w:iCs w:val="1"/>
          <w:color w:val="1b2a4a"/>
          <w:sz w:val="20"/>
          <w:szCs w:val="20"/>
          <w:rtl w:val="0"/>
        </w:rPr>
        <w:t xml:space="preserve"> lean with the earnings/chip strength and constructive crypto tape, but treat alt-season and trending-stock chatter as noise until engagement broadens beyond bots.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720" w:top="792" w:left="864" w:right="86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Georgia"/>
  <w:font w:name="Arial"/>
  <w:font w:name="Gungsuh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keepNext w:val="0"/>
      <w:keepLines w:val="0"/>
      <w:pageBreakBefore w:val="0"/>
      <w:widowControl w:val="1"/>
      <w:pBdr>
        <w:top w:color="d8dce2" w:space="6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5241"/>
        <w:tab w:val="right" w:leader="none" w:pos="9360"/>
        <w:tab w:val="right" w:leader="none" w:pos="10512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8a8f98"/>
        <w:sz w:val="15"/>
        <w:szCs w:val="15"/>
        <w:u w:val="none"/>
        <w:shd w:fill="auto" w:val="clear"/>
        <w:vertAlign w:val="baseline"/>
        <w:rtl w:val="0"/>
      </w:rPr>
      <w:t xml:space="preserve">G-20 Research · Institutional · Confidential</w:t>
    </w:r>
    <w:r w:rsidDel="00000000" w:rsidR="00000000" w:rsidRPr="00000000">
      <w:rPr>
        <w:rFonts w:ascii="Georgia" w:cs="Georgia" w:eastAsia="Georgia" w:hAnsi="Georgia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8a8f98"/>
        <w:sz w:val="15"/>
        <w:szCs w:val="15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1b2a4a" w:space="6" w:sz="8" w:val="single"/>
        <w:right w:space="0" w:sz="0" w:val="nil"/>
        <w:between w:space="0" w:sz="0" w:val="nil"/>
      </w:pBdr>
      <w:shd w:fill="auto" w:val="clear"/>
      <w:tabs>
        <w:tab w:val="center" w:leader="none" w:pos="5241"/>
        <w:tab w:val="right" w:leader="none" w:pos="9360"/>
        <w:tab w:val="right" w:leader="none" w:pos="10512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color w:val="1b2a4a"/>
      </w:rPr>
      <w:drawing>
        <wp:inline distB="114300" distT="114300" distL="114300" distR="114300">
          <wp:extent cx="1277385" cy="328613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77385" cy="32861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Georgia" w:cs="Georgia" w:eastAsia="Georgia" w:hAnsi="Georgia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40" w:line="25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+BExLVIX2vAbnYsvFJLUIElBaA==">CgMxLjAaHQoBMBIYChYIB0ISCgdHZW9yZ2lhEgdHdW5nc3VoOAByITFWQmtvazdjYmhmeWczUFJ1SlliaFRvSGNwVnROblk4Vw==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