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3D5C"/>
          <w:sz w:val="48"/>
        </w:rPr>
        <w:t>NEREID-B — Complete Source Register</w:t>
      </w:r>
    </w:p>
    <w:p>
      <w:pPr>
        <w:jc w:val="center"/>
      </w:pPr>
      <w:r>
        <w:rPr>
          <w:rFonts w:ascii="Calibri" w:hAnsi="Calibri"/>
          <w:i/>
          <w:sz w:val="25"/>
        </w:rPr>
        <w:t>Every scientific, data, regulatory and software source used to build, validate and run the coupled stochastic-PDE brine-salinity solver</w:t>
      </w:r>
    </w:p>
    <w:p>
      <w:pPr>
        <w:spacing w:after="160"/>
      </w:pPr>
    </w:p>
    <w:p>
      <w:pPr>
        <w:spacing w:after="120"/>
      </w:pPr>
      <w:r>
        <w:rPr>
          <w:rFonts w:ascii="Calibri" w:hAnsi="Calibri"/>
          <w:b w:val="0"/>
          <w:i w:val="0"/>
          <w:sz w:val="22"/>
        </w:rPr>
        <w:t>This register lists every source the project depends on, grouped by role: (A) near-field laboratory jet scaling, (B) far-field real-site &amp; field datasets, (C) numerical-method &amp; turbulence theory, (D) equation-of-state standard, (E) wave &amp; boundary-condition theory, (F) regulatory criteria, (G) software libraries &amp; tools, and (H) project data files. For each source it states the full citation/identifier, what it was USED FOR, and what it DID (its role in the code or the value it provided). Sections G–H cover the computational sources (libraries, datasets, decks) that the literature-only validation record omits.</w:t>
      </w:r>
    </w:p>
    <w:p>
      <w:pPr>
        <w:pStyle w:val="Heading1"/>
      </w:pPr>
      <w:r>
        <w:rPr>
          <w:rFonts w:ascii="Calibri" w:hAnsi="Calibri"/>
          <w:color w:val="0B3D5C"/>
        </w:rPr>
        <w:t>A.  Near-field model — laboratory inclined-dense-jet scaling</w:t>
      </w:r>
    </w:p>
    <w:p>
      <w:pPr>
        <w:spacing w:after="120"/>
      </w:pPr>
      <w:r>
        <w:rPr>
          <w:rFonts w:ascii="Calibri" w:hAnsi="Calibri"/>
          <w:b w:val="0"/>
          <w:i w:val="0"/>
          <w:sz w:val="22"/>
        </w:rPr>
        <w:t>The unresolvable nozzle is represented by established inclined-dense-jet correlations (they ARE the laboratory data) implemented in nearfield_jet(): terminal rise z_t = 2.2·D·Fr, return distance x_r = 2.4·D·Fr, return dilution S_r = 1.6·Fr.</w:t>
      </w:r>
    </w:p>
    <w:p>
      <w:pPr>
        <w:spacing w:after="40"/>
      </w:pPr>
      <w:r>
        <w:rPr>
          <w:rFonts w:ascii="Calibri" w:hAnsi="Calibri"/>
          <w:b/>
          <w:sz w:val="22"/>
        </w:rPr>
        <w:t xml:space="preserve">[1]  </w:t>
      </w:r>
      <w:r>
        <w:rPr>
          <w:rFonts w:ascii="Calibri" w:hAnsi="Calibri"/>
          <w:sz w:val="22"/>
        </w:rPr>
        <w:t>Roberts, P.J.W., Ferrier, A. &amp; Daviero, G. (1997). “Mixing in Inclined Dense Jets.” J. Hydraulic Engineering 123(8): 693–699.</w:t>
      </w:r>
    </w:p>
    <w:p>
      <w:pPr>
        <w:pStyle w:val="ListBullet2"/>
        <w:spacing w:after="20"/>
      </w:pPr>
      <w:r>
        <w:rPr>
          <w:rFonts w:ascii="Calibri" w:hAnsi="Calibri"/>
          <w:b/>
          <w:sz w:val="20"/>
        </w:rPr>
        <w:t xml:space="preserve">Used for: </w:t>
      </w:r>
      <w:r>
        <w:rPr>
          <w:rFonts w:ascii="Calibri" w:hAnsi="Calibri"/>
          <w:sz w:val="20"/>
        </w:rPr>
        <w:t>Primary near-field scaling for 60° negatively-buoyant jets, implemented in nearfield_jet().</w:t>
      </w:r>
    </w:p>
    <w:p>
      <w:pPr>
        <w:pStyle w:val="ListBullet2"/>
        <w:spacing w:after="160"/>
      </w:pPr>
      <w:r>
        <w:rPr>
          <w:rFonts w:ascii="Calibri" w:hAnsi="Calibri"/>
          <w:b/>
          <w:sz w:val="20"/>
        </w:rPr>
        <w:t xml:space="preserve">What it did: </w:t>
      </w:r>
      <w:r>
        <w:rPr>
          <w:rFonts w:ascii="Calibri" w:hAnsi="Calibri"/>
          <w:sz w:val="20"/>
        </w:rPr>
        <w:t>Sets the rise/return/dilution laws; gives the validated rise-ratio band 2.1–2.8 (NEREID-B reproduces 2.20). For the Sydney case it produced Fr=24.3, rise 6.4 m, return 7.0 m, 38:1.</w:t>
      </w:r>
    </w:p>
    <w:p>
      <w:pPr>
        <w:spacing w:after="40"/>
      </w:pPr>
      <w:r>
        <w:rPr>
          <w:rFonts w:ascii="Calibri" w:hAnsi="Calibri"/>
          <w:b/>
          <w:sz w:val="22"/>
        </w:rPr>
        <w:t xml:space="preserve">[2]  </w:t>
      </w:r>
      <w:r>
        <w:rPr>
          <w:rFonts w:ascii="Calibri" w:hAnsi="Calibri"/>
          <w:sz w:val="22"/>
        </w:rPr>
        <w:t>Cipollina, A., Brucato, A., Grisafi, F. &amp; Nicosia, S. (2005). “Bench-Scale Investigation of Inclined Dense Jets.” J. Hydraulic Engineering 131(11): 1017–1022.</w:t>
      </w:r>
    </w:p>
    <w:p>
      <w:pPr>
        <w:pStyle w:val="ListBullet2"/>
        <w:spacing w:after="20"/>
      </w:pPr>
      <w:r>
        <w:rPr>
          <w:rFonts w:ascii="Calibri" w:hAnsi="Calibri"/>
          <w:b/>
          <w:sz w:val="20"/>
        </w:rPr>
        <w:t xml:space="preserve">Used for: </w:t>
      </w:r>
      <w:r>
        <w:rPr>
          <w:rFonts w:ascii="Calibri" w:hAnsi="Calibri"/>
          <w:sz w:val="20"/>
        </w:rPr>
        <w:t>Independent laboratory confirmation of the inclined dense-jet rise/dilution scaling.</w:t>
      </w:r>
    </w:p>
    <w:p>
      <w:pPr>
        <w:pStyle w:val="ListBullet2"/>
        <w:spacing w:after="160"/>
      </w:pPr>
      <w:r>
        <w:rPr>
          <w:rFonts w:ascii="Calibri" w:hAnsi="Calibri"/>
          <w:b/>
          <w:sz w:val="20"/>
        </w:rPr>
        <w:t xml:space="preserve">What it did: </w:t>
      </w:r>
      <w:r>
        <w:rPr>
          <w:rFonts w:ascii="Calibri" w:hAnsi="Calibri"/>
          <w:sz w:val="20"/>
        </w:rPr>
        <w:t>Corroborated the 2.1–2.8 rise band the solver uses; bounds confidence in the near-field law.</w:t>
      </w:r>
    </w:p>
    <w:p>
      <w:pPr>
        <w:spacing w:after="40"/>
      </w:pPr>
      <w:r>
        <w:rPr>
          <w:rFonts w:ascii="Calibri" w:hAnsi="Calibri"/>
          <w:b/>
          <w:sz w:val="22"/>
        </w:rPr>
        <w:t xml:space="preserve">[3]  </w:t>
      </w:r>
      <w:r>
        <w:rPr>
          <w:rFonts w:ascii="Calibri" w:hAnsi="Calibri"/>
          <w:sz w:val="22"/>
        </w:rPr>
        <w:t>Lai, C.C.K. &amp; Lee, J.H.W. (2012). “Mixing of inclined dense jets in stationary ambient.” J. Hydro-environment Research 6(1): 9–28.</w:t>
      </w:r>
    </w:p>
    <w:p>
      <w:pPr>
        <w:pStyle w:val="ListBullet2"/>
        <w:spacing w:after="20"/>
      </w:pPr>
      <w:r>
        <w:rPr>
          <w:rFonts w:ascii="Calibri" w:hAnsi="Calibri"/>
          <w:b/>
          <w:sz w:val="20"/>
        </w:rPr>
        <w:t xml:space="preserve">Used for: </w:t>
      </w:r>
      <w:r>
        <w:rPr>
          <w:rFonts w:ascii="Calibri" w:hAnsi="Calibri"/>
          <w:sz w:val="20"/>
        </w:rPr>
        <w:t>Supporting trajectory/dilution scaling across Froude numbers and nozzle angles.</w:t>
      </w:r>
    </w:p>
    <w:p>
      <w:pPr>
        <w:pStyle w:val="ListBullet2"/>
        <w:spacing w:after="160"/>
      </w:pPr>
      <w:r>
        <w:rPr>
          <w:rFonts w:ascii="Calibri" w:hAnsi="Calibri"/>
          <w:b/>
          <w:sz w:val="20"/>
        </w:rPr>
        <w:t xml:space="preserve">What it did: </w:t>
      </w:r>
      <w:r>
        <w:rPr>
          <w:rFonts w:ascii="Calibri" w:hAnsi="Calibri"/>
          <w:sz w:val="20"/>
        </w:rPr>
        <w:t>Used to bound the sin/cos angle factors applied for non-60° nozzles in nearfield_jet().</w:t>
      </w:r>
    </w:p>
    <w:p>
      <w:pPr>
        <w:spacing w:after="40"/>
      </w:pPr>
      <w:r>
        <w:rPr>
          <w:rFonts w:ascii="Calibri" w:hAnsi="Calibri"/>
          <w:b/>
          <w:sz w:val="22"/>
        </w:rPr>
        <w:t xml:space="preserve">[4]  </w:t>
      </w:r>
      <w:r>
        <w:rPr>
          <w:rFonts w:ascii="Calibri" w:hAnsi="Calibri"/>
          <w:sz w:val="22"/>
        </w:rPr>
        <w:t>Abessi, O. &amp; Roberts, P.J.W. (2014). “Multiport Diffusers for Dense Discharges.” J. Hydraulic Engineering 140(8): 04014032.</w:t>
      </w:r>
    </w:p>
    <w:p>
      <w:pPr>
        <w:pStyle w:val="ListBullet2"/>
        <w:spacing w:after="20"/>
      </w:pPr>
      <w:r>
        <w:rPr>
          <w:rFonts w:ascii="Calibri" w:hAnsi="Calibri"/>
          <w:b/>
          <w:sz w:val="20"/>
        </w:rPr>
        <w:t xml:space="preserve">Used for: </w:t>
      </w:r>
      <w:r>
        <w:rPr>
          <w:rFonts w:ascii="Calibri" w:hAnsi="Calibri"/>
          <w:sz w:val="20"/>
        </w:rPr>
        <w:t>Quantitative multiport near-field dilution benchmark (the scaling the WA EPA Perth model adopts) and the multiport plume-merging reduction.</w:t>
      </w:r>
    </w:p>
    <w:p>
      <w:pPr>
        <w:pStyle w:val="ListBullet2"/>
        <w:spacing w:after="160"/>
      </w:pPr>
      <w:r>
        <w:rPr>
          <w:rFonts w:ascii="Calibri" w:hAnsi="Calibri"/>
          <w:b/>
          <w:sz w:val="20"/>
        </w:rPr>
        <w:t xml:space="preserve">What it did: </w:t>
      </w:r>
      <w:r>
        <w:rPr>
          <w:rFonts w:ascii="Calibri" w:hAnsi="Calibri"/>
          <w:sz w:val="20"/>
        </w:rPr>
        <w:t>Calibrated the merge_factor for n_ports&gt;1 with finite spacing; Perth check S_i 27.7 vs NEREID-B 28.7 (~3.5%).</w:t>
      </w:r>
    </w:p>
    <w:p>
      <w:pPr>
        <w:spacing w:after="40"/>
      </w:pPr>
      <w:r>
        <w:rPr>
          <w:rFonts w:ascii="Calibri" w:hAnsi="Calibri"/>
          <w:b/>
          <w:sz w:val="22"/>
        </w:rPr>
        <w:t xml:space="preserve">[5]  </w:t>
      </w:r>
      <w:r>
        <w:rPr>
          <w:rFonts w:ascii="Calibri" w:hAnsi="Calibri"/>
          <w:sz w:val="22"/>
        </w:rPr>
        <w:t>Abessi, O. &amp; Roberts, P.J.W. (2017). “Effect of Nozzle Orientation on Dense Jets in Stagnant Environments.” J. Hydraulic Engineering 143(...).</w:t>
      </w:r>
    </w:p>
    <w:p>
      <w:pPr>
        <w:pStyle w:val="ListBullet2"/>
        <w:spacing w:after="20"/>
      </w:pPr>
      <w:r>
        <w:rPr>
          <w:rFonts w:ascii="Calibri" w:hAnsi="Calibri"/>
          <w:b/>
          <w:sz w:val="20"/>
        </w:rPr>
        <w:t xml:space="preserve">Used for: </w:t>
      </w:r>
      <w:r>
        <w:rPr>
          <w:rFonts w:ascii="Calibri" w:hAnsi="Calibri"/>
          <w:sz w:val="20"/>
        </w:rPr>
        <w:t>Crossflow rise-lowering and downstream-shift behaviour for the Lagrangian near-field option.</w:t>
      </w:r>
    </w:p>
    <w:p>
      <w:pPr>
        <w:pStyle w:val="ListBullet2"/>
        <w:spacing w:after="160"/>
      </w:pPr>
      <w:r>
        <w:rPr>
          <w:rFonts w:ascii="Calibri" w:hAnsi="Calibri"/>
          <w:b/>
          <w:sz w:val="20"/>
        </w:rPr>
        <w:t xml:space="preserve">What it did: </w:t>
      </w:r>
      <w:r>
        <w:rPr>
          <w:rFonts w:ascii="Calibri" w:hAnsi="Calibri"/>
          <w:sz w:val="20"/>
        </w:rPr>
        <w:t>Set the rise-lowering / downstream-shift trends in nearfield_jet_lagrangian().</w:t>
      </w:r>
    </w:p>
    <w:p>
      <w:pPr>
        <w:spacing w:after="40"/>
      </w:pPr>
      <w:r>
        <w:rPr>
          <w:rFonts w:ascii="Calibri" w:hAnsi="Calibri"/>
          <w:b/>
          <w:sz w:val="22"/>
        </w:rPr>
        <w:t xml:space="preserve">[6]  </w:t>
      </w:r>
      <w:r>
        <w:rPr>
          <w:rFonts w:ascii="Calibri" w:hAnsi="Calibri"/>
          <w:sz w:val="22"/>
        </w:rPr>
        <w:t>Porto Pereira, N. et al. (2024). Frontiers in Marine Science 11:1377252.</w:t>
      </w:r>
    </w:p>
    <w:p>
      <w:pPr>
        <w:pStyle w:val="ListBullet2"/>
        <w:spacing w:after="20"/>
      </w:pPr>
      <w:r>
        <w:rPr>
          <w:rFonts w:ascii="Calibri" w:hAnsi="Calibri"/>
          <w:b/>
          <w:sz w:val="20"/>
        </w:rPr>
        <w:t xml:space="preserve">Used for: </w:t>
      </w:r>
      <w:r>
        <w:rPr>
          <w:rFonts w:ascii="Calibri" w:hAnsi="Calibri"/>
          <w:sz w:val="20"/>
        </w:rPr>
        <w:t>Calibration of the near-field crossflow dilution enhancement (no longer 'experimental').</w:t>
      </w:r>
    </w:p>
    <w:p>
      <w:pPr>
        <w:pStyle w:val="ListBullet2"/>
        <w:spacing w:after="160"/>
      </w:pPr>
      <w:r>
        <w:rPr>
          <w:rFonts w:ascii="Calibri" w:hAnsi="Calibri"/>
          <w:b/>
          <w:sz w:val="20"/>
        </w:rPr>
        <w:t xml:space="preserve">What it did: </w:t>
      </w:r>
      <w:r>
        <w:rPr>
          <w:rFonts w:ascii="Calibri" w:hAnsi="Calibri"/>
          <w:sz w:val="20"/>
        </w:rPr>
        <w:t>Calibrated the crossflow factor: reproduces Perth-60° ~7× at 1 m/s and ~1.0× at the operational 0.08 m/s, preserving the validated stagnant baseline.</w:t>
      </w:r>
    </w:p>
    <w:p>
      <w:pPr>
        <w:pStyle w:val="Heading1"/>
      </w:pPr>
      <w:r>
        <w:rPr>
          <w:rFonts w:ascii="Calibri" w:hAnsi="Calibri"/>
          <w:color w:val="0B3D5C"/>
        </w:rPr>
        <w:t>B.  Far-field real-site &amp; field datasets</w:t>
      </w:r>
    </w:p>
    <w:p>
      <w:pPr>
        <w:spacing w:after="40"/>
      </w:pPr>
      <w:r>
        <w:rPr>
          <w:rFonts w:ascii="Calibri" w:hAnsi="Calibri"/>
          <w:b/>
          <w:sz w:val="22"/>
        </w:rPr>
        <w:t xml:space="preserve">[7]  </w:t>
      </w:r>
      <w:r>
        <w:rPr>
          <w:rFonts w:ascii="Calibri" w:hAnsi="Calibri"/>
          <w:sz w:val="22"/>
        </w:rPr>
        <w:t>BMT / Oceanica for the Water Corporation of WA. “Perth Desalination Plant Discharge Modelling: Model Validation.” Appendix D, PSDP2 referral, WA EPA.</w:t>
      </w:r>
    </w:p>
    <w:p>
      <w:pPr>
        <w:pStyle w:val="ListBullet2"/>
        <w:spacing w:after="20"/>
      </w:pPr>
      <w:r>
        <w:rPr>
          <w:rFonts w:ascii="Calibri" w:hAnsi="Calibri"/>
          <w:b/>
          <w:sz w:val="20"/>
        </w:rPr>
        <w:t xml:space="preserve">Used for: </w:t>
      </w:r>
      <w:r>
        <w:rPr>
          <w:rFonts w:ascii="Calibri" w:hAnsi="Calibri"/>
          <w:sz w:val="20"/>
        </w:rPr>
        <w:t>Authoritative diffuser specs (45 GL/yr, 45% recovery, ~163 m double-tee, 40×0.13 m ports at 60°, 2.51 m³/s, 61.4 into 36.5) and the 45:1@50 m target; the primary far-field benchmark.</w:t>
      </w:r>
    </w:p>
    <w:p>
      <w:pPr>
        <w:pStyle w:val="ListBullet2"/>
        <w:spacing w:after="160"/>
      </w:pPr>
      <w:r>
        <w:rPr>
          <w:rFonts w:ascii="Calibri" w:hAnsi="Calibri"/>
          <w:b/>
          <w:sz w:val="20"/>
        </w:rPr>
        <w:t xml:space="preserve">What it did: </w:t>
      </w:r>
      <w:r>
        <w:rPr>
          <w:rFonts w:ascii="Calibri" w:hAnsi="Calibri"/>
          <w:sz w:val="20"/>
        </w:rPr>
        <w:t>Defined perth_case_input.json and the far-field conservative validation: model ~34.6:1 vs 45:1 at 50 m (ratio 0.77, conservative = over-predicts impact = safe).</w:t>
      </w:r>
    </w:p>
    <w:p>
      <w:pPr>
        <w:spacing w:after="40"/>
      </w:pPr>
      <w:r>
        <w:rPr>
          <w:rFonts w:ascii="Calibri" w:hAnsi="Calibri"/>
          <w:b/>
          <w:sz w:val="22"/>
        </w:rPr>
        <w:t xml:space="preserve">[8]  </w:t>
      </w:r>
      <w:r>
        <w:rPr>
          <w:rFonts w:ascii="Calibri" w:hAnsi="Calibri"/>
          <w:sz w:val="22"/>
        </w:rPr>
        <w:t>Water Corporation of Western Australia — Perth Seawater Desalination Plant (operational / environmental information).</w:t>
      </w:r>
    </w:p>
    <w:p>
      <w:pPr>
        <w:pStyle w:val="ListBullet2"/>
        <w:spacing w:after="20"/>
      </w:pPr>
      <w:r>
        <w:rPr>
          <w:rFonts w:ascii="Calibri" w:hAnsi="Calibri"/>
          <w:b/>
          <w:sz w:val="20"/>
        </w:rPr>
        <w:t xml:space="preserve">Used for: </w:t>
      </w:r>
      <w:r>
        <w:rPr>
          <w:rFonts w:ascii="Calibri" w:hAnsi="Calibri"/>
          <w:sz w:val="20"/>
        </w:rPr>
        <w:t>Plant capacity, recovery and discharge context.</w:t>
      </w:r>
    </w:p>
    <w:p>
      <w:pPr>
        <w:pStyle w:val="ListBullet2"/>
        <w:spacing w:after="160"/>
      </w:pPr>
      <w:r>
        <w:rPr>
          <w:rFonts w:ascii="Calibri" w:hAnsi="Calibri"/>
          <w:b/>
          <w:sz w:val="20"/>
        </w:rPr>
        <w:t xml:space="preserve">What it did: </w:t>
      </w:r>
      <w:r>
        <w:rPr>
          <w:rFonts w:ascii="Calibri" w:hAnsi="Calibri"/>
          <w:sz w:val="20"/>
        </w:rPr>
        <w:t>Cross-checked the Perth diffuser configuration (45 GL/yr; ambient ≈36.5; reject ≈61–65).</w:t>
      </w:r>
    </w:p>
    <w:p>
      <w:pPr>
        <w:spacing w:after="40"/>
      </w:pPr>
      <w:r>
        <w:rPr>
          <w:rFonts w:ascii="Calibri" w:hAnsi="Calibri"/>
          <w:b/>
          <w:sz w:val="22"/>
        </w:rPr>
        <w:t xml:space="preserve">[9]  </w:t>
      </w:r>
      <w:r>
        <w:rPr>
          <w:rFonts w:ascii="Calibri" w:hAnsi="Calibri"/>
          <w:sz w:val="22"/>
        </w:rPr>
        <w:t>Marti, C.L., Antenucci, J.P., Luketina, D., Okely, P. &amp; Imberger, J. (2011). “Near-Field Dilution Characteristics of a Negatively Buoyant Hypersaline Jet Generated by a Desalination Plant.” J. Hydraulic Engineering 137(1): 57–65.</w:t>
      </w:r>
    </w:p>
    <w:p>
      <w:pPr>
        <w:pStyle w:val="ListBullet2"/>
        <w:spacing w:after="20"/>
      </w:pPr>
      <w:r>
        <w:rPr>
          <w:rFonts w:ascii="Calibri" w:hAnsi="Calibri"/>
          <w:b/>
          <w:sz w:val="20"/>
        </w:rPr>
        <w:t xml:space="preserve">Used for: </w:t>
      </w:r>
      <w:r>
        <w:rPr>
          <w:rFonts w:ascii="Calibri" w:hAnsi="Calibri"/>
          <w:sz w:val="20"/>
        </w:rPr>
        <w:t>In-situ field validation of the Perth near-field dilution.</w:t>
      </w:r>
    </w:p>
    <w:p>
      <w:pPr>
        <w:pStyle w:val="ListBullet2"/>
        <w:spacing w:after="160"/>
      </w:pPr>
      <w:r>
        <w:rPr>
          <w:rFonts w:ascii="Calibri" w:hAnsi="Calibri"/>
          <w:b/>
          <w:sz w:val="20"/>
        </w:rPr>
        <w:t xml:space="preserve">What it did: </w:t>
      </w:r>
      <w:r>
        <w:rPr>
          <w:rFonts w:ascii="Calibri" w:hAnsi="Calibri"/>
          <w:sz w:val="20"/>
        </w:rPr>
        <w:t>Confirmed the near-field correlation against measured Perth data.</w:t>
      </w:r>
    </w:p>
    <w:p>
      <w:pPr>
        <w:spacing w:after="40"/>
      </w:pPr>
      <w:r>
        <w:rPr>
          <w:rFonts w:ascii="Calibri" w:hAnsi="Calibri"/>
          <w:b/>
          <w:sz w:val="22"/>
        </w:rPr>
        <w:t xml:space="preserve">[10]  </w:t>
      </w:r>
      <w:r>
        <w:rPr>
          <w:rFonts w:ascii="Calibri" w:hAnsi="Calibri"/>
          <w:sz w:val="22"/>
        </w:rPr>
        <w:t>Gacia, E., Invers, O., Manzanera, M., Ballesteros, E. &amp; Romero, J. (2007). “Impact of the brine from a desalination plant on a shallow seagrass (Posidonia oceanica) meadow.” Estuarine, Coastal and Shelf Science 72(4): 579–590. doi:10.1016/j.ecss.2006.11.021.</w:t>
      </w:r>
    </w:p>
    <w:p>
      <w:pPr>
        <w:pStyle w:val="ListBullet2"/>
        <w:spacing w:after="20"/>
      </w:pPr>
      <w:r>
        <w:rPr>
          <w:rFonts w:ascii="Calibri" w:hAnsi="Calibri"/>
          <w:b/>
          <w:sz w:val="20"/>
        </w:rPr>
        <w:t xml:space="preserve">Used for: </w:t>
      </w:r>
      <w:r>
        <w:rPr>
          <w:rFonts w:ascii="Calibri" w:hAnsi="Calibri"/>
          <w:sz w:val="20"/>
        </w:rPr>
        <w:t>Measured shallow far-field ΔS transect (5.0/2.5/1.0 ppt at 10/20/30 m); the file gacia2007_ctd.csv used with --calibrate-ctd.</w:t>
      </w:r>
    </w:p>
    <w:p>
      <w:pPr>
        <w:pStyle w:val="ListBullet2"/>
        <w:spacing w:after="160"/>
      </w:pPr>
      <w:r>
        <w:rPr>
          <w:rFonts w:ascii="Calibri" w:hAnsi="Calibri"/>
          <w:b/>
          <w:sz w:val="20"/>
        </w:rPr>
        <w:t xml:space="preserve">What it did: </w:t>
      </w:r>
      <w:r>
        <w:rPr>
          <w:rFonts w:ascii="Calibri" w:hAnsi="Calibri"/>
          <w:sz w:val="20"/>
        </w:rPr>
        <w:t>Defined the OUT-OF-ENVELOPE boundary (shallow surface discharge): model decay ~23 m vs observed ~12 m — a documented class mismatch, reported transparently.</w:t>
      </w:r>
    </w:p>
    <w:p>
      <w:pPr>
        <w:spacing w:after="40"/>
      </w:pPr>
      <w:r>
        <w:rPr>
          <w:rFonts w:ascii="Calibri" w:hAnsi="Calibri"/>
          <w:b/>
          <w:sz w:val="22"/>
        </w:rPr>
        <w:t xml:space="preserve">[11]  </w:t>
      </w:r>
      <w:r>
        <w:rPr>
          <w:rFonts w:ascii="Calibri" w:hAnsi="Calibri"/>
          <w:sz w:val="22"/>
        </w:rPr>
        <w:t>Fernández-Torquemada, Y., Sánchez-Lizaso, J.L. &amp; González-Correa, J.M. (2005). “Monitoring of the brine discharge of the SWRO plant of Alicante (SE Spain).” Desalination 182: 395–402.</w:t>
      </w:r>
    </w:p>
    <w:p>
      <w:pPr>
        <w:pStyle w:val="ListBullet2"/>
        <w:spacing w:after="20"/>
      </w:pPr>
      <w:r>
        <w:rPr>
          <w:rFonts w:ascii="Calibri" w:hAnsi="Calibri"/>
          <w:b/>
          <w:sz w:val="20"/>
        </w:rPr>
        <w:t xml:space="preserve">Used for: </w:t>
      </w:r>
      <w:r>
        <w:rPr>
          <w:rFonts w:ascii="Calibri" w:hAnsi="Calibri"/>
          <w:sz w:val="20"/>
        </w:rPr>
        <w:t>Mediterranean SWRO reject salinity and ambient cross-check values.</w:t>
      </w:r>
    </w:p>
    <w:p>
      <w:pPr>
        <w:pStyle w:val="ListBullet2"/>
        <w:spacing w:after="160"/>
      </w:pPr>
      <w:r>
        <w:rPr>
          <w:rFonts w:ascii="Calibri" w:hAnsi="Calibri"/>
          <w:b/>
          <w:sz w:val="20"/>
        </w:rPr>
        <w:t xml:space="preserve">What it did: </w:t>
      </w:r>
      <w:r>
        <w:rPr>
          <w:rFonts w:ascii="Calibri" w:hAnsi="Calibri"/>
          <w:sz w:val="20"/>
        </w:rPr>
        <w:t>Provided contrast values (reject ≈68; ambient ≈37.5).</w:t>
      </w:r>
    </w:p>
    <w:p>
      <w:pPr>
        <w:spacing w:after="40"/>
      </w:pPr>
      <w:r>
        <w:rPr>
          <w:rFonts w:ascii="Calibri" w:hAnsi="Calibri"/>
          <w:b/>
          <w:sz w:val="22"/>
        </w:rPr>
        <w:t xml:space="preserve">[12]  </w:t>
      </w:r>
      <w:r>
        <w:rPr>
          <w:rFonts w:ascii="Calibri" w:hAnsi="Calibri"/>
          <w:sz w:val="22"/>
        </w:rPr>
        <w:t>Sydney Desalination Plant (Kurnell, NSW) — public design basis (250 ML/day capacity, ~47% recovery, offshore Tasman-shelf diffuser ~25 m depth, tunnelled multiport risers).</w:t>
      </w:r>
    </w:p>
    <w:p>
      <w:pPr>
        <w:pStyle w:val="ListBullet2"/>
        <w:spacing w:after="20"/>
      </w:pPr>
      <w:r>
        <w:rPr>
          <w:rFonts w:ascii="Calibri" w:hAnsi="Calibri"/>
          <w:b/>
          <w:sz w:val="20"/>
        </w:rPr>
        <w:t xml:space="preserve">Used for: </w:t>
      </w:r>
      <w:r>
        <w:rPr>
          <w:rFonts w:ascii="Calibri" w:hAnsi="Calibri"/>
          <w:sz w:val="20"/>
        </w:rPr>
        <w:t>The industrial case study modelled in folder 6 (sydney_case_input.json).</w:t>
      </w:r>
    </w:p>
    <w:p>
      <w:pPr>
        <w:pStyle w:val="ListBullet2"/>
        <w:spacing w:after="160"/>
      </w:pPr>
      <w:r>
        <w:rPr>
          <w:rFonts w:ascii="Calibri" w:hAnsi="Calibri"/>
          <w:b/>
          <w:sz w:val="20"/>
        </w:rPr>
        <w:t xml:space="preserve">What it did: </w:t>
      </w:r>
      <w:r>
        <w:rPr>
          <w:rFonts w:ascii="Calibri" w:hAnsi="Calibri"/>
          <w:sz w:val="20"/>
        </w:rPr>
        <w:t>Set the public parameters; per-port geometry is a clearly-labelled representative engineering configuration (concentrate ~3.26 m³/s, ~67 g/kg from the recovery mass balance).</w:t>
      </w:r>
    </w:p>
    <w:p>
      <w:pPr>
        <w:pStyle w:val="Heading1"/>
      </w:pPr>
      <w:r>
        <w:rPr>
          <w:rFonts w:ascii="Calibri" w:hAnsi="Calibri"/>
          <w:color w:val="0B3D5C"/>
        </w:rPr>
        <w:t>C.  Numerical method &amp; turbulence-closure theory</w:t>
      </w:r>
    </w:p>
    <w:p>
      <w:pPr>
        <w:spacing w:after="40"/>
      </w:pPr>
      <w:r>
        <w:rPr>
          <w:rFonts w:ascii="Calibri" w:hAnsi="Calibri"/>
          <w:b/>
          <w:sz w:val="22"/>
        </w:rPr>
        <w:t xml:space="preserve">[13]  </w:t>
      </w:r>
      <w:r>
        <w:rPr>
          <w:rFonts w:ascii="Calibri" w:hAnsi="Calibri"/>
          <w:sz w:val="22"/>
        </w:rPr>
        <w:t>Chorin, A.J. (1968). “Numerical solution of the Navier–Stokes equations.” Mathematics of Computation 22(104): 745–762.</w:t>
      </w:r>
    </w:p>
    <w:p>
      <w:pPr>
        <w:pStyle w:val="ListBullet2"/>
        <w:spacing w:after="20"/>
      </w:pPr>
      <w:r>
        <w:rPr>
          <w:rFonts w:ascii="Calibri" w:hAnsi="Calibri"/>
          <w:b/>
          <w:sz w:val="20"/>
        </w:rPr>
        <w:t xml:space="preserve">Used for: </w:t>
      </w:r>
      <w:r>
        <w:rPr>
          <w:rFonts w:ascii="Calibri" w:hAnsi="Calibri"/>
          <w:sz w:val="20"/>
        </w:rPr>
        <w:t>The fractional-step / projection method for the incompressible pressure–velocity coupling.</w:t>
      </w:r>
    </w:p>
    <w:p>
      <w:pPr>
        <w:pStyle w:val="ListBullet2"/>
        <w:spacing w:after="160"/>
      </w:pPr>
      <w:r>
        <w:rPr>
          <w:rFonts w:ascii="Calibri" w:hAnsi="Calibri"/>
          <w:b/>
          <w:sz w:val="20"/>
        </w:rPr>
        <w:t xml:space="preserve">What it did: </w:t>
      </w:r>
      <w:r>
        <w:rPr>
          <w:rFonts w:ascii="Calibri" w:hAnsi="Calibri"/>
          <w:sz w:val="20"/>
        </w:rPr>
        <w:t>Underlies the per-step MAC projection that enforces ∇·u = 0 to machine precision (divergence ~1e-16 in every run).</w:t>
      </w:r>
    </w:p>
    <w:p>
      <w:pPr>
        <w:spacing w:after="40"/>
      </w:pPr>
      <w:r>
        <w:rPr>
          <w:rFonts w:ascii="Calibri" w:hAnsi="Calibri"/>
          <w:b/>
          <w:sz w:val="22"/>
        </w:rPr>
        <w:t xml:space="preserve">[14]  </w:t>
      </w:r>
      <w:r>
        <w:rPr>
          <w:rFonts w:ascii="Calibri" w:hAnsi="Calibri"/>
          <w:sz w:val="22"/>
        </w:rPr>
        <w:t>van Leer, B. (1979). “Towards the Ultimate Conservative Difference Scheme V. A Second-Order Sequel to Godunov's Method.” J. Computational Physics 32(1): 101–136.</w:t>
      </w:r>
    </w:p>
    <w:p>
      <w:pPr>
        <w:pStyle w:val="ListBullet2"/>
        <w:spacing w:after="20"/>
      </w:pPr>
      <w:r>
        <w:rPr>
          <w:rFonts w:ascii="Calibri" w:hAnsi="Calibri"/>
          <w:b/>
          <w:sz w:val="20"/>
        </w:rPr>
        <w:t xml:space="preserve">Used for: </w:t>
      </w:r>
      <w:r>
        <w:rPr>
          <w:rFonts w:ascii="Calibri" w:hAnsi="Calibri"/>
          <w:sz w:val="20"/>
        </w:rPr>
        <w:t>The TVD-MUSCL slope-limited advection scheme for the scalar transport.</w:t>
      </w:r>
    </w:p>
    <w:p>
      <w:pPr>
        <w:pStyle w:val="ListBullet2"/>
        <w:spacing w:after="160"/>
      </w:pPr>
      <w:r>
        <w:rPr>
          <w:rFonts w:ascii="Calibri" w:hAnsi="Calibri"/>
          <w:b/>
          <w:sz w:val="20"/>
        </w:rPr>
        <w:t xml:space="preserve">What it did: </w:t>
      </w:r>
      <w:r>
        <w:rPr>
          <w:rFonts w:ascii="Calibri" w:hAnsi="Calibri"/>
          <w:sz w:val="20"/>
        </w:rPr>
        <w:t>Made salinity/temperature advection monotone and non-amplifying (selftest TVD check PASS), preventing spurious over/undershoot of the brine field.</w:t>
      </w:r>
    </w:p>
    <w:p>
      <w:pPr>
        <w:spacing w:after="40"/>
      </w:pPr>
      <w:r>
        <w:rPr>
          <w:rFonts w:ascii="Calibri" w:hAnsi="Calibri"/>
          <w:b/>
          <w:sz w:val="22"/>
        </w:rPr>
        <w:t xml:space="preserve">[15]  </w:t>
      </w:r>
      <w:r>
        <w:rPr>
          <w:rFonts w:ascii="Calibri" w:hAnsi="Calibri"/>
          <w:sz w:val="22"/>
        </w:rPr>
        <w:t>Benjamin, T.B. (1968). “Gravity currents and related phenomena.” J. Fluid Mechanics 31(2): 209–248.</w:t>
      </w:r>
    </w:p>
    <w:p>
      <w:pPr>
        <w:pStyle w:val="ListBullet2"/>
        <w:spacing w:after="20"/>
      </w:pPr>
      <w:r>
        <w:rPr>
          <w:rFonts w:ascii="Calibri" w:hAnsi="Calibri"/>
          <w:b/>
          <w:sz w:val="20"/>
        </w:rPr>
        <w:t xml:space="preserve">Used for: </w:t>
      </w:r>
      <w:r>
        <w:rPr>
          <w:rFonts w:ascii="Calibri" w:hAnsi="Calibri"/>
          <w:sz w:val="20"/>
        </w:rPr>
        <w:t>The classical dense lock-exchange gravity-current front-Froude benchmark.</w:t>
      </w:r>
    </w:p>
    <w:p>
      <w:pPr>
        <w:pStyle w:val="ListBullet2"/>
        <w:spacing w:after="160"/>
      </w:pPr>
      <w:r>
        <w:rPr>
          <w:rFonts w:ascii="Calibri" w:hAnsi="Calibri"/>
          <w:b/>
          <w:sz w:val="20"/>
        </w:rPr>
        <w:t xml:space="preserve">What it did: </w:t>
      </w:r>
      <w:r>
        <w:rPr>
          <w:rFonts w:ascii="Calibri" w:hAnsi="Calibri"/>
          <w:sz w:val="20"/>
        </w:rPr>
        <w:t>Independently validated the PDE CORE (no near-field correlation): --benchmark gives Fr_f ≈ 0.47 vs the textbook ~0.5.</w:t>
      </w:r>
    </w:p>
    <w:p>
      <w:pPr>
        <w:spacing w:after="40"/>
      </w:pPr>
      <w:r>
        <w:rPr>
          <w:rFonts w:ascii="Calibri" w:hAnsi="Calibri"/>
          <w:b/>
          <w:sz w:val="22"/>
        </w:rPr>
        <w:t xml:space="preserve">[16]  </w:t>
      </w:r>
      <w:r>
        <w:rPr>
          <w:rFonts w:ascii="Calibri" w:hAnsi="Calibri"/>
          <w:sz w:val="22"/>
        </w:rPr>
        <w:t>Durbin, P.A. (1996). “On the k–ε stagnation point anomaly.” Int. J. Heat and Fluid Flow 17(1): 89–90.</w:t>
      </w:r>
    </w:p>
    <w:p>
      <w:pPr>
        <w:pStyle w:val="ListBullet2"/>
        <w:spacing w:after="20"/>
      </w:pPr>
      <w:r>
        <w:rPr>
          <w:rFonts w:ascii="Calibri" w:hAnsi="Calibri"/>
          <w:b/>
          <w:sz w:val="20"/>
        </w:rPr>
        <w:t xml:space="preserve">Used for: </w:t>
      </w:r>
      <w:r>
        <w:rPr>
          <w:rFonts w:ascii="Calibri" w:hAnsi="Calibri"/>
          <w:sz w:val="20"/>
        </w:rPr>
        <w:t>The realizable time-scale limiter for the k–ε eddy viscosity.</w:t>
      </w:r>
    </w:p>
    <w:p>
      <w:pPr>
        <w:pStyle w:val="ListBullet2"/>
        <w:spacing w:after="160"/>
      </w:pPr>
      <w:r>
        <w:rPr>
          <w:rFonts w:ascii="Calibri" w:hAnsi="Calibri"/>
          <w:b/>
          <w:sz w:val="20"/>
        </w:rPr>
        <w:t xml:space="preserve">What it did: </w:t>
      </w:r>
      <w:r>
        <w:rPr>
          <w:rFonts w:ascii="Calibri" w:hAnsi="Calibri"/>
          <w:sz w:val="20"/>
        </w:rPr>
        <w:t>Stopped the eddy viscosity over-producing/railing on any grid (nut@cap 0% in the runs), making the turbulence physical and grid-independent.</w:t>
      </w:r>
    </w:p>
    <w:p>
      <w:pPr>
        <w:spacing w:after="40"/>
      </w:pPr>
      <w:r>
        <w:rPr>
          <w:rFonts w:ascii="Calibri" w:hAnsi="Calibri"/>
          <w:b/>
          <w:sz w:val="22"/>
        </w:rPr>
        <w:t xml:space="preserve">[17]  </w:t>
      </w:r>
      <w:r>
        <w:rPr>
          <w:rFonts w:ascii="Calibri" w:hAnsi="Calibri"/>
          <w:sz w:val="22"/>
        </w:rPr>
        <w:t>Smagorinsky, J. (1963). “General circulation experiments with the primitive equations.” Monthly Weather Review 91(3): 99–164.</w:t>
      </w:r>
    </w:p>
    <w:p>
      <w:pPr>
        <w:pStyle w:val="ListBullet2"/>
        <w:spacing w:after="20"/>
      </w:pPr>
      <w:r>
        <w:rPr>
          <w:rFonts w:ascii="Calibri" w:hAnsi="Calibri"/>
          <w:b/>
          <w:sz w:val="20"/>
        </w:rPr>
        <w:t xml:space="preserve">Used for: </w:t>
      </w:r>
      <w:r>
        <w:rPr>
          <w:rFonts w:ascii="Calibri" w:hAnsi="Calibri"/>
          <w:sz w:val="20"/>
        </w:rPr>
        <w:t>The Smagorinsky sub-grid dissipation floor on the eddy viscosity.</w:t>
      </w:r>
    </w:p>
    <w:p>
      <w:pPr>
        <w:pStyle w:val="ListBullet2"/>
        <w:spacing w:after="160"/>
      </w:pPr>
      <w:r>
        <w:rPr>
          <w:rFonts w:ascii="Calibri" w:hAnsi="Calibri"/>
          <w:b/>
          <w:sz w:val="20"/>
        </w:rPr>
        <w:t xml:space="preserve">What it did: </w:t>
      </w:r>
      <w:r>
        <w:rPr>
          <w:rFonts w:ascii="Calibri" w:hAnsi="Calibri"/>
          <w:sz w:val="20"/>
        </w:rPr>
        <w:t>Guarantees a grid-scale dissipation ν_t ≥ (C_s Δ)²|S|, preventing energy pile-up at the grid scale.</w:t>
      </w:r>
    </w:p>
    <w:p>
      <w:pPr>
        <w:spacing w:after="40"/>
      </w:pPr>
      <w:r>
        <w:rPr>
          <w:rFonts w:ascii="Calibri" w:hAnsi="Calibri"/>
          <w:b/>
          <w:sz w:val="22"/>
        </w:rPr>
        <w:t xml:space="preserve">[18]  </w:t>
      </w:r>
      <w:r>
        <w:rPr>
          <w:rFonts w:ascii="Calibri" w:hAnsi="Calibri"/>
          <w:sz w:val="22"/>
        </w:rPr>
        <w:t>Nicoud, F. &amp; Ducros, F. (1999). “Subgrid-Scale Stress Modelling Based on the Square of the Velocity Gradient Tensor.” Flow, Turbulence and Combustion 62(3): 183–200.</w:t>
      </w:r>
    </w:p>
    <w:p>
      <w:pPr>
        <w:pStyle w:val="ListBullet2"/>
        <w:spacing w:after="20"/>
      </w:pPr>
      <w:r>
        <w:rPr>
          <w:rFonts w:ascii="Calibri" w:hAnsi="Calibri"/>
          <w:b/>
          <w:sz w:val="20"/>
        </w:rPr>
        <w:t xml:space="preserve">Used for: </w:t>
      </w:r>
      <w:r>
        <w:rPr>
          <w:rFonts w:ascii="Calibri" w:hAnsi="Calibri"/>
          <w:sz w:val="20"/>
        </w:rPr>
        <w:t>The WALE LES closure (les_mode="wale").</w:t>
      </w:r>
    </w:p>
    <w:p>
      <w:pPr>
        <w:pStyle w:val="ListBullet2"/>
        <w:spacing w:after="160"/>
      </w:pPr>
      <w:r>
        <w:rPr>
          <w:rFonts w:ascii="Calibri" w:hAnsi="Calibri"/>
          <w:b/>
          <w:sz w:val="20"/>
        </w:rPr>
        <w:t xml:space="preserve">What it did: </w:t>
      </w:r>
      <w:r>
        <w:rPr>
          <w:rFonts w:ascii="Calibri" w:hAnsi="Calibri"/>
          <w:sz w:val="20"/>
        </w:rPr>
        <w:t>Optional higher-fidelity sub-grid viscosity with correct near-wall cubic scaling and zero ν_t in pure shear, for fine/jet/GPU grids.</w:t>
      </w:r>
    </w:p>
    <w:p>
      <w:pPr>
        <w:spacing w:after="40"/>
      </w:pPr>
      <w:r>
        <w:rPr>
          <w:rFonts w:ascii="Calibri" w:hAnsi="Calibri"/>
          <w:b/>
          <w:sz w:val="22"/>
        </w:rPr>
        <w:t xml:space="preserve">[19]  </w:t>
      </w:r>
      <w:r>
        <w:rPr>
          <w:rFonts w:ascii="Calibri" w:hAnsi="Calibri"/>
          <w:sz w:val="22"/>
        </w:rPr>
        <w:t>Menter, F.R. (1994). “Two-equation eddy-viscosity turbulence models for engineering applications.” AIAA Journal 32(8): 1598–1605.</w:t>
      </w:r>
    </w:p>
    <w:p>
      <w:pPr>
        <w:pStyle w:val="ListBullet2"/>
        <w:spacing w:after="20"/>
      </w:pPr>
      <w:r>
        <w:rPr>
          <w:rFonts w:ascii="Calibri" w:hAnsi="Calibri"/>
          <w:b/>
          <w:sz w:val="20"/>
        </w:rPr>
        <w:t xml:space="preserve">Used for: </w:t>
      </w:r>
      <w:r>
        <w:rPr>
          <w:rFonts w:ascii="Calibri" w:hAnsi="Calibri"/>
          <w:sz w:val="20"/>
        </w:rPr>
        <w:t>The k–ε production realizability (Pk ≤ limiter·ε) safeguard.</w:t>
      </w:r>
    </w:p>
    <w:p>
      <w:pPr>
        <w:pStyle w:val="ListBullet2"/>
        <w:spacing w:after="160"/>
      </w:pPr>
      <w:r>
        <w:rPr>
          <w:rFonts w:ascii="Calibri" w:hAnsi="Calibri"/>
          <w:b/>
          <w:sz w:val="20"/>
        </w:rPr>
        <w:t xml:space="preserve">What it did: </w:t>
      </w:r>
      <w:r>
        <w:rPr>
          <w:rFonts w:ascii="Calibri" w:hAnsi="Calibri"/>
          <w:sz w:val="20"/>
        </w:rPr>
        <w:t>Available production limiter (pk_limiter); tested and documented as not the nut-railing fix (the railing was buoyancy-driven, fixed by the corrected G_b sign).</w:t>
      </w:r>
    </w:p>
    <w:p>
      <w:pPr>
        <w:pStyle w:val="Heading1"/>
      </w:pPr>
      <w:r>
        <w:rPr>
          <w:rFonts w:ascii="Calibri" w:hAnsi="Calibri"/>
          <w:color w:val="0B3D5C"/>
        </w:rPr>
        <w:t>D.  Equation-of-state standard</w:t>
      </w:r>
    </w:p>
    <w:p>
      <w:pPr>
        <w:spacing w:after="40"/>
      </w:pPr>
      <w:r>
        <w:rPr>
          <w:rFonts w:ascii="Calibri" w:hAnsi="Calibri"/>
          <w:b/>
          <w:sz w:val="22"/>
        </w:rPr>
        <w:t xml:space="preserve">[20]  </w:t>
      </w:r>
      <w:r>
        <w:rPr>
          <w:rFonts w:ascii="Calibri" w:hAnsi="Calibri"/>
          <w:sz w:val="22"/>
        </w:rPr>
        <w:t>IOC, SCOR &amp; IAPSO (2010). “The international thermodynamic equation of seawater – 2010 (TEOS-10).” UNESCO; McDougall, T.J. &amp; Barker, P.M. (2011), GSW Oceanographic Toolbox.</w:t>
      </w:r>
    </w:p>
    <w:p>
      <w:pPr>
        <w:pStyle w:val="ListBullet2"/>
        <w:spacing w:after="20"/>
      </w:pPr>
      <w:r>
        <w:rPr>
          <w:rFonts w:ascii="Calibri" w:hAnsi="Calibri"/>
          <w:b/>
          <w:sz w:val="20"/>
        </w:rPr>
        <w:t xml:space="preserve">Used for: </w:t>
      </w:r>
      <w:r>
        <w:rPr>
          <w:rFonts w:ascii="Calibri" w:hAnsi="Calibri"/>
          <w:sz w:val="20"/>
        </w:rPr>
        <w:t>The official seawater density equation of state (eos_mode="teos10"), via the GSW library.</w:t>
      </w:r>
    </w:p>
    <w:p>
      <w:pPr>
        <w:pStyle w:val="ListBullet2"/>
        <w:spacing w:after="160"/>
      </w:pPr>
      <w:r>
        <w:rPr>
          <w:rFonts w:ascii="Calibri" w:hAnsi="Calibri"/>
          <w:b/>
          <w:sz w:val="20"/>
        </w:rPr>
        <w:t xml:space="preserve">What it did: </w:t>
      </w:r>
      <w:r>
        <w:rPr>
          <w:rFonts w:ascii="Calibri" w:hAnsi="Calibri"/>
          <w:sz w:val="20"/>
        </w:rPr>
        <w:t>Provided the standards-grade nonlinear density ρ(S,T,p) used to close the buoyancy term when teos10 is selected (selftest 13/13); falls back to the built-in nonlinear EOS if GSW is absent.</w:t>
      </w:r>
    </w:p>
    <w:p>
      <w:pPr>
        <w:pStyle w:val="Heading1"/>
      </w:pPr>
      <w:r>
        <w:rPr>
          <w:rFonts w:ascii="Calibri" w:hAnsi="Calibri"/>
          <w:color w:val="0B3D5C"/>
        </w:rPr>
        <w:t>E.  Wave &amp; boundary-condition theory</w:t>
      </w:r>
    </w:p>
    <w:p>
      <w:pPr>
        <w:spacing w:after="40"/>
      </w:pPr>
      <w:r>
        <w:rPr>
          <w:rFonts w:ascii="Calibri" w:hAnsi="Calibri"/>
          <w:b/>
          <w:sz w:val="22"/>
        </w:rPr>
        <w:t xml:space="preserve">[21]  </w:t>
      </w:r>
      <w:r>
        <w:rPr>
          <w:rFonts w:ascii="Calibri" w:hAnsi="Calibri"/>
          <w:sz w:val="22"/>
        </w:rPr>
        <w:t>Craik, A.D.D. &amp; Leibovich, S. (1976). “A rational model for Langmuir circulations.” J. Fluid Mechanics 73(3): 401–426.</w:t>
      </w:r>
    </w:p>
    <w:p>
      <w:pPr>
        <w:pStyle w:val="ListBullet2"/>
        <w:spacing w:after="20"/>
      </w:pPr>
      <w:r>
        <w:rPr>
          <w:rFonts w:ascii="Calibri" w:hAnsi="Calibri"/>
          <w:b/>
          <w:sz w:val="20"/>
        </w:rPr>
        <w:t xml:space="preserve">Used for: </w:t>
      </w:r>
      <w:r>
        <w:rPr>
          <w:rFonts w:ascii="Calibri" w:hAnsi="Calibri"/>
          <w:sz w:val="20"/>
        </w:rPr>
        <w:t>The Stokes-drift (Craik–Leibovich) wave–current advection.</w:t>
      </w:r>
    </w:p>
    <w:p>
      <w:pPr>
        <w:pStyle w:val="ListBullet2"/>
        <w:spacing w:after="160"/>
      </w:pPr>
      <w:r>
        <w:rPr>
          <w:rFonts w:ascii="Calibri" w:hAnsi="Calibri"/>
          <w:b/>
          <w:sz w:val="20"/>
        </w:rPr>
        <w:t xml:space="preserve">What it did: </w:t>
      </w:r>
      <w:r>
        <w:rPr>
          <w:rFonts w:ascii="Calibri" w:hAnsi="Calibri"/>
          <w:sz w:val="20"/>
        </w:rPr>
        <w:t>Added the depth-decaying Stokes transport velocity u_L = u + u_s to all field advection (optional H4 surface-wave coupling).</w:t>
      </w:r>
    </w:p>
    <w:p>
      <w:pPr>
        <w:spacing w:after="40"/>
      </w:pPr>
      <w:r>
        <w:rPr>
          <w:rFonts w:ascii="Calibri" w:hAnsi="Calibri"/>
          <w:b/>
          <w:sz w:val="22"/>
        </w:rPr>
        <w:t xml:space="preserve">[22]  </w:t>
      </w:r>
      <w:r>
        <w:rPr>
          <w:rFonts w:ascii="Calibri" w:hAnsi="Calibri"/>
          <w:sz w:val="22"/>
        </w:rPr>
        <w:t>Orlanski, I. (1976). “A simple boundary condition for unbounded hyperbolic flows.” J. Computational Physics 21(3): 251–269; with the Sommerfeld radiation condition.</w:t>
      </w:r>
    </w:p>
    <w:p>
      <w:pPr>
        <w:pStyle w:val="ListBullet2"/>
        <w:spacing w:after="20"/>
      </w:pPr>
      <w:r>
        <w:rPr>
          <w:rFonts w:ascii="Calibri" w:hAnsi="Calibri"/>
          <w:b/>
          <w:sz w:val="20"/>
        </w:rPr>
        <w:t xml:space="preserve">Used for: </w:t>
      </w:r>
      <w:r>
        <w:rPr>
          <w:rFonts w:ascii="Calibri" w:hAnsi="Calibri"/>
          <w:sz w:val="20"/>
        </w:rPr>
        <w:t>The radiative (non-reflecting) outflow boundary at +x.</w:t>
      </w:r>
    </w:p>
    <w:p>
      <w:pPr>
        <w:pStyle w:val="ListBullet2"/>
        <w:spacing w:after="160"/>
      </w:pPr>
      <w:r>
        <w:rPr>
          <w:rFonts w:ascii="Calibri" w:hAnsi="Calibri"/>
          <w:b/>
          <w:sz w:val="20"/>
        </w:rPr>
        <w:t xml:space="preserve">What it did: </w:t>
      </w:r>
      <w:r>
        <w:rPr>
          <w:rFonts w:ascii="Calibri" w:hAnsi="Calibri"/>
          <w:sz w:val="20"/>
        </w:rPr>
        <w:t>Let the plume/current leave the +x boundary without spurious reflection (optional orlanski_bc); the η relaxation is the radiation surrogate when it is off.</w:t>
      </w:r>
    </w:p>
    <w:p>
      <w:pPr>
        <w:pStyle w:val="Heading1"/>
      </w:pPr>
      <w:r>
        <w:rPr>
          <w:rFonts w:ascii="Calibri" w:hAnsi="Calibri"/>
          <w:color w:val="0B3D5C"/>
        </w:rPr>
        <w:t>F.  Regulatory mixing-zone criteria</w:t>
      </w:r>
    </w:p>
    <w:p>
      <w:pPr>
        <w:spacing w:after="40"/>
      </w:pPr>
      <w:r>
        <w:rPr>
          <w:rFonts w:ascii="Calibri" w:hAnsi="Calibri"/>
          <w:b/>
          <w:sz w:val="22"/>
        </w:rPr>
        <w:t xml:space="preserve">[23]  </w:t>
      </w:r>
      <w:r>
        <w:rPr>
          <w:rFonts w:ascii="Calibri" w:hAnsi="Calibri"/>
          <w:sz w:val="22"/>
        </w:rPr>
        <w:t>Western Australian EPA — Perth / Cockburn Sound brine-discharge licence criteria.</w:t>
      </w:r>
    </w:p>
    <w:p>
      <w:pPr>
        <w:pStyle w:val="ListBullet2"/>
        <w:spacing w:after="20"/>
      </w:pPr>
      <w:r>
        <w:rPr>
          <w:rFonts w:ascii="Calibri" w:hAnsi="Calibri"/>
          <w:b/>
          <w:sz w:val="20"/>
        </w:rPr>
        <w:t xml:space="preserve">Used for: </w:t>
      </w:r>
      <w:r>
        <w:rPr>
          <w:rFonts w:ascii="Calibri" w:hAnsi="Calibri"/>
          <w:sz w:val="20"/>
        </w:rPr>
        <w:t>The Perth compliance benchmark.</w:t>
      </w:r>
    </w:p>
    <w:p>
      <w:pPr>
        <w:pStyle w:val="ListBullet2"/>
        <w:spacing w:after="160"/>
      </w:pPr>
      <w:r>
        <w:rPr>
          <w:rFonts w:ascii="Calibri" w:hAnsi="Calibri"/>
          <w:b/>
          <w:sz w:val="20"/>
        </w:rPr>
        <w:t xml:space="preserve">What it did: </w:t>
      </w:r>
      <w:r>
        <w:rPr>
          <w:rFonts w:ascii="Calibri" w:hAnsi="Calibri"/>
          <w:sz w:val="20"/>
        </w:rPr>
        <w:t>ΔS &lt; 1.2 ppt within 50 m and &lt; 0.8 ppt within 1000 m of the diffuser.</w:t>
      </w:r>
    </w:p>
    <w:p>
      <w:pPr>
        <w:spacing w:after="40"/>
      </w:pPr>
      <w:r>
        <w:rPr>
          <w:rFonts w:ascii="Calibri" w:hAnsi="Calibri"/>
          <w:b/>
          <w:sz w:val="22"/>
        </w:rPr>
        <w:t xml:space="preserve">[24]  </w:t>
      </w:r>
      <w:r>
        <w:rPr>
          <w:rFonts w:ascii="Calibri" w:hAnsi="Calibri"/>
          <w:sz w:val="22"/>
        </w:rPr>
        <w:t>NSW mixing-zone practice (POEO Act / EPL framework) — representative ~1 ppt boundary limit; the folder-6 case uses a more protective 0.5 g/kg sub-lethal assessment contour.</w:t>
      </w:r>
    </w:p>
    <w:p>
      <w:pPr>
        <w:pStyle w:val="ListBullet2"/>
        <w:spacing w:after="20"/>
      </w:pPr>
      <w:r>
        <w:rPr>
          <w:rFonts w:ascii="Calibri" w:hAnsi="Calibri"/>
          <w:b/>
          <w:sz w:val="20"/>
        </w:rPr>
        <w:t xml:space="preserve">Used for: </w:t>
      </w:r>
      <w:r>
        <w:rPr>
          <w:rFonts w:ascii="Calibri" w:hAnsi="Calibri"/>
          <w:sz w:val="20"/>
        </w:rPr>
        <w:t>The Sydney case assessment threshold (cfg.dS_crit).</w:t>
      </w:r>
    </w:p>
    <w:p>
      <w:pPr>
        <w:pStyle w:val="ListBullet2"/>
        <w:spacing w:after="160"/>
      </w:pPr>
      <w:r>
        <w:rPr>
          <w:rFonts w:ascii="Calibri" w:hAnsi="Calibri"/>
          <w:b/>
          <w:sz w:val="20"/>
        </w:rPr>
        <w:t xml:space="preserve">What it did: </w:t>
      </w:r>
      <w:r>
        <w:rPr>
          <w:rFonts w:ascii="Calibri" w:hAnsi="Calibri"/>
          <w:sz w:val="20"/>
        </w:rPr>
        <w:t>Set dS_crit = 0.5 g/kg, against which the seabed footprint (~5128 m²) and the 50 m ΔS (~0.67 g/kg) are assessed — deliberately conservative.</w:t>
      </w:r>
    </w:p>
    <w:p>
      <w:pPr>
        <w:pStyle w:val="Heading1"/>
      </w:pPr>
      <w:r>
        <w:rPr>
          <w:rFonts w:ascii="Calibri" w:hAnsi="Calibri"/>
          <w:color w:val="0B3D5C"/>
        </w:rPr>
        <w:t>G.  Software libraries &amp; tools (computational dependencies)</w:t>
      </w:r>
    </w:p>
    <w:p>
      <w:pPr>
        <w:spacing w:after="120"/>
      </w:pPr>
      <w:r>
        <w:rPr>
          <w:rFonts w:ascii="Calibri" w:hAnsi="Calibri"/>
          <w:b w:val="0"/>
          <w:i w:val="0"/>
          <w:sz w:val="22"/>
        </w:rPr>
        <w:t>The solver and its document/figure pipeline depend on the following packages. Versions are PINNED where they matter for correctness (see the table note).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B3D5C"/>
          </w:tcPr>
          <w:p>
            <w:r/>
            <w:r>
              <w:rPr>
                <w:rFonts w:ascii="Calibri" w:hAnsi="Calibri"/>
                <w:b/>
                <w:color w:val="FFFFFF"/>
                <w:sz w:val="18"/>
              </w:rPr>
              <w:t>Package / tool</w:t>
            </w:r>
          </w:p>
        </w:tc>
        <w:tc>
          <w:tcPr>
            <w:tcW w:type="dxa" w:w="2880"/>
            <w:shd w:val="clear" w:color="auto" w:fill="0B3D5C"/>
          </w:tcPr>
          <w:p>
            <w:r/>
            <w:r>
              <w:rPr>
                <w:rFonts w:ascii="Calibri" w:hAnsi="Calibri"/>
                <w:b/>
                <w:color w:val="FFFFFF"/>
                <w:sz w:val="18"/>
              </w:rPr>
              <w:t>Used for</w:t>
            </w:r>
          </w:p>
        </w:tc>
        <w:tc>
          <w:tcPr>
            <w:tcW w:type="dxa" w:w="2880"/>
            <w:shd w:val="clear" w:color="auto" w:fill="0B3D5C"/>
          </w:tcPr>
          <w:p>
            <w:r/>
            <w:r>
              <w:rPr>
                <w:rFonts w:ascii="Calibri" w:hAnsi="Calibri"/>
                <w:b/>
                <w:color w:val="FFFFFF"/>
                <w:sz w:val="18"/>
              </w:rPr>
              <w:t>What it did in the project</w:t>
            </w:r>
          </w:p>
        </w:tc>
      </w:tr>
      <w:tr>
        <w:tc>
          <w:tcPr>
            <w:tcW w:type="dxa" w:w="2880"/>
          </w:tcPr>
          <w:p>
            <w:r/>
            <w:r>
              <w:rPr>
                <w:rFonts w:ascii="Calibri" w:hAnsi="Calibri"/>
                <w:sz w:val="18"/>
              </w:rPr>
              <w:t>NumPy 1.26.4 (PINNED)</w:t>
            </w:r>
          </w:p>
        </w:tc>
        <w:tc>
          <w:tcPr>
            <w:tcW w:type="dxa" w:w="2880"/>
          </w:tcPr>
          <w:p>
            <w:r/>
            <w:r>
              <w:rPr>
                <w:rFonts w:ascii="Calibri" w:hAnsi="Calibri"/>
                <w:sz w:val="18"/>
              </w:rPr>
              <w:t>core array backend</w:t>
            </w:r>
          </w:p>
        </w:tc>
        <w:tc>
          <w:tcPr>
            <w:tcW w:type="dxa" w:w="2880"/>
          </w:tcPr>
          <w:p>
            <w:r/>
            <w:r>
              <w:rPr>
                <w:rFonts w:ascii="Calibri" w:hAnsi="Calibri"/>
                <w:sz w:val="18"/>
              </w:rPr>
              <w:t>all vectorised field kernels (advection, dispersion, k–ε, EOS). PIN CRITICAL: NumPy 2.x breaks SciPy 1.11.4's sparse import and kills the pressure solver.</w:t>
            </w:r>
          </w:p>
        </w:tc>
      </w:tr>
      <w:tr>
        <w:tc>
          <w:tcPr>
            <w:tcW w:type="dxa" w:w="2880"/>
          </w:tcPr>
          <w:p>
            <w:r/>
            <w:r>
              <w:rPr>
                <w:rFonts w:ascii="Calibri" w:hAnsi="Calibri"/>
                <w:sz w:val="18"/>
              </w:rPr>
              <w:t>SciPy 1.11.4</w:t>
            </w:r>
          </w:p>
        </w:tc>
        <w:tc>
          <w:tcPr>
            <w:tcW w:type="dxa" w:w="2880"/>
          </w:tcPr>
          <w:p>
            <w:r/>
            <w:r>
              <w:rPr>
                <w:rFonts w:ascii="Calibri" w:hAnsi="Calibri"/>
                <w:sz w:val="18"/>
              </w:rPr>
              <w:t>sparse linear algebra</w:t>
            </w:r>
          </w:p>
        </w:tc>
        <w:tc>
          <w:tcPr>
            <w:tcW w:type="dxa" w:w="2880"/>
          </w:tcPr>
          <w:p>
            <w:r/>
            <w:r>
              <w:rPr>
                <w:rFonts w:ascii="Calibri" w:hAnsi="Calibri"/>
                <w:sz w:val="18"/>
              </w:rPr>
              <w:t>assembled and LU-factorised (splu) the variable-coefficient pressure-Poisson operator — the projection's host linear solve; also colored-noise generation.</w:t>
            </w:r>
          </w:p>
        </w:tc>
      </w:tr>
      <w:tr>
        <w:tc>
          <w:tcPr>
            <w:tcW w:type="dxa" w:w="2880"/>
          </w:tcPr>
          <w:p>
            <w:r/>
            <w:r>
              <w:rPr>
                <w:rFonts w:ascii="Calibri" w:hAnsi="Calibri"/>
                <w:sz w:val="18"/>
              </w:rPr>
              <w:t>Matplotlib</w:t>
            </w:r>
          </w:p>
        </w:tc>
        <w:tc>
          <w:tcPr>
            <w:tcW w:type="dxa" w:w="2880"/>
          </w:tcPr>
          <w:p>
            <w:r/>
            <w:r>
              <w:rPr>
                <w:rFonts w:ascii="Calibri" w:hAnsi="Calibri"/>
                <w:sz w:val="18"/>
              </w:rPr>
              <w:t>plotting</w:t>
            </w:r>
          </w:p>
        </w:tc>
        <w:tc>
          <w:tcPr>
            <w:tcW w:type="dxa" w:w="2880"/>
          </w:tcPr>
          <w:p>
            <w:r/>
            <w:r>
              <w:rPr>
                <w:rFonts w:ascii="Calibri" w:hAnsi="Calibri"/>
                <w:sz w:val="18"/>
              </w:rPr>
              <w:t>rendered the solver fig_*.png suite and the simu-dossier line graphs / charts / maps (plot_*.png).</w:t>
            </w:r>
          </w:p>
        </w:tc>
      </w:tr>
      <w:tr>
        <w:tc>
          <w:tcPr>
            <w:tcW w:type="dxa" w:w="2880"/>
          </w:tcPr>
          <w:p>
            <w:r/>
            <w:r>
              <w:rPr>
                <w:rFonts w:ascii="Calibri" w:hAnsi="Calibri"/>
                <w:sz w:val="18"/>
              </w:rPr>
              <w:t>GSW 3.6.22 (optional)</w:t>
            </w:r>
          </w:p>
        </w:tc>
        <w:tc>
          <w:tcPr>
            <w:tcW w:type="dxa" w:w="2880"/>
          </w:tcPr>
          <w:p>
            <w:r/>
            <w:r>
              <w:rPr>
                <w:rFonts w:ascii="Calibri" w:hAnsi="Calibri"/>
                <w:sz w:val="18"/>
              </w:rPr>
              <w:t>TEOS-10 EOS</w:t>
            </w:r>
          </w:p>
        </w:tc>
        <w:tc>
          <w:tcPr>
            <w:tcW w:type="dxa" w:w="2880"/>
          </w:tcPr>
          <w:p>
            <w:r/>
            <w:r>
              <w:rPr>
                <w:rFonts w:ascii="Calibri" w:hAnsi="Calibri"/>
                <w:sz w:val="18"/>
              </w:rPr>
              <w:t>provided the official seawater density when eos_mode="teos10"; built-in nonlinear EOS used if absent.</w:t>
            </w:r>
          </w:p>
        </w:tc>
      </w:tr>
      <w:tr>
        <w:tc>
          <w:tcPr>
            <w:tcW w:type="dxa" w:w="2880"/>
          </w:tcPr>
          <w:p>
            <w:r/>
            <w:r>
              <w:rPr>
                <w:rFonts w:ascii="Calibri" w:hAnsi="Calibri"/>
                <w:sz w:val="18"/>
              </w:rPr>
              <w:t>CuPy (cupy-cuda12x, optional)</w:t>
            </w:r>
          </w:p>
        </w:tc>
        <w:tc>
          <w:tcPr>
            <w:tcW w:type="dxa" w:w="2880"/>
          </w:tcPr>
          <w:p>
            <w:r/>
            <w:r>
              <w:rPr>
                <w:rFonts w:ascii="Calibri" w:hAnsi="Calibri"/>
                <w:sz w:val="18"/>
              </w:rPr>
              <w:t>GPU backend</w:t>
            </w:r>
          </w:p>
        </w:tc>
        <w:tc>
          <w:tcPr>
            <w:tcW w:type="dxa" w:w="2880"/>
          </w:tcPr>
          <w:p>
            <w:r/>
            <w:r>
              <w:rPr>
                <w:rFonts w:ascii="Calibri" w:hAnsi="Calibri"/>
                <w:sz w:val="18"/>
              </w:rPr>
              <w:t>ran the per-step field kernels on the GPU and, in Rev 2.0, the on-device CG pressure solve (--gpu / --gpu-poisson); verified CPU-equivalent on a Colab T4.</w:t>
            </w:r>
          </w:p>
        </w:tc>
      </w:tr>
      <w:tr>
        <w:tc>
          <w:tcPr>
            <w:tcW w:type="dxa" w:w="2880"/>
          </w:tcPr>
          <w:p>
            <w:r/>
            <w:r>
              <w:rPr>
                <w:rFonts w:ascii="Calibri" w:hAnsi="Calibri"/>
                <w:sz w:val="18"/>
              </w:rPr>
              <w:t>Numba 0.65.1 (optional)</w:t>
            </w:r>
          </w:p>
        </w:tc>
        <w:tc>
          <w:tcPr>
            <w:tcW w:type="dxa" w:w="2880"/>
          </w:tcPr>
          <w:p>
            <w:r/>
            <w:r>
              <w:rPr>
                <w:rFonts w:ascii="Calibri" w:hAnsi="Calibri"/>
                <w:sz w:val="18"/>
              </w:rPr>
              <w:t>JIT acceleration</w:t>
            </w:r>
          </w:p>
        </w:tc>
        <w:tc>
          <w:tcPr>
            <w:tcW w:type="dxa" w:w="2880"/>
          </w:tcPr>
          <w:p>
            <w:r/>
            <w:r>
              <w:rPr>
                <w:rFonts w:ascii="Calibri" w:hAnsi="Calibri"/>
                <w:sz w:val="18"/>
              </w:rPr>
              <w:t>opt-in JIT+threaded Thomas solver (NEREID_NUMBA=1); measured NOT a net speedup (the NumPy path is already vectorised) — kept off by default.</w:t>
            </w:r>
          </w:p>
        </w:tc>
      </w:tr>
      <w:tr>
        <w:tc>
          <w:tcPr>
            <w:tcW w:type="dxa" w:w="2880"/>
          </w:tcPr>
          <w:p>
            <w:r/>
            <w:r>
              <w:rPr>
                <w:rFonts w:ascii="Calibri" w:hAnsi="Calibri"/>
                <w:sz w:val="18"/>
              </w:rPr>
              <w:t>python-docx 1.2.0</w:t>
            </w:r>
          </w:p>
        </w:tc>
        <w:tc>
          <w:tcPr>
            <w:tcW w:type="dxa" w:w="2880"/>
          </w:tcPr>
          <w:p>
            <w:r/>
            <w:r>
              <w:rPr>
                <w:rFonts w:ascii="Calibri" w:hAnsi="Calibri"/>
                <w:sz w:val="18"/>
              </w:rPr>
              <w:t>report generation</w:t>
            </w:r>
          </w:p>
        </w:tc>
        <w:tc>
          <w:tcPr>
            <w:tcW w:type="dxa" w:w="2880"/>
          </w:tcPr>
          <w:p>
            <w:r/>
            <w:r>
              <w:rPr>
                <w:rFonts w:ascii="Calibri" w:hAnsi="Calibri"/>
                <w:sz w:val="18"/>
              </w:rPr>
              <w:t>generated 6/model.docx, case_study.docx, simu.docx and this source.docx.</w:t>
            </w:r>
          </w:p>
        </w:tc>
      </w:tr>
      <w:tr>
        <w:tc>
          <w:tcPr>
            <w:tcW w:type="dxa" w:w="2880"/>
          </w:tcPr>
          <w:p>
            <w:r/>
            <w:r>
              <w:rPr>
                <w:rFonts w:ascii="Calibri" w:hAnsi="Calibri"/>
                <w:sz w:val="18"/>
              </w:rPr>
              <w:t>pypdf</w:t>
            </w:r>
          </w:p>
        </w:tc>
        <w:tc>
          <w:tcPr>
            <w:tcW w:type="dxa" w:w="2880"/>
          </w:tcPr>
          <w:p>
            <w:r/>
            <w:r>
              <w:rPr>
                <w:rFonts w:ascii="Calibri" w:hAnsi="Calibri"/>
                <w:sz w:val="18"/>
              </w:rPr>
              <w:t>PDF mining</w:t>
            </w:r>
          </w:p>
        </w:tc>
        <w:tc>
          <w:tcPr>
            <w:tcW w:type="dxa" w:w="2880"/>
          </w:tcPr>
          <w:p>
            <w:r/>
            <w:r>
              <w:rPr>
                <w:rFonts w:ascii="Calibri" w:hAnsi="Calibri"/>
                <w:sz w:val="18"/>
              </w:rPr>
              <w:t>extracted diffuser parameters from the WA EPA PDF report.</w:t>
            </w:r>
          </w:p>
        </w:tc>
      </w:tr>
    </w:tbl>
    <w:p>
      <w:pPr>
        <w:spacing w:after="120"/>
      </w:pPr>
      <w:r>
        <w:rPr>
          <w:rFonts w:ascii="Calibri" w:hAnsi="Calibri"/>
          <w:b w:val="0"/>
          <w:i/>
          <w:sz w:val="19"/>
        </w:rPr>
        <w:t>Python 3 standard library (argparse, csv, json, logging, math, multiprocessing) provided the CLI, IO, logging and the ensemble multiprocessing pool.</w:t>
      </w:r>
    </w:p>
    <w:p>
      <w:pPr>
        <w:pStyle w:val="Heading1"/>
      </w:pPr>
      <w:r>
        <w:rPr>
          <w:rFonts w:ascii="Calibri" w:hAnsi="Calibri"/>
          <w:color w:val="0B3D5C"/>
        </w:rPr>
        <w:t>H.  Project data files &amp; input decks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B3D5C"/>
          </w:tcPr>
          <w:p>
            <w:r/>
            <w:r>
              <w:rPr>
                <w:rFonts w:ascii="Calibri" w:hAnsi="Calibri"/>
                <w:b/>
                <w:color w:val="FFFFFF"/>
                <w:sz w:val="18"/>
              </w:rPr>
              <w:t>File</w:t>
            </w:r>
          </w:p>
        </w:tc>
        <w:tc>
          <w:tcPr>
            <w:tcW w:type="dxa" w:w="2880"/>
            <w:shd w:val="clear" w:color="auto" w:fill="0B3D5C"/>
          </w:tcPr>
          <w:p>
            <w:r/>
            <w:r>
              <w:rPr>
                <w:rFonts w:ascii="Calibri" w:hAnsi="Calibri"/>
                <w:b/>
                <w:color w:val="FFFFFF"/>
                <w:sz w:val="18"/>
              </w:rPr>
              <w:t>Used for</w:t>
            </w:r>
          </w:p>
        </w:tc>
        <w:tc>
          <w:tcPr>
            <w:tcW w:type="dxa" w:w="2880"/>
            <w:shd w:val="clear" w:color="auto" w:fill="0B3D5C"/>
          </w:tcPr>
          <w:p>
            <w:r/>
            <w:r>
              <w:rPr>
                <w:rFonts w:ascii="Calibri" w:hAnsi="Calibri"/>
                <w:b/>
                <w:color w:val="FFFFFF"/>
                <w:sz w:val="18"/>
              </w:rPr>
              <w:t>What it did / provided</w:t>
            </w:r>
          </w:p>
        </w:tc>
      </w:tr>
      <w:tr>
        <w:tc>
          <w:tcPr>
            <w:tcW w:type="dxa" w:w="2880"/>
          </w:tcPr>
          <w:p>
            <w:r/>
            <w:r>
              <w:rPr>
                <w:rFonts w:ascii="Calibri" w:hAnsi="Calibri"/>
                <w:sz w:val="18"/>
              </w:rPr>
              <w:t>6/sydney_case_input.json</w:t>
            </w:r>
          </w:p>
        </w:tc>
        <w:tc>
          <w:tcPr>
            <w:tcW w:type="dxa" w:w="2880"/>
          </w:tcPr>
          <w:p>
            <w:r/>
            <w:r>
              <w:rPr>
                <w:rFonts w:ascii="Calibri" w:hAnsi="Calibri"/>
                <w:sz w:val="18"/>
              </w:rPr>
              <w:t>Sydney case input deck</w:t>
            </w:r>
          </w:p>
        </w:tc>
        <w:tc>
          <w:tcPr>
            <w:tcW w:type="dxa" w:w="2880"/>
          </w:tcPr>
          <w:p>
            <w:r/>
            <w:r>
              <w:rPr>
                <w:rFonts w:ascii="Calibri" w:hAnsi="Calibri"/>
                <w:sz w:val="18"/>
              </w:rPr>
              <w:t>all discharge/ambient/met-ocean/numerical inputs for the folder-6 prediction + honest provenance fields.</w:t>
            </w:r>
          </w:p>
        </w:tc>
      </w:tr>
      <w:tr>
        <w:tc>
          <w:tcPr>
            <w:tcW w:type="dxa" w:w="2880"/>
          </w:tcPr>
          <w:p>
            <w:r/>
            <w:r>
              <w:rPr>
                <w:rFonts w:ascii="Calibri" w:hAnsi="Calibri"/>
                <w:sz w:val="18"/>
              </w:rPr>
              <w:t>5/perth_case_input.json</w:t>
            </w:r>
          </w:p>
        </w:tc>
        <w:tc>
          <w:tcPr>
            <w:tcW w:type="dxa" w:w="2880"/>
          </w:tcPr>
          <w:p>
            <w:r/>
            <w:r>
              <w:rPr>
                <w:rFonts w:ascii="Calibri" w:hAnsi="Calibri"/>
                <w:sz w:val="18"/>
              </w:rPr>
              <w:t>Perth validation deck</w:t>
            </w:r>
          </w:p>
        </w:tc>
        <w:tc>
          <w:tcPr>
            <w:tcW w:type="dxa" w:w="2880"/>
          </w:tcPr>
          <w:p>
            <w:r/>
            <w:r>
              <w:rPr>
                <w:rFonts w:ascii="Calibri" w:hAnsi="Calibri"/>
                <w:sz w:val="18"/>
              </w:rPr>
              <w:t>the field-validated Perth diffuser configuration (primary far-field benchmark).</w:t>
            </w:r>
          </w:p>
        </w:tc>
      </w:tr>
      <w:tr>
        <w:tc>
          <w:tcPr>
            <w:tcW w:type="dxa" w:w="2880"/>
          </w:tcPr>
          <w:p>
            <w:r/>
            <w:r>
              <w:rPr>
                <w:rFonts w:ascii="Calibri" w:hAnsi="Calibri"/>
                <w:sz w:val="18"/>
              </w:rPr>
              <w:t>gacia2007_ctd.csv</w:t>
            </w:r>
          </w:p>
        </w:tc>
        <w:tc>
          <w:tcPr>
            <w:tcW w:type="dxa" w:w="2880"/>
          </w:tcPr>
          <w:p>
            <w:r/>
            <w:r>
              <w:rPr>
                <w:rFonts w:ascii="Calibri" w:hAnsi="Calibri"/>
                <w:sz w:val="18"/>
              </w:rPr>
              <w:t>real CTD transect</w:t>
            </w:r>
          </w:p>
        </w:tc>
        <w:tc>
          <w:tcPr>
            <w:tcW w:type="dxa" w:w="2880"/>
          </w:tcPr>
          <w:p>
            <w:r/>
            <w:r>
              <w:rPr>
                <w:rFonts w:ascii="Calibri" w:hAnsi="Calibri"/>
                <w:sz w:val="18"/>
              </w:rPr>
              <w:t>shallow Mediterranean ΔS transect for --calibrate-ctd; defined the out-of-envelope boundary.</w:t>
            </w:r>
          </w:p>
        </w:tc>
      </w:tr>
      <w:tr>
        <w:tc>
          <w:tcPr>
            <w:tcW w:type="dxa" w:w="2880"/>
          </w:tcPr>
          <w:p>
            <w:r/>
            <w:r>
              <w:rPr>
                <w:rFonts w:ascii="Calibri" w:hAnsi="Calibri"/>
                <w:sz w:val="18"/>
              </w:rPr>
              <w:t>perth_deep_ctd.csv</w:t>
            </w:r>
          </w:p>
        </w:tc>
        <w:tc>
          <w:tcPr>
            <w:tcW w:type="dxa" w:w="2880"/>
          </w:tcPr>
          <w:p>
            <w:r/>
            <w:r>
              <w:rPr>
                <w:rFonts w:ascii="Calibri" w:hAnsi="Calibri"/>
                <w:sz w:val="18"/>
              </w:rPr>
              <w:t>real CTD (deep, field-validated)</w:t>
            </w:r>
          </w:p>
        </w:tc>
        <w:tc>
          <w:tcPr>
            <w:tcW w:type="dxa" w:w="2880"/>
          </w:tcPr>
          <w:p>
            <w:r/>
            <w:r>
              <w:rPr>
                <w:rFonts w:ascii="Calibri" w:hAnsi="Calibri"/>
                <w:sz w:val="18"/>
              </w:rPr>
              <w:t>deep-diffuser field-validated dilution used as the default calibration site.</w:t>
            </w:r>
          </w:p>
        </w:tc>
      </w:tr>
      <w:tr>
        <w:tc>
          <w:tcPr>
            <w:tcW w:type="dxa" w:w="2880"/>
          </w:tcPr>
          <w:p>
            <w:r/>
            <w:r>
              <w:rPr>
                <w:rFonts w:ascii="Calibri" w:hAnsi="Calibri"/>
                <w:sz w:val="18"/>
              </w:rPr>
              <w:t>FIELD_SITES['pacific_ctd2023']</w:t>
            </w:r>
          </w:p>
        </w:tc>
        <w:tc>
          <w:tcPr>
            <w:tcW w:type="dxa" w:w="2880"/>
          </w:tcPr>
          <w:p>
            <w:r/>
            <w:r>
              <w:rPr>
                <w:rFonts w:ascii="Calibri" w:hAnsi="Calibri"/>
                <w:sz w:val="18"/>
              </w:rPr>
              <w:t>in-code real survey</w:t>
            </w:r>
          </w:p>
        </w:tc>
        <w:tc>
          <w:tcPr>
            <w:tcW w:type="dxa" w:w="2880"/>
          </w:tcPr>
          <w:p>
            <w:r/>
            <w:r>
              <w:rPr>
                <w:rFonts w:ascii="Calibri" w:hAnsi="Calibri"/>
                <w:sz w:val="18"/>
              </w:rPr>
              <w:t>an independent SE-Pacific SWRO CTD+ADCP far-field check embedded in the solver.</w:t>
            </w:r>
          </w:p>
        </w:tc>
      </w:tr>
      <w:tr>
        <w:tc>
          <w:tcPr>
            <w:tcW w:type="dxa" w:w="2880"/>
          </w:tcPr>
          <w:p>
            <w:r/>
            <w:r>
              <w:rPr>
                <w:rFonts w:ascii="Calibri" w:hAnsi="Calibri"/>
                <w:sz w:val="18"/>
              </w:rPr>
              <w:t>6/metrics_summary.json + CSVs + .npz</w:t>
            </w:r>
          </w:p>
        </w:tc>
        <w:tc>
          <w:tcPr>
            <w:tcW w:type="dxa" w:w="2880"/>
          </w:tcPr>
          <w:p>
            <w:r/>
            <w:r>
              <w:rPr>
                <w:rFonts w:ascii="Calibri" w:hAnsi="Calibri"/>
                <w:sz w:val="18"/>
              </w:rPr>
              <w:t>solver outputs</w:t>
            </w:r>
          </w:p>
        </w:tc>
        <w:tc>
          <w:tcPr>
            <w:tcW w:type="dxa" w:w="2880"/>
          </w:tcPr>
          <w:p>
            <w:r/>
            <w:r>
              <w:rPr>
                <w:rFonts w:ascii="Calibri" w:hAnsi="Calibri"/>
                <w:sz w:val="18"/>
              </w:rPr>
              <w:t>the prediction results consumed by the case-study and simulation-output documents.</w:t>
            </w:r>
          </w:p>
        </w:tc>
      </w:tr>
    </w:tbl>
    <w:p>
      <w:pPr>
        <w:pStyle w:val="Heading1"/>
      </w:pPr>
      <w:r>
        <w:rPr>
          <w:rFonts w:ascii="Calibri" w:hAnsi="Calibri"/>
          <w:color w:val="0B3D5C"/>
        </w:rPr>
        <w:t>I.  Reference list</w:t>
      </w:r>
    </w:p>
    <w:p>
      <w:pPr>
        <w:spacing w:after="60"/>
      </w:pPr>
      <w:r>
        <w:rPr>
          <w:rFonts w:ascii="Calibri" w:hAnsi="Calibri"/>
          <w:b/>
          <w:sz w:val="19"/>
        </w:rPr>
        <w:t xml:space="preserve">[1]  </w:t>
      </w:r>
      <w:r>
        <w:rPr>
          <w:rFonts w:ascii="Calibri" w:hAnsi="Calibri"/>
          <w:sz w:val="19"/>
        </w:rPr>
        <w:t>Roberts, P.J.W., Ferrier, A. &amp; Daviero, G. (1997). Mixing in Inclined Dense Jets. J. Hydraulic Eng. 123(8): 693–699.</w:t>
      </w:r>
    </w:p>
    <w:p>
      <w:pPr>
        <w:spacing w:after="60"/>
      </w:pPr>
      <w:r>
        <w:rPr>
          <w:rFonts w:ascii="Calibri" w:hAnsi="Calibri"/>
          <w:b/>
          <w:sz w:val="19"/>
        </w:rPr>
        <w:t xml:space="preserve">[2]  </w:t>
      </w:r>
      <w:r>
        <w:rPr>
          <w:rFonts w:ascii="Calibri" w:hAnsi="Calibri"/>
          <w:sz w:val="19"/>
        </w:rPr>
        <w:t>Cipollina, A., Brucato, A., Grisafi, F. &amp; Nicosia, S. (2005). Bench-Scale Investigation of Inclined Dense Jets. J. Hydraulic Eng. 131(11): 1017–1022.</w:t>
      </w:r>
    </w:p>
    <w:p>
      <w:pPr>
        <w:spacing w:after="60"/>
      </w:pPr>
      <w:r>
        <w:rPr>
          <w:rFonts w:ascii="Calibri" w:hAnsi="Calibri"/>
          <w:b/>
          <w:sz w:val="19"/>
        </w:rPr>
        <w:t xml:space="preserve">[3]  </w:t>
      </w:r>
      <w:r>
        <w:rPr>
          <w:rFonts w:ascii="Calibri" w:hAnsi="Calibri"/>
          <w:sz w:val="19"/>
        </w:rPr>
        <w:t>Lai, C.C.K. &amp; Lee, J.H.W. (2012). Mixing of inclined dense jets in stationary ambient. J. Hydro-environment Research 6(1): 9–28.</w:t>
      </w:r>
    </w:p>
    <w:p>
      <w:pPr>
        <w:spacing w:after="60"/>
      </w:pPr>
      <w:r>
        <w:rPr>
          <w:rFonts w:ascii="Calibri" w:hAnsi="Calibri"/>
          <w:b/>
          <w:sz w:val="19"/>
        </w:rPr>
        <w:t xml:space="preserve">[4]  </w:t>
      </w:r>
      <w:r>
        <w:rPr>
          <w:rFonts w:ascii="Calibri" w:hAnsi="Calibri"/>
          <w:sz w:val="19"/>
        </w:rPr>
        <w:t>Abessi, O. &amp; Roberts, P.J.W. (2014). Multiport Diffusers for Dense Discharges. J. Hydraulic Eng. 140(8): 04014032.</w:t>
      </w:r>
    </w:p>
    <w:p>
      <w:pPr>
        <w:spacing w:after="60"/>
      </w:pPr>
      <w:r>
        <w:rPr>
          <w:rFonts w:ascii="Calibri" w:hAnsi="Calibri"/>
          <w:b/>
          <w:sz w:val="19"/>
        </w:rPr>
        <w:t xml:space="preserve">[5]  </w:t>
      </w:r>
      <w:r>
        <w:rPr>
          <w:rFonts w:ascii="Calibri" w:hAnsi="Calibri"/>
          <w:sz w:val="19"/>
        </w:rPr>
        <w:t>Abessi, O. &amp; Roberts, P.J.W. (2017). Effect of Nozzle Orientation on Dense Jets in Stagnant Environments. J. Hydraulic Eng.</w:t>
      </w:r>
    </w:p>
    <w:p>
      <w:pPr>
        <w:spacing w:after="60"/>
      </w:pPr>
      <w:r>
        <w:rPr>
          <w:rFonts w:ascii="Calibri" w:hAnsi="Calibri"/>
          <w:b/>
          <w:sz w:val="19"/>
        </w:rPr>
        <w:t xml:space="preserve">[6]  </w:t>
      </w:r>
      <w:r>
        <w:rPr>
          <w:rFonts w:ascii="Calibri" w:hAnsi="Calibri"/>
          <w:sz w:val="19"/>
        </w:rPr>
        <w:t>Porto Pereira, N. et al. (2024). Frontiers in Marine Science 11:1377252.</w:t>
      </w:r>
    </w:p>
    <w:p>
      <w:pPr>
        <w:spacing w:after="60"/>
      </w:pPr>
      <w:r>
        <w:rPr>
          <w:rFonts w:ascii="Calibri" w:hAnsi="Calibri"/>
          <w:b/>
          <w:sz w:val="19"/>
        </w:rPr>
        <w:t xml:space="preserve">[7]  </w:t>
      </w:r>
      <w:r>
        <w:rPr>
          <w:rFonts w:ascii="Calibri" w:hAnsi="Calibri"/>
          <w:sz w:val="19"/>
        </w:rPr>
        <w:t>BMT/Oceanica for Water Corporation of WA. Perth Desalination Plant Discharge Modelling: Model Validation. Appendix D, PSDP2 referral, WA EPA.</w:t>
      </w:r>
    </w:p>
    <w:p>
      <w:pPr>
        <w:spacing w:after="60"/>
      </w:pPr>
      <w:r>
        <w:rPr>
          <w:rFonts w:ascii="Calibri" w:hAnsi="Calibri"/>
          <w:b/>
          <w:sz w:val="19"/>
        </w:rPr>
        <w:t xml:space="preserve">[8]  </w:t>
      </w:r>
      <w:r>
        <w:rPr>
          <w:rFonts w:ascii="Calibri" w:hAnsi="Calibri"/>
          <w:sz w:val="19"/>
        </w:rPr>
        <w:t>Water Corporation of WA. Perth Seawater Desalination Plant. watercorporation.com.au/our-water/desalination.</w:t>
      </w:r>
    </w:p>
    <w:p>
      <w:pPr>
        <w:spacing w:after="60"/>
      </w:pPr>
      <w:r>
        <w:rPr>
          <w:rFonts w:ascii="Calibri" w:hAnsi="Calibri"/>
          <w:b/>
          <w:sz w:val="19"/>
        </w:rPr>
        <w:t xml:space="preserve">[9]  </w:t>
      </w:r>
      <w:r>
        <w:rPr>
          <w:rFonts w:ascii="Calibri" w:hAnsi="Calibri"/>
          <w:sz w:val="19"/>
        </w:rPr>
        <w:t>Marti, C.L. et al. (2011). Near-Field Dilution Characteristics of a Negatively Buoyant Hypersaline Jet. J. Hydraulic Eng. 137(1): 57–65.</w:t>
      </w:r>
    </w:p>
    <w:p>
      <w:pPr>
        <w:spacing w:after="60"/>
      </w:pPr>
      <w:r>
        <w:rPr>
          <w:rFonts w:ascii="Calibri" w:hAnsi="Calibri"/>
          <w:b/>
          <w:sz w:val="19"/>
        </w:rPr>
        <w:t xml:space="preserve">[10]  </w:t>
      </w:r>
      <w:r>
        <w:rPr>
          <w:rFonts w:ascii="Calibri" w:hAnsi="Calibri"/>
          <w:sz w:val="19"/>
        </w:rPr>
        <w:t>Gacia, E. et al. (2007). Impact of brine from a desalination plant on a shallow Posidonia oceanica meadow. Est. Coastal Shelf Sci. 72(4): 579–590. doi:10.1016/j.ecss.2006.11.021.</w:t>
      </w:r>
    </w:p>
    <w:p>
      <w:pPr>
        <w:spacing w:after="60"/>
      </w:pPr>
      <w:r>
        <w:rPr>
          <w:rFonts w:ascii="Calibri" w:hAnsi="Calibri"/>
          <w:b/>
          <w:sz w:val="19"/>
        </w:rPr>
        <w:t xml:space="preserve">[11]  </w:t>
      </w:r>
      <w:r>
        <w:rPr>
          <w:rFonts w:ascii="Calibri" w:hAnsi="Calibri"/>
          <w:sz w:val="19"/>
        </w:rPr>
        <w:t>Fernández-Torquemada, Y. et al. (2005). Monitoring of the brine discharge of the SWRO plant of Alicante. Desalination 182: 395–402.</w:t>
      </w:r>
    </w:p>
    <w:p>
      <w:pPr>
        <w:spacing w:after="60"/>
      </w:pPr>
      <w:r>
        <w:rPr>
          <w:rFonts w:ascii="Calibri" w:hAnsi="Calibri"/>
          <w:b/>
          <w:sz w:val="19"/>
        </w:rPr>
        <w:t xml:space="preserve">[12]  </w:t>
      </w:r>
      <w:r>
        <w:rPr>
          <w:rFonts w:ascii="Calibri" w:hAnsi="Calibri"/>
          <w:sz w:val="19"/>
        </w:rPr>
        <w:t>Sydney Desalination Plant (Kurnell, NSW) — public design basis.</w:t>
      </w:r>
    </w:p>
    <w:p>
      <w:pPr>
        <w:spacing w:after="60"/>
      </w:pPr>
      <w:r>
        <w:rPr>
          <w:rFonts w:ascii="Calibri" w:hAnsi="Calibri"/>
          <w:b/>
          <w:sz w:val="19"/>
        </w:rPr>
        <w:t xml:space="preserve">[13]  </w:t>
      </w:r>
      <w:r>
        <w:rPr>
          <w:rFonts w:ascii="Calibri" w:hAnsi="Calibri"/>
          <w:sz w:val="19"/>
        </w:rPr>
        <w:t>Chorin, A.J. (1968). Numerical solution of the Navier–Stokes equations. Math. Comp. 22(104): 745–762.</w:t>
      </w:r>
    </w:p>
    <w:p>
      <w:pPr>
        <w:spacing w:after="60"/>
      </w:pPr>
      <w:r>
        <w:rPr>
          <w:rFonts w:ascii="Calibri" w:hAnsi="Calibri"/>
          <w:b/>
          <w:sz w:val="19"/>
        </w:rPr>
        <w:t xml:space="preserve">[14]  </w:t>
      </w:r>
      <w:r>
        <w:rPr>
          <w:rFonts w:ascii="Calibri" w:hAnsi="Calibri"/>
          <w:sz w:val="19"/>
        </w:rPr>
        <w:t>van Leer, B. (1979). Towards the Ultimate Conservative Difference Scheme V. J. Comp. Phys. 32(1): 101–136.</w:t>
      </w:r>
    </w:p>
    <w:p>
      <w:pPr>
        <w:spacing w:after="60"/>
      </w:pPr>
      <w:r>
        <w:rPr>
          <w:rFonts w:ascii="Calibri" w:hAnsi="Calibri"/>
          <w:b/>
          <w:sz w:val="19"/>
        </w:rPr>
        <w:t xml:space="preserve">[15]  </w:t>
      </w:r>
      <w:r>
        <w:rPr>
          <w:rFonts w:ascii="Calibri" w:hAnsi="Calibri"/>
          <w:sz w:val="19"/>
        </w:rPr>
        <w:t>Benjamin, T.B. (1968). Gravity currents and related phenomena. J. Fluid Mech. 31(2): 209–248.</w:t>
      </w:r>
    </w:p>
    <w:p>
      <w:pPr>
        <w:spacing w:after="60"/>
      </w:pPr>
      <w:r>
        <w:rPr>
          <w:rFonts w:ascii="Calibri" w:hAnsi="Calibri"/>
          <w:b/>
          <w:sz w:val="19"/>
        </w:rPr>
        <w:t xml:space="preserve">[16]  </w:t>
      </w:r>
      <w:r>
        <w:rPr>
          <w:rFonts w:ascii="Calibri" w:hAnsi="Calibri"/>
          <w:sz w:val="19"/>
        </w:rPr>
        <w:t>Durbin, P.A. (1996). On the k–ε stagnation point anomaly. Int. J. Heat Fluid Flow 17(1): 89–90.</w:t>
      </w:r>
    </w:p>
    <w:p>
      <w:pPr>
        <w:spacing w:after="60"/>
      </w:pPr>
      <w:r>
        <w:rPr>
          <w:rFonts w:ascii="Calibri" w:hAnsi="Calibri"/>
          <w:b/>
          <w:sz w:val="19"/>
        </w:rPr>
        <w:t xml:space="preserve">[17]  </w:t>
      </w:r>
      <w:r>
        <w:rPr>
          <w:rFonts w:ascii="Calibri" w:hAnsi="Calibri"/>
          <w:sz w:val="19"/>
        </w:rPr>
        <w:t>Smagorinsky, J. (1963). General circulation experiments with the primitive equations. Mon. Weather Rev. 91(3): 99–164.</w:t>
      </w:r>
    </w:p>
    <w:p>
      <w:pPr>
        <w:spacing w:after="60"/>
      </w:pPr>
      <w:r>
        <w:rPr>
          <w:rFonts w:ascii="Calibri" w:hAnsi="Calibri"/>
          <w:b/>
          <w:sz w:val="19"/>
        </w:rPr>
        <w:t xml:space="preserve">[18]  </w:t>
      </w:r>
      <w:r>
        <w:rPr>
          <w:rFonts w:ascii="Calibri" w:hAnsi="Calibri"/>
          <w:sz w:val="19"/>
        </w:rPr>
        <w:t>Nicoud, F. &amp; Ducros, F. (1999). Subgrid-Scale Stress Modelling Based on the Square of the Velocity Gradient Tensor. Flow Turb. Combust. 62(3): 183–200.</w:t>
      </w:r>
    </w:p>
    <w:p>
      <w:pPr>
        <w:spacing w:after="60"/>
      </w:pPr>
      <w:r>
        <w:rPr>
          <w:rFonts w:ascii="Calibri" w:hAnsi="Calibri"/>
          <w:b/>
          <w:sz w:val="19"/>
        </w:rPr>
        <w:t xml:space="preserve">[19]  </w:t>
      </w:r>
      <w:r>
        <w:rPr>
          <w:rFonts w:ascii="Calibri" w:hAnsi="Calibri"/>
          <w:sz w:val="19"/>
        </w:rPr>
        <w:t>Menter, F.R. (1994). Two-equation eddy-viscosity turbulence models for engineering applications. AIAA J. 32(8): 1598–1605.</w:t>
      </w:r>
    </w:p>
    <w:p>
      <w:pPr>
        <w:spacing w:after="60"/>
      </w:pPr>
      <w:r>
        <w:rPr>
          <w:rFonts w:ascii="Calibri" w:hAnsi="Calibri"/>
          <w:b/>
          <w:sz w:val="19"/>
        </w:rPr>
        <w:t xml:space="preserve">[20]  </w:t>
      </w:r>
      <w:r>
        <w:rPr>
          <w:rFonts w:ascii="Calibri" w:hAnsi="Calibri"/>
          <w:sz w:val="19"/>
        </w:rPr>
        <w:t>IOC, SCOR &amp; IAPSO (2010). TEOS-10. UNESCO; McDougall, T.J. &amp; Barker, P.M. (2011). GSW Oceanographic Toolbox.</w:t>
      </w:r>
    </w:p>
    <w:p>
      <w:pPr>
        <w:spacing w:after="60"/>
      </w:pPr>
      <w:r>
        <w:rPr>
          <w:rFonts w:ascii="Calibri" w:hAnsi="Calibri"/>
          <w:b/>
          <w:sz w:val="19"/>
        </w:rPr>
        <w:t xml:space="preserve">[21]  </w:t>
      </w:r>
      <w:r>
        <w:rPr>
          <w:rFonts w:ascii="Calibri" w:hAnsi="Calibri"/>
          <w:sz w:val="19"/>
        </w:rPr>
        <w:t>Craik, A.D.D. &amp; Leibovich, S. (1976). A rational model for Langmuir circulations. J. Fluid Mech. 73(3): 401–426.</w:t>
      </w:r>
    </w:p>
    <w:p>
      <w:pPr>
        <w:spacing w:after="60"/>
      </w:pPr>
      <w:r>
        <w:rPr>
          <w:rFonts w:ascii="Calibri" w:hAnsi="Calibri"/>
          <w:b/>
          <w:sz w:val="19"/>
        </w:rPr>
        <w:t xml:space="preserve">[22]  </w:t>
      </w:r>
      <w:r>
        <w:rPr>
          <w:rFonts w:ascii="Calibri" w:hAnsi="Calibri"/>
          <w:sz w:val="19"/>
        </w:rPr>
        <w:t>Orlanski, I. (1976). A simple boundary condition for unbounded hyperbolic flows. J. Comp. Phys. 21(3): 251–269.</w:t>
      </w:r>
    </w:p>
    <w:p>
      <w:pPr>
        <w:spacing w:after="60"/>
      </w:pPr>
      <w:r>
        <w:rPr>
          <w:rFonts w:ascii="Calibri" w:hAnsi="Calibri"/>
          <w:b/>
          <w:sz w:val="19"/>
        </w:rPr>
        <w:t xml:space="preserve">[23]  </w:t>
      </w:r>
      <w:r>
        <w:rPr>
          <w:rFonts w:ascii="Calibri" w:hAnsi="Calibri"/>
          <w:sz w:val="19"/>
        </w:rPr>
        <w:t>Western Australian EPA. Perth / Cockburn Sound brine-discharge licence criteria.</w:t>
      </w:r>
    </w:p>
    <w:p>
      <w:pPr>
        <w:spacing w:after="60"/>
      </w:pPr>
      <w:r>
        <w:rPr>
          <w:rFonts w:ascii="Calibri" w:hAnsi="Calibri"/>
          <w:b/>
          <w:sz w:val="19"/>
        </w:rPr>
        <w:t xml:space="preserve">[24]  </w:t>
      </w:r>
      <w:r>
        <w:rPr>
          <w:rFonts w:ascii="Calibri" w:hAnsi="Calibri"/>
          <w:sz w:val="19"/>
        </w:rPr>
        <w:t>NSW EPA — POEO Act / Environment Protection Licence mixing-zone framework.</w:t>
      </w:r>
    </w:p>
    <w:p>
      <w:pPr>
        <w:spacing w:after="120"/>
      </w:pPr>
    </w:p>
    <w:p>
      <w:pPr>
        <w:spacing w:after="120"/>
      </w:pPr>
      <w:r>
        <w:rPr>
          <w:rFonts w:ascii="Calibri" w:hAnsi="Calibri"/>
          <w:b w:val="0"/>
          <w:i/>
          <w:color w:val="0B3D5C"/>
          <w:sz w:val="18"/>
        </w:rPr>
        <w:t>Software citation note: NumPy (Harris et al. 2020, Nature 585), SciPy (Virtanen et al. 2020, Nature Methods 17), Matplotlib (Hunter 2007, CSE 9(3)). Companion documents: 6/model.docx (governing PDEs), 6/case_study.docx (interpretation), 6/simu.docx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