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Simulation Output Curves — Graphical Representation of the Generated CSV Data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19"/>
        </w:rPr>
        <w:t>Perth SWRO — Cockburn Sound submerged-diffuser brine-discharge simulation  ·  run folder: /3  ·  calibration: validated (2.3% error vs WA EPA target dilution 45 at 50 m)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note plots every CSV file produced by the simulation run in the /3 folder. Three datasets were generated — the plume centreline curve, the water-column vertical profile, and the metrics time series — and each is represented graphically below with a short interpretation. All values are read directly from the CSV files (curve_centerline.csv, curve_vertical_profile.csv, metrics_timeseries.csv).</w:t>
      </w:r>
    </w:p>
    <w:p>
      <w:pPr>
        <w:pStyle w:val="Heading1"/>
      </w:pPr>
      <w:r>
        <w:t>1.  Plume centreline curve  (curve_centerline.csv)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file traces the plume along its axis: for each along-axis distance it records the excess salinity above ambient, the dilution, and the depth of the plume core. Negative distances are up-current of the diffuser (source at 0 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5429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_center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429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Figure 1.  Centreline excess salinity (top), dilution on a log scale with the 45× regulatory target (middle), and plume-core depth/trajectory (bottom) vs distance along the axis.</w:t>
      </w:r>
    </w:p>
    <w:p>
      <w:pPr>
        <w:spacing w:after="120"/>
      </w:pPr>
      <w:r>
        <w:rPr>
          <w:b/>
          <w:sz w:val="22"/>
        </w:rPr>
        <w:t xml:space="preserve">Reading it:  </w:t>
      </w:r>
      <w:r>
        <w:rPr>
          <w:sz w:val="22"/>
        </w:rPr>
        <w:t>excess salinity peaks near the source and decays with distance as the brine is entrained and diluted; dilution rises by orders of magnitude away from the source (from ~19 near-field to ~6.0×10⁴ far-field), crossing the 45× target well within the regulated distance; the core-depth panel shows the dense brine plume sinking toward the seabed before spreading.</w:t>
      </w:r>
    </w:p>
    <w:p>
      <w:pPr>
        <w:pStyle w:val="Heading1"/>
      </w:pPr>
      <w:r>
        <w:t>2.  Vertical profile  (curve_vertical_profile.csv)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file samples the water column at the monitoring location, giving excess salinity, absolute salinity, temperature and density as a function of depth (depth increases downward).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84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_vert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84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Figure 2.  Vertical profiles of excess salinity, absolute salinity, temperature and density through the water column.</w:t>
      </w:r>
    </w:p>
    <w:p>
      <w:pPr>
        <w:spacing w:after="120"/>
      </w:pPr>
      <w:r>
        <w:rPr>
          <w:b/>
          <w:sz w:val="22"/>
        </w:rPr>
        <w:t xml:space="preserve">Reading it:  </w:t>
      </w:r>
      <w:r>
        <w:rPr>
          <w:sz w:val="22"/>
        </w:rPr>
        <w:t>the excess-salinity profile shows the densest, most saline water concentrated near the bed (excess ≈ 0.74 g/kg at 0.75 m, falling to ≈ 0.59 g/kg near the surface) — the expected signature of a negatively buoyant brine plume. Absolute salinity, temperature and density vary only slightly over depth at this station (near-uniform background), so the environmental impact is driven by the excess-salinity gradient rather than the absolute field.</w:t>
      </w:r>
    </w:p>
    <w:p>
      <w:pPr>
        <w:pStyle w:val="Heading1"/>
      </w:pPr>
      <w:r>
        <w:t>3.  Metrics time series  (metrics_timeseries.csv)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file records the evolution of the key plume metrics through the 600-second simulation: peak salinity and excess, minimum dilution, plume reach and depth, seabed footprint, and the solver's maximum divergence (a numerical-stability diagnostic).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7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_times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Figure 3.  Time evolution of peak salinity/excess (top-left), minimum dilution (top-right), plume reach/depth and seabed footprint (bottom-left), and numerical divergence (bottom-right).</w:t>
      </w:r>
    </w:p>
    <w:p>
      <w:pPr>
        <w:spacing w:after="120"/>
      </w:pPr>
      <w:r>
        <w:rPr>
          <w:b/>
          <w:sz w:val="22"/>
        </w:rPr>
        <w:t xml:space="preserve">Reading it:  </w:t>
      </w:r>
      <w:r>
        <w:rPr>
          <w:sz w:val="22"/>
        </w:rPr>
        <w:t>peak salinity and excess rise quickly as the plume establishes, then settle around S_max ≈ 38.7 g/kg and excess ≈ 2.5 g/kg; the minimum dilution falls from a transient high toward its steady ~11× near-field value; the plume reach (r_max), deepest penetration and seabed footprint grow as the brine reaches and spreads along the bed; and the max-divergence panel stays at ~10⁻⁴ throughout, confirming the solver remained stable (no blow-up).</w:t>
      </w:r>
    </w:p>
    <w:p>
      <w:pPr>
        <w:pStyle w:val="Heading1"/>
      </w:pPr>
      <w:r>
        <w:t>4.  Key end-state values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For reference, the headline metrics at the end of the run (from metrics_summary.json):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Peak salinity S_max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38.73 g/kg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Peak excess salinity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2.51 g/kg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 dilution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11.5 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 plume reach r_max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109.1 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Deepest penetration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21.8 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Seabed footprint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333 m²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Affected volume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 m³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Near-field return dilution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64.2 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Densimetric Froude no. Fr_d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38.8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color w:val="555555"/>
          <w:sz w:val="20"/>
        </w:rPr>
        <w:t>All three CSV datasets are therefore consistent: a negatively buoyant brine plume that sinks to the bed, dilutes rapidly past the 45× regulatory target, and reaches a stable steady state within the 600-second simulation — produced by a numerically stable solver.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