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against laboratory, field and analytical benchmarks. The far field is UNCALIBRATED — the dispersivity multiplier returned 1.00 against a representative (constructed, not measured) site transect, so no fitting was performed. Read §1.1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was compared against a representative site dilution transect (no fitting was required, and none was performed) and the whole model chain was VALIDATED against the Roberts (1997) dense-jet laboratory scaling, the published Perth multi-point field transect and a lock-exchange PDE benchmark.</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38:1.</w:t>
      </w:r>
    </w:p>
    <w:p>
      <w:pPr>
        <w:pStyle w:val="ListBullet"/>
      </w:pPr>
      <w:r>
        <w:t>Far field: seabed footprint above ΔS=0.5 g/kg ≈ 5127 m²; maximum excess 0.99 g/kg; horizontal reach r_max ≈ 65 m in the final ensemble-mean field (but 83 ± 10 m over the steady window, and still growing at t_end — see §1.1).</w:t>
      </w:r>
    </w:p>
    <w:p>
      <w:pPr>
        <w:pStyle w:val="ListBullet"/>
      </w:pPr>
      <w:r>
        <w:t>Reported peak salinity 36.43 g/kg and minimum dilution 32:1 are NOT emergent predictions: 36.4290 g/kg is exactly the prescribed source value handed over by the near-field model, and the apparent 32:1 arises from measuring that value against the fresher shallow ambient (§12.4).</w:t>
      </w:r>
    </w:p>
    <w:p>
      <w:pPr>
        <w:pStyle w:val="ListBullet"/>
      </w:pPr>
      <w:r>
        <w:t>Calibration: the far-field dispersivity multiplier farfield_disp_cal returned 1.00 — i.e. unity, no adjustment. The target transect is representative, not measured, so this is a consistency check rather than a calibration (§10).</w:t>
      </w:r>
    </w:p>
    <w:p>
      <w:r>
        <w:rPr>
          <w:b w:val="0"/>
          <w:i w:val="0"/>
          <w:sz w:val="21"/>
        </w:rPr>
        <w:t>Mixing-zone assessment: against a conservative sub-lethal assessment contour of ΔS = 0.5 g/kg (more protective than the ~1 ppt typical of NSW mixing-zone practice), the model predicts a seabed excess-salinity footprint of ≈ 5127 m² within roughly 65–83 m of the diffuser. The maximum excess anywhere in the domain is 0.99 g/kg, comfortably inside every applicable limit (NSW ~1 ppt; Perth 1.2 ppt at 50 m; California 2.0 ppt at 100 m), so the compliance conclusion is robust even where the footprint precision is not. Run health is exact (divergence 7.3e-16, mass imbalance 1.5e-16,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Four of them mean less than they appear to, and this section states why. None of these caveats overturn the compliance conclusion; all of them bear on its precision.</w:t>
      </w:r>
    </w:p>
    <w:p>
      <w:pPr>
        <w:pStyle w:val="ListBullet"/>
      </w:pPr>
      <w:r>
        <w:t>Source blob, not a resolved plume. The 3-D far field is seeded by relaxing S toward S_source inside a Gaussian whose width is max(physical return width, 1.5·max(dx,dz)). With dx = 5.77 m the grid floor (8.65 m) overrides the physical width (2.50 m) by 3.5×, so brine is injected over roughly a third of the water column. Consequently S_max is exactly S_source, and ΔS &gt; 0.5 g/kg extends to within 0.48 m of the sea surface at the source column.</w:t>
      </w:r>
    </w:p>
    <w:p>
      <w:pPr>
        <w:pStyle w:val="ListBullet"/>
      </w:pPr>
      <w:r>
        <w:t>The plume is NOT bottom-trapped near the source. In the source column the salinity is vertically uniform at S_source from bed to surface. Bed-intensification — the genuine gravity-current signature — only emerges beyond roughly 30 m downstream, where the bed excess exceeds the surface excess by a factor of about 3.7 at 55 m. Claims that the upper water column is unaffected are not supported by this run.</w:t>
      </w:r>
    </w:p>
    <w:p>
      <w:pPr>
        <w:pStyle w:val="ListBullet"/>
      </w:pPr>
      <w:r>
        <w:t>Steady state was not reached for the reach. r_max grows monotonically through the run (26 → 96 m) and is still increasing at t_end = 200 s. It passes the steady-state test only because that test bounds the relative scatter (tol = 0.20) rather than the trend. The domain flush time is ≈ 2,500 s, so the run covers ≈ 8% of it.</w:t>
      </w:r>
    </w:p>
    <w:p>
      <w:pPr>
        <w:pStyle w:val="ListBullet"/>
      </w:pPr>
      <w:r>
        <w:t>The 2-member ensemble cannot support the statistics derived from it. With two members the exceedance field takes only the values 0, 0.5 and 1, and a 95th percentile is simply the larger of two samples. The ensemble spread is reported in §12.3 for completeness and should not be used as an uncertainty bound.</w:t>
      </w:r>
    </w:p>
    <w:p>
      <w:pPr>
        <w:pStyle w:val="ListBullet"/>
      </w:pPr>
      <w:r>
        <w:t>Physics claimed in §2 that was INACTIVE in this run: osmotic salt flux, osmotic body force, Soret/Dufour cross-diffusion, the higher-order (TEOS-10-style) equation-of-state terms, the free surface, bottom drag and the wall function. The run used near-field coupling, full-tensor dispersion, realizable k–ε and stochastic forcing only.</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200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w:t>
      </w:r>
    </w:p>
    <w:p>
      <w:pPr>
        <w:pStyle w:val="ListBullet"/>
      </w:pPr>
      <w:r>
        <w:t>Turbulence: buoyancy-modified realizable k–ε with the correct stratification-damping sign and Durbin time-scale limiter; Smagorinsky/WALE LES dissipation floor.</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7.29e-16</w:t>
            </w:r>
          </w:p>
        </w:tc>
      </w:tr>
      <w:tr>
        <w:tc>
          <w:tcPr>
            <w:tcW w:type="dxa" w:w="4320"/>
          </w:tcPr>
          <w:p>
            <w:r/>
            <w:r>
              <w:rPr>
                <w:sz w:val="19"/>
              </w:rPr>
              <w:t>Max divergence over run</w:t>
            </w:r>
          </w:p>
        </w:tc>
        <w:tc>
          <w:tcPr>
            <w:tcW w:type="dxa" w:w="4320"/>
          </w:tcPr>
          <w:p>
            <w:r/>
            <w:r>
              <w:rPr>
                <w:sz w:val="19"/>
              </w:rPr>
              <w:t>2.69e-15</w:t>
            </w:r>
          </w:p>
        </w:tc>
      </w:tr>
      <w:tr>
        <w:tc>
          <w:tcPr>
            <w:tcW w:type="dxa" w:w="4320"/>
          </w:tcPr>
          <w:p>
            <w:r/>
            <w:r>
              <w:rPr>
                <w:sz w:val="19"/>
              </w:rPr>
              <w:t>Global mass imbalance</w:t>
            </w:r>
          </w:p>
        </w:tc>
        <w:tc>
          <w:tcPr>
            <w:tcW w:type="dxa" w:w="4320"/>
          </w:tcPr>
          <w:p>
            <w:r/>
            <w:r>
              <w:rPr>
                <w:sz w:val="19"/>
              </w:rPr>
              <w:t>1.47e-16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140–200 s</w:t>
            </w:r>
          </w:p>
        </w:tc>
      </w:tr>
      <w:tr>
        <w:tc>
          <w:tcPr>
            <w:tcW w:type="dxa" w:w="4320"/>
          </w:tcPr>
          <w:p>
            <w:r/>
            <w:r>
              <w:rPr>
                <w:sz w:val="19"/>
              </w:rPr>
              <w:t>Steady state reached</w:t>
            </w:r>
          </w:p>
        </w:tc>
        <w:tc>
          <w:tcPr>
            <w:tcW w:type="dxa" w:w="4320"/>
          </w:tcPr>
          <w:p>
            <w:r/>
            <w:r>
              <w:rPr>
                <w:sz w:val="19"/>
              </w:rPr>
              <w:t>True (scatter test only — see below)</w:t>
            </w:r>
          </w:p>
        </w:tc>
      </w:tr>
    </w:tbl>
    <w:p/>
    <w:p>
      <w:r>
        <w:rPr>
          <w:b w:val="0"/>
          <w:i/>
          <w:color w:val="13343B"/>
          <w:sz w:val="21"/>
        </w:rPr>
        <w:t>Qualification of the steady-state flag. The flag is set when the relative standard deviation of each tracked metric over the last 34% of the run falls below steady_tol = 0.20. It bounds scatter, not trend. Over the 140–200 s window the reach r_max has mean 83.3 m and standard deviation 9.5 m, a ratio of 0.11 — so it passes — yet its four samples are 70, 79, 88 and 96 m: a monotonic 37% increase. The reach had not converged. S_max is genuinely stationary only because it is pinned to the prescribed source value (§12.4). The divergence and mass-balance figures are sound and unaffected.</w:t>
      </w:r>
    </w:p>
    <w:p>
      <w:pPr>
        <w:pStyle w:val="Heading1"/>
      </w:pPr>
      <w:r>
        <w:rPr>
          <w:color w:val="0B3D5C"/>
        </w:rPr>
        <w:t>10.  Comparison against the representative site transect</w:t>
      </w:r>
    </w:p>
    <w:p>
      <w:r>
        <w:rPr>
          <w:b w:val="0"/>
          <w:i w:val="0"/>
          <w:sz w:val="21"/>
        </w:rPr>
        <w:t>The far-field spreading rate is governed by a single knob, farfield_disp_cal, which scales the tunable horizontal dispersivity. It was exercised against a centreline dilution transect at the mixing-zone boundary (50 m). The near-field correlations and the molecular and turbulent diffusivities are left physical (unfitted).</w:t>
      </w:r>
    </w:p>
    <w:p>
      <w:r>
        <w:rPr>
          <w:i/>
          <w:color w:val="13343B"/>
          <w:sz w:val="19"/>
        </w:rPr>
        <w:t>Table 10.1 — Representative centreline dilution transect (inputs/site_ctd_dilution_transect.csv). These values are constructed, not measured — see the provenance note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Distance (m)</w:t>
            </w:r>
          </w:p>
        </w:tc>
        <w:tc>
          <w:tcPr>
            <w:tcW w:type="dxa" w:w="2880"/>
          </w:tcPr>
          <w:p>
            <w:r/>
            <w:r>
              <w:rPr>
                <w:b/>
                <w:color w:val="0B3D5C"/>
                <w:sz w:val="19"/>
              </w:rPr>
              <w:t>Target dilution (representative)</w:t>
            </w:r>
          </w:p>
        </w:tc>
        <w:tc>
          <w:tcPr>
            <w:tcW w:type="dxa" w:w="2880"/>
          </w:tcPr>
          <w:p>
            <w:r/>
            <w:r>
              <w:rPr>
                <w:b/>
                <w:color w:val="0B3D5C"/>
                <w:sz w:val="19"/>
              </w:rPr>
              <w:t>Target ΔS (g/kg)</w:t>
            </w:r>
          </w:p>
        </w:tc>
      </w:tr>
      <w:tr>
        <w:tc>
          <w:tcPr>
            <w:tcW w:type="dxa" w:w="2880"/>
          </w:tcPr>
          <w:p>
            <w:r/>
            <w:r>
              <w:rPr>
                <w:sz w:val="19"/>
              </w:rPr>
              <w:t>7.0</w:t>
            </w:r>
          </w:p>
        </w:tc>
        <w:tc>
          <w:tcPr>
            <w:tcW w:type="dxa" w:w="2880"/>
          </w:tcPr>
          <w:p>
            <w:r/>
            <w:r>
              <w:rPr>
                <w:sz w:val="19"/>
              </w:rPr>
              <w:t>37.0</w:t>
            </w:r>
          </w:p>
        </w:tc>
        <w:tc>
          <w:tcPr>
            <w:tcW w:type="dxa" w:w="2880"/>
          </w:tcPr>
          <w:p>
            <w:r/>
            <w:r>
              <w:rPr>
                <w:sz w:val="19"/>
              </w:rPr>
              <w:t>0.851</w:t>
            </w:r>
          </w:p>
        </w:tc>
      </w:tr>
      <w:tr>
        <w:tc>
          <w:tcPr>
            <w:tcW w:type="dxa" w:w="2880"/>
          </w:tcPr>
          <w:p>
            <w:r/>
            <w:r>
              <w:rPr>
                <w:sz w:val="19"/>
              </w:rPr>
              <w:t>15.0</w:t>
            </w:r>
          </w:p>
        </w:tc>
        <w:tc>
          <w:tcPr>
            <w:tcW w:type="dxa" w:w="2880"/>
          </w:tcPr>
          <w:p>
            <w:r/>
            <w:r>
              <w:rPr>
                <w:sz w:val="19"/>
              </w:rPr>
              <w:t>40.0</w:t>
            </w:r>
          </w:p>
        </w:tc>
        <w:tc>
          <w:tcPr>
            <w:tcW w:type="dxa" w:w="2880"/>
          </w:tcPr>
          <w:p>
            <w:r/>
            <w:r>
              <w:rPr>
                <w:sz w:val="19"/>
              </w:rPr>
              <w:t>0.787</w:t>
            </w:r>
          </w:p>
        </w:tc>
      </w:tr>
      <w:tr>
        <w:tc>
          <w:tcPr>
            <w:tcW w:type="dxa" w:w="2880"/>
          </w:tcPr>
          <w:p>
            <w:r/>
            <w:r>
              <w:rPr>
                <w:sz w:val="19"/>
              </w:rPr>
              <w:t>25.0</w:t>
            </w:r>
          </w:p>
        </w:tc>
        <w:tc>
          <w:tcPr>
            <w:tcW w:type="dxa" w:w="2880"/>
          </w:tcPr>
          <w:p>
            <w:r/>
            <w:r>
              <w:rPr>
                <w:sz w:val="19"/>
              </w:rPr>
              <w:t>42.0</w:t>
            </w:r>
          </w:p>
        </w:tc>
        <w:tc>
          <w:tcPr>
            <w:tcW w:type="dxa" w:w="2880"/>
          </w:tcPr>
          <w:p>
            <w:r/>
            <w:r>
              <w:rPr>
                <w:sz w:val="19"/>
              </w:rPr>
              <w:t>0.750</w:t>
            </w:r>
          </w:p>
        </w:tc>
      </w:tr>
      <w:tr>
        <w:tc>
          <w:tcPr>
            <w:tcW w:type="dxa" w:w="2880"/>
          </w:tcPr>
          <w:p>
            <w:r/>
            <w:r>
              <w:rPr>
                <w:sz w:val="19"/>
              </w:rPr>
              <w:t>50.0</w:t>
            </w:r>
          </w:p>
        </w:tc>
        <w:tc>
          <w:tcPr>
            <w:tcW w:type="dxa" w:w="2880"/>
          </w:tcPr>
          <w:p>
            <w:r/>
            <w:r>
              <w:rPr>
                <w:sz w:val="19"/>
              </w:rPr>
              <w:t>44.0</w:t>
            </w:r>
          </w:p>
        </w:tc>
        <w:tc>
          <w:tcPr>
            <w:tcW w:type="dxa" w:w="2880"/>
          </w:tcPr>
          <w:p>
            <w:r/>
            <w:r>
              <w:rPr>
                <w:sz w:val="19"/>
              </w:rPr>
              <w:t>0.716</w:t>
            </w:r>
          </w:p>
        </w:tc>
      </w:tr>
    </w:tbl>
    <w:p/>
    <w:p>
      <w:r>
        <w:rPr>
          <w:b w:val="0"/>
          <w:i w:val="0"/>
          <w:color w:val="13343B"/>
          <w:sz w:val="21"/>
        </w:rPr>
        <w:t>Result: farfield_disp_cal = 1.00. The multiplier returned unity, i.e. no adjustment was made and the model reproduced the 44.0:1 target at 50.0 m without tuning. Full log: validation/ctd_calibration.log; machine-readable result: nereid_output/calibration.json.</w:t>
      </w:r>
    </w:p>
    <w:p>
      <w:r>
        <w:rPr>
          <w:b w:val="0"/>
          <w:i/>
          <w:color w:val="13343B"/>
          <w:sz w:val="21"/>
        </w:rPr>
        <w:t>Provenance — this is a consistency check, not a calibration. The transect is generated by case_study/make_site_data.py, whose source comment records that the stations were chosen to be “reproducible by the model at no tuning”. A procedure that recovers unity against a target constructed to be recoverable has demonstrated consistency, not predictive skill. The model has NOT been calibrated to measured data, and the word “calibrated” is therefore avoided throughout this report. The independent far-field evidence is the Perth transect in §11, against which the model was not fitted and is shown conservative. To convert this into a genuine calibration, either commission a site CTD/ADCP survey or adopt the measured Gold Coast Tugun transect (Baum et al. 2019) as the target.</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 Baum et al. (2019); Perth design transect — Roberts et al. (2019)</w:t>
            </w:r>
          </w:p>
        </w:tc>
        <w:tc>
          <w:tcPr>
            <w:tcW w:type="dxa" w:w="2160"/>
          </w:tcPr>
          <w:p>
            <w:r/>
            <w:r>
              <w:rPr>
                <w:sz w:val="19"/>
              </w:rPr>
              <w:t>~45–63:1 @ 50–60 m (in-class)</w:t>
            </w:r>
          </w:p>
        </w:tc>
        <w:tc>
          <w:tcPr>
            <w:tcW w:type="dxa" w:w="2160"/>
          </w:tcPr>
          <w:p>
            <w:r/>
            <w:r>
              <w:rPr>
                <w:sz w:val="19"/>
              </w:rPr>
              <w:t>Conservative (under-predicts dilution) — protective</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confined within ≈ 65 m — consistent</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w:t>
            </w:r>
          </w:p>
        </w:tc>
        <w:tc>
          <w:tcPr>
            <w:tcW w:type="dxa" w:w="2160"/>
          </w:tcPr>
          <w:p>
            <w:r/>
            <w:r>
              <w:rPr>
                <w:sz w:val="19"/>
              </w:rPr>
              <w:t>Fr_f ≈ 0.47 — PASS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with the representative site transect (§10, no fitting) and shown conservative against the in-class Perth field data, which the model was never fitted to. The two genuinely independent gates are therefore the Perth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the final ensemble-mean value and has not converged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38</w:t>
            </w:r>
          </w:p>
        </w:tc>
        <w:tc>
          <w:tcPr>
            <w:tcW w:type="dxa" w:w="2880"/>
          </w:tcPr>
          <w:p>
            <w:r/>
            <w:r>
              <w:rPr>
                <w:sz w:val="19"/>
              </w:rPr>
              <w:t>:1</w:t>
            </w:r>
          </w:p>
        </w:tc>
      </w:tr>
      <w:tr>
        <w:tc>
          <w:tcPr>
            <w:tcW w:type="dxa" w:w="2880"/>
          </w:tcPr>
          <w:p>
            <w:r/>
            <w:r>
              <w:rPr>
                <w:sz w:val="19"/>
              </w:rPr>
              <w:t>Peak salinity</w:t>
            </w:r>
          </w:p>
        </w:tc>
        <w:tc>
          <w:tcPr>
            <w:tcW w:type="dxa" w:w="2880"/>
          </w:tcPr>
          <w:p>
            <w:r/>
            <w:r>
              <w:rPr>
                <w:sz w:val="19"/>
              </w:rPr>
              <w:t>36.43</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0.99</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32</w:t>
            </w:r>
          </w:p>
        </w:tc>
        <w:tc>
          <w:tcPr>
            <w:tcW w:type="dxa" w:w="2880"/>
          </w:tcPr>
          <w:p>
            <w:r/>
            <w:r>
              <w:rPr>
                <w:sz w:val="19"/>
              </w:rPr>
              <w:t>:1</w:t>
            </w:r>
          </w:p>
        </w:tc>
      </w:tr>
      <w:tr>
        <w:tc>
          <w:tcPr>
            <w:tcW w:type="dxa" w:w="2880"/>
          </w:tcPr>
          <w:p>
            <w:r/>
            <w:r>
              <w:rPr>
                <w:sz w:val="19"/>
              </w:rPr>
              <w:t>Horizontal reach r_max</w:t>
            </w:r>
          </w:p>
        </w:tc>
        <w:tc>
          <w:tcPr>
            <w:tcW w:type="dxa" w:w="2880"/>
          </w:tcPr>
          <w:p>
            <w:r/>
            <w:r>
              <w:rPr>
                <w:sz w:val="19"/>
              </w:rPr>
              <w:t>65</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5127</w:t>
            </w:r>
          </w:p>
        </w:tc>
        <w:tc>
          <w:tcPr>
            <w:tcW w:type="dxa" w:w="2880"/>
          </w:tcPr>
          <w:p>
            <w:r/>
            <w:r>
              <w:rPr>
                <w:sz w:val="19"/>
              </w:rPr>
              <w:t>m²</w:t>
            </w:r>
          </w:p>
        </w:tc>
      </w:tr>
      <w:tr>
        <w:tc>
          <w:tcPr>
            <w:tcW w:type="dxa" w:w="2880"/>
          </w:tcPr>
          <w:p>
            <w:r/>
            <w:r>
              <w:rPr>
                <w:sz w:val="19"/>
              </w:rPr>
              <w:t>Affected water volume</w:t>
            </w:r>
          </w:p>
        </w:tc>
        <w:tc>
          <w:tcPr>
            <w:tcW w:type="dxa" w:w="2880"/>
          </w:tcPr>
          <w:p>
            <w:r/>
            <w:r>
              <w:rPr>
                <w:sz w:val="19"/>
              </w:rPr>
              <w:t>55085</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12223.6</w:t>
            </w:r>
          </w:p>
        </w:tc>
        <w:tc>
          <w:tcPr>
            <w:tcW w:type="dxa" w:w="2160"/>
          </w:tcPr>
          <w:p>
            <w:r/>
            <w:r>
              <w:rPr>
                <w:sz w:val="19"/>
              </w:rPr>
              <w:t>62.38</w:t>
            </w:r>
          </w:p>
        </w:tc>
        <w:tc>
          <w:tcPr>
            <w:tcW w:type="dxa" w:w="2160"/>
          </w:tcPr>
          <w:p>
            <w:r/>
            <w:r>
              <w:rPr>
                <w:sz w:val="19"/>
              </w:rPr>
              <w:t>315.0</w:t>
            </w:r>
          </w:p>
        </w:tc>
      </w:tr>
      <w:tr>
        <w:tc>
          <w:tcPr>
            <w:tcW w:type="dxa" w:w="2160"/>
          </w:tcPr>
          <w:p>
            <w:r/>
            <w:r>
              <w:rPr>
                <w:sz w:val="19"/>
              </w:rPr>
              <w:t>0.20</w:t>
            </w:r>
          </w:p>
        </w:tc>
        <w:tc>
          <w:tcPr>
            <w:tcW w:type="dxa" w:w="2160"/>
          </w:tcPr>
          <w:p>
            <w:r/>
            <w:r>
              <w:rPr>
                <w:sz w:val="19"/>
              </w:rPr>
              <w:t>10601.0</w:t>
            </w:r>
          </w:p>
        </w:tc>
        <w:tc>
          <w:tcPr>
            <w:tcW w:type="dxa" w:w="2160"/>
          </w:tcPr>
          <w:p>
            <w:r/>
            <w:r>
              <w:rPr>
                <w:sz w:val="19"/>
              </w:rPr>
              <w:t>58.09</w:t>
            </w:r>
          </w:p>
        </w:tc>
        <w:tc>
          <w:tcPr>
            <w:tcW w:type="dxa" w:w="2160"/>
          </w:tcPr>
          <w:p>
            <w:r/>
            <w:r>
              <w:rPr>
                <w:sz w:val="19"/>
              </w:rPr>
              <w:t>157.5</w:t>
            </w:r>
          </w:p>
        </w:tc>
      </w:tr>
      <w:tr>
        <w:tc>
          <w:tcPr>
            <w:tcW w:type="dxa" w:w="2160"/>
          </w:tcPr>
          <w:p>
            <w:r/>
            <w:r>
              <w:rPr>
                <w:sz w:val="19"/>
              </w:rPr>
              <w:t>0.30</w:t>
            </w:r>
          </w:p>
        </w:tc>
        <w:tc>
          <w:tcPr>
            <w:tcW w:type="dxa" w:w="2160"/>
          </w:tcPr>
          <w:p>
            <w:r/>
            <w:r>
              <w:rPr>
                <w:sz w:val="19"/>
              </w:rPr>
              <w:t>8351.0</w:t>
            </w:r>
          </w:p>
        </w:tc>
        <w:tc>
          <w:tcPr>
            <w:tcW w:type="dxa" w:w="2160"/>
          </w:tcPr>
          <w:p>
            <w:r/>
            <w:r>
              <w:rPr>
                <w:sz w:val="19"/>
              </w:rPr>
              <w:t>51.56</w:t>
            </w:r>
          </w:p>
        </w:tc>
        <w:tc>
          <w:tcPr>
            <w:tcW w:type="dxa" w:w="2160"/>
          </w:tcPr>
          <w:p>
            <w:r/>
            <w:r>
              <w:rPr>
                <w:sz w:val="19"/>
              </w:rPr>
              <w:t>105.0</w:t>
            </w:r>
          </w:p>
        </w:tc>
      </w:tr>
      <w:tr>
        <w:tc>
          <w:tcPr>
            <w:tcW w:type="dxa" w:w="2160"/>
          </w:tcPr>
          <w:p>
            <w:r/>
            <w:r>
              <w:rPr>
                <w:sz w:val="19"/>
              </w:rPr>
              <w:t>0.40</w:t>
            </w:r>
          </w:p>
        </w:tc>
        <w:tc>
          <w:tcPr>
            <w:tcW w:type="dxa" w:w="2160"/>
          </w:tcPr>
          <w:p>
            <w:r/>
            <w:r>
              <w:rPr>
                <w:sz w:val="19"/>
              </w:rPr>
              <w:t>6187.5</w:t>
            </w:r>
          </w:p>
        </w:tc>
        <w:tc>
          <w:tcPr>
            <w:tcW w:type="dxa" w:w="2160"/>
          </w:tcPr>
          <w:p>
            <w:r/>
            <w:r>
              <w:rPr>
                <w:sz w:val="19"/>
              </w:rPr>
              <w:t>44.38</w:t>
            </w:r>
          </w:p>
        </w:tc>
        <w:tc>
          <w:tcPr>
            <w:tcW w:type="dxa" w:w="2160"/>
          </w:tcPr>
          <w:p>
            <w:r/>
            <w:r>
              <w:rPr>
                <w:sz w:val="19"/>
              </w:rPr>
              <w:t>78.8</w:t>
            </w:r>
          </w:p>
        </w:tc>
      </w:tr>
      <w:tr>
        <w:tc>
          <w:tcPr>
            <w:tcW w:type="dxa" w:w="2160"/>
          </w:tcPr>
          <w:p>
            <w:r/>
            <w:r>
              <w:rPr>
                <w:sz w:val="19"/>
              </w:rPr>
              <w:t>0.50</w:t>
            </w:r>
          </w:p>
        </w:tc>
        <w:tc>
          <w:tcPr>
            <w:tcW w:type="dxa" w:w="2160"/>
          </w:tcPr>
          <w:p>
            <w:r/>
            <w:r>
              <w:rPr>
                <w:sz w:val="19"/>
              </w:rPr>
              <w:t>5170.7</w:t>
            </w:r>
          </w:p>
        </w:tc>
        <w:tc>
          <w:tcPr>
            <w:tcW w:type="dxa" w:w="2160"/>
          </w:tcPr>
          <w:p>
            <w:r/>
            <w:r>
              <w:rPr>
                <w:sz w:val="19"/>
              </w:rPr>
              <w:t>40.57</w:t>
            </w:r>
          </w:p>
        </w:tc>
        <w:tc>
          <w:tcPr>
            <w:tcW w:type="dxa" w:w="2160"/>
          </w:tcPr>
          <w:p>
            <w:r/>
            <w:r>
              <w:rPr>
                <w:sz w:val="19"/>
              </w:rPr>
              <w:t>63.0</w:t>
            </w:r>
          </w:p>
        </w:tc>
      </w:tr>
      <w:tr>
        <w:tc>
          <w:tcPr>
            <w:tcW w:type="dxa" w:w="2160"/>
          </w:tcPr>
          <w:p>
            <w:r/>
            <w:r>
              <w:rPr>
                <w:sz w:val="19"/>
              </w:rPr>
              <w:t>0.60</w:t>
            </w:r>
          </w:p>
        </w:tc>
        <w:tc>
          <w:tcPr>
            <w:tcW w:type="dxa" w:w="2160"/>
          </w:tcPr>
          <w:p>
            <w:r/>
            <w:r>
              <w:rPr>
                <w:sz w:val="19"/>
              </w:rPr>
              <w:t>4110.6</w:t>
            </w:r>
          </w:p>
        </w:tc>
        <w:tc>
          <w:tcPr>
            <w:tcW w:type="dxa" w:w="2160"/>
          </w:tcPr>
          <w:p>
            <w:r/>
            <w:r>
              <w:rPr>
                <w:sz w:val="19"/>
              </w:rPr>
              <w:t>36.17</w:t>
            </w:r>
          </w:p>
        </w:tc>
        <w:tc>
          <w:tcPr>
            <w:tcW w:type="dxa" w:w="2160"/>
          </w:tcPr>
          <w:p>
            <w:r/>
            <w:r>
              <w:rPr>
                <w:sz w:val="19"/>
              </w:rPr>
              <w:t>52.5</w:t>
            </w:r>
          </w:p>
        </w:tc>
      </w:tr>
      <w:tr>
        <w:tc>
          <w:tcPr>
            <w:tcW w:type="dxa" w:w="2160"/>
          </w:tcPr>
          <w:p>
            <w:r/>
            <w:r>
              <w:rPr>
                <w:sz w:val="19"/>
              </w:rPr>
              <w:t>0.70</w:t>
            </w:r>
          </w:p>
        </w:tc>
        <w:tc>
          <w:tcPr>
            <w:tcW w:type="dxa" w:w="2160"/>
          </w:tcPr>
          <w:p>
            <w:r/>
            <w:r>
              <w:rPr>
                <w:sz w:val="19"/>
              </w:rPr>
              <w:t>3137.0</w:t>
            </w:r>
          </w:p>
        </w:tc>
        <w:tc>
          <w:tcPr>
            <w:tcW w:type="dxa" w:w="2160"/>
          </w:tcPr>
          <w:p>
            <w:r/>
            <w:r>
              <w:rPr>
                <w:sz w:val="19"/>
              </w:rPr>
              <w:t>31.60</w:t>
            </w:r>
          </w:p>
        </w:tc>
        <w:tc>
          <w:tcPr>
            <w:tcW w:type="dxa" w:w="2160"/>
          </w:tcPr>
          <w:p>
            <w:r/>
            <w:r>
              <w:rPr>
                <w:sz w:val="19"/>
              </w:rPr>
              <w:t>45.0</w:t>
            </w:r>
          </w:p>
        </w:tc>
      </w:tr>
      <w:tr>
        <w:tc>
          <w:tcPr>
            <w:tcW w:type="dxa" w:w="2160"/>
          </w:tcPr>
          <w:p>
            <w:r/>
            <w:r>
              <w:rPr>
                <w:sz w:val="19"/>
              </w:rPr>
              <w:t>0.80</w:t>
            </w:r>
          </w:p>
        </w:tc>
        <w:tc>
          <w:tcPr>
            <w:tcW w:type="dxa" w:w="2160"/>
          </w:tcPr>
          <w:p>
            <w:r/>
            <w:r>
              <w:rPr>
                <w:sz w:val="19"/>
              </w:rPr>
              <w:t>2055.3</w:t>
            </w:r>
          </w:p>
        </w:tc>
        <w:tc>
          <w:tcPr>
            <w:tcW w:type="dxa" w:w="2160"/>
          </w:tcPr>
          <w:p>
            <w:r/>
            <w:r>
              <w:rPr>
                <w:sz w:val="19"/>
              </w:rPr>
              <w:t>25.58</w:t>
            </w:r>
          </w:p>
        </w:tc>
        <w:tc>
          <w:tcPr>
            <w:tcW w:type="dxa" w:w="2160"/>
          </w:tcPr>
          <w:p>
            <w:r/>
            <w:r>
              <w:rPr>
                <w:sz w:val="19"/>
              </w:rPr>
              <w:t>39.4</w:t>
            </w:r>
          </w:p>
        </w:tc>
      </w:tr>
      <w:tr>
        <w:tc>
          <w:tcPr>
            <w:tcW w:type="dxa" w:w="2160"/>
          </w:tcPr>
          <w:p>
            <w:r/>
            <w:r>
              <w:rPr>
                <w:sz w:val="19"/>
              </w:rPr>
              <w:t>0.90</w:t>
            </w:r>
          </w:p>
        </w:tc>
        <w:tc>
          <w:tcPr>
            <w:tcW w:type="dxa" w:w="2160"/>
          </w:tcPr>
          <w:p>
            <w:r/>
            <w:r>
              <w:rPr>
                <w:sz w:val="19"/>
              </w:rPr>
              <w:t>0.0</w:t>
            </w:r>
          </w:p>
        </w:tc>
        <w:tc>
          <w:tcPr>
            <w:tcW w:type="dxa" w:w="2160"/>
          </w:tcPr>
          <w:p>
            <w:r/>
            <w:r>
              <w:rPr>
                <w:sz w:val="19"/>
              </w:rPr>
              <w:t>0.00</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0.411 g/kg and the nominal 95th-percentile excess reaches 1.00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200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what the source blob does to it</w:t>
      </w:r>
    </w:p>
    <w:p>
      <w:r>
        <w:rPr>
          <w:b w:val="0"/>
          <w:i w:val="0"/>
          <w:sz w:val="21"/>
        </w:rPr>
        <w:t>The 3-D far field is seeded by relaxing salinity toward S_source inside a Gaussian blob whose width is max(physical return width, 1.5·max(dx,dz)). For this grid the floor term (8.65 m) dominates the physical return width (2.50 m) by a factor of 3.5, so the blob extends over roughly a third of the water column. Three consequences follow, and they must be understood before the vertical figures are interpreted:</w:t>
      </w:r>
    </w:p>
    <w:p>
      <w:pPr>
        <w:pStyle w:val="ListBullet"/>
      </w:pPr>
      <w:r>
        <w:t>Peak salinity is prescribed. S_max = 36.4290 g/kg is exactly S_source = S_amb,bed + (S₀ − S_amb,bed)/S_r. The model is reporting its own boundary condition back to us; it is not a predicted maximum.</w:t>
      </w:r>
    </w:p>
    <w:p>
      <w:pPr>
        <w:pStyle w:val="ListBullet"/>
      </w:pPr>
      <w:r>
        <w:t>Minimum dilution is a datum artefact. Dilution is evaluated against the local depth-varying ambient. The blob carries S_source up into water whose ambient is fresher (35.4 rather than 35.6 g/kg), so the same absolute salinity reports 32:1 there instead of the 38:1 handed over by the near field. The plume does not re-concentrate.</w:t>
      </w:r>
    </w:p>
    <w:p>
      <w:pPr>
        <w:pStyle w:val="ListBullet"/>
      </w:pPr>
      <w:r>
        <w:t>Near the source the plume is not bottom-trapped. In the source column the salinity is vertically uniform at S_source from the bed to within 0.48 m of the sea surface. Bed-intensification appears only downstream: at 55 m the bed excess is 0.56 g/kg against 0.15 g/kg at the surface. The bottom-trapped gravity current is real, but it is a far-field feature of this run, not a near-source one.</w:t>
      </w:r>
    </w:p>
    <w:p>
      <w:r>
        <w:rPr>
          <w:b w:val="0"/>
          <w:i/>
          <w:color w:val="13343B"/>
          <w:sz w:val="21"/>
        </w:rPr>
        <w:t>Datum warning. In plume_envelope_vs_distance.csv the column layer_top_depth_m is a DEPTH BELOW THE SEA SURFACE (postprocess.py computes it as −min(z) over the impacted column), not a height above the seabed. Its constant value of 0.48 m therefore means the impacted layer reaches to within 0.48 m of the SURFACE — the opposite of a thin near-bed sheet. The companion column layer_thickness_m ≈ 23.08 m, in 25 m of water, says the same thing. Likewise core_depth_m rises from 4.33 m (near-surface) at the first station to 24.52 m (on the bed) only beyond ~37 m downstream. Earlier drafts of this study, and of the slide deck, misread this column as a height above bed and concluded that the surface waters were unaffected; that conclusion is withdrawn.</w:t>
      </w:r>
    </w:p>
    <w:p>
      <w:r>
        <w:rPr>
          <w:b w:val="0"/>
          <w:i/>
          <w:color w:val="13343B"/>
          <w:sz w:val="21"/>
        </w:rPr>
        <w:t>The fix is to make the source-blob floor anisotropic — 1.5·dz vertically rather than 1.5·max(dx,dz) — which for dz = 0.96 m gives a vertical σ of 1.44 m, comparable with the physical 2.50 m. Until that is done and the case re-run, the vertical extent of the plume in this study is a property of the grid, not of the ocean.</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The bed-intensified gravity-current layer is visible downstream; near the source the column is vertically uniform because of the over-wide source blob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layer top ≈ 0.48 m means the impacted layer reaches to within 0.48 m of the surface, and thickness ≈ 23.08 m in 25 m of water (§12.4).</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200 s) as it develops and spreads from the diffuser.</w:t>
      </w:r>
    </w:p>
    <w:p>
      <w:pPr>
        <w:pStyle w:val="ListBullet"/>
      </w:pPr>
      <w:r>
        <w:t>anim_depth_slices.gif — horizontal excess-salinity slices swept from the sea surface down to the seabed (shows the plume is bed-intensified downstream, and vertically uniform in the source column — see §12.4).</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5127 m², within roughly 65–83 m of the diffuser. This assessment contour is more protective than the ~1 ppt above ambient typical of NSW mixing-zone practice.</w:t>
      </w:r>
    </w:p>
    <w:p>
      <w:r>
        <w:rPr>
          <w:b w:val="0"/>
          <w:i w:val="0"/>
          <w:sz w:val="21"/>
        </w:rPr>
        <w:t>The compliance conclusion is robust; the footprint precision is not. The maximum excess salinity anywhere in the domain is 0.99 g/kg and the maximum on the seabed is 0.84 g/kg, so the discharge sits inside every applicable concentration limit with margin — NSW ~1 ppt at the mixing-zone edge, Perth 1.2 ppt at 50 m, Gold Coast ~2 PSU at 60 m, and the binding California Ocean Plan 2.0 ppt at 100 m. That conclusion survives every caveat in §1.1. What does not survive is the implied precision of '5127 m² within 65 m': the reach had not converged when the run stopped, and the footprint depends on which estimator and which field (single-member or ensemble-mean)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0.47 against Benjamin's 0.50, which exercises the PDE core with the brine physics switched off; and the Perth transect, against which the model was never fitted and under-predicts dilution by ~22%, i.e. errs toward over-stating impact. The far field is NOT calibrated to measured data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5127 m² within roughly 65–83 m of the outfall. The salinity anomaly is inside every applicable regulatory limit with substantial margin.</w:t>
      </w:r>
    </w:p>
    <w:p>
      <w:pPr>
        <w:pStyle w:val="ListBullet"/>
      </w:pPr>
      <w:r>
        <w:t>The solver is validated against laboratory, field and analytical benchmarks and its numerics are sound: 13/13 self-tests, machine-precision continuity, conserved mass and no eddy-viscosity railing. Numerical soundness is not physical correctness — a perfectly-converged solution of the wrong problem carries identical diagnostics.</w:t>
      </w:r>
    </w:p>
    <w:p>
      <w:pPr>
        <w:pStyle w:val="ListBullet"/>
      </w:pPr>
      <w:r>
        <w:t>The far field is NOT calibrated. The dispersivity multiplier returned 1.00 against a transect that was constructed to be reproducible without tuning, so the procedure demonstrated consistency rather than predictive skill.</w:t>
      </w:r>
    </w:p>
    <w:p>
      <w:pPr>
        <w:pStyle w:val="ListBullet"/>
      </w:pPr>
      <w:r>
        <w:t>Near the source the plume is not bottom-trapped: the source column is vertically uniform at the injected salinity. This is an artefact of the grid-limited source blob (§12.4) and it inflates the reported peak salinity, minimum dilution and affected volume.</w:t>
      </w:r>
    </w:p>
    <w:p>
      <w:pPr>
        <w:pStyle w:val="ListBullet"/>
      </w:pPr>
      <w:r>
        <w:t>Steady state was not reached for the horizontal reach, which grew monotonically from 26 m to 96 m and was still increasing when the run stopped at 200 s — about 8% of one domain flush time.</w:t>
      </w:r>
    </w:p>
    <w:p>
      <w:pPr>
        <w:pStyle w:val="ListBullet"/>
      </w:pPr>
      <w:r>
        <w:t>Recommendation (i): make the source-blob floor anisotropic (1.5·dz vertically rather than 1.5·max(dx,dz)) and re-run. This is a one-line change and it is the single most consequential fix, because it contaminates four reported quantities at once.</w:t>
      </w:r>
    </w:p>
    <w:p>
      <w:pPr>
        <w:pStyle w:val="ListBullet"/>
      </w:pPr>
      <w:r>
        <w:t>Recommendation (ii): extend the run to at least one domain flush time (≈ 2,500 s vs the 200 s used here) and adopt a steady-state test that bounds the trend over the window, not merely the relative scatter.</w:t>
      </w:r>
    </w:p>
    <w:p>
      <w:pPr>
        <w:pStyle w:val="ListBullet"/>
      </w:pPr>
      <w:r>
        <w:t>Recommendation (iii): enable bottom drag. A free-slip seabed under a bottom gravity current biases the reach long and the layer thin, and that error is anti-conservative.</w:t>
      </w:r>
    </w:p>
    <w:p>
      <w:pPr>
        <w:pStyle w:val="ListBullet"/>
      </w:pPr>
      <w:r>
        <w:t>Recommendation (iv): commission a real CTD/ADCP survey at the outfall and re-run --calibrate-ctd — or adopt the measured Gold Coast Tugun transect (Baum et al. 2019) — to convert these representative numbers into a genuinely calibrated prediction.</w:t>
      </w:r>
    </w:p>
    <w:p>
      <w:pPr>
        <w:pStyle w:val="ListBullet"/>
      </w:pPr>
      <w:r>
        <w:t>Recommendation (v): raise the ensemble to O(100) members run over several Ornstein–Uhlenbeck correlation times before any exceedance-probability map is quoted.</w:t>
      </w:r>
    </w:p>
    <w:p>
      <w:pPr>
        <w:pStyle w:val="ListBullet"/>
      </w:pPr>
      <w:r>
        <w:t>Recommendation (vi):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(vii): for a fully resolved near field,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Baum, M.J. et al. (2019). Spatiotemporal influences of open-coastal forcing dynamics on a dense multiport diffuser outfall (Gold Coast). J. Hydraulic Eng. 145(10): 04019034. doi:10.1061/(ASCE)HY.1943-7900.0001622.</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