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5C"/>
        </w:rPr>
        <w:t>Industrial Case Study</w:t>
      </w:r>
    </w:p>
    <w:p>
      <w:pPr>
        <w:spacing w:after="120"/>
      </w:pPr>
      <w:r>
        <w:rPr>
          <w:rFonts w:ascii="Calibri" w:hAnsi="Calibri"/>
          <w:b/>
          <w:i w:val="0"/>
          <w:color w:val="0B3D5C"/>
          <w:sz w:val="26"/>
        </w:rPr>
        <w:t>Prediction of brine-plume dispersion, evolution and seabed distribution for the Sydney Desalination Plant offshore submerged multiport diffuser (Kurnell, NSW — open Tasman Sea shelf)</w:t>
      </w:r>
    </w:p>
    <w:p>
      <w:pPr>
        <w:spacing w:after="120"/>
      </w:pPr>
      <w:r>
        <w:rPr>
          <w:rFonts w:ascii="Calibri" w:hAnsi="Calibri"/>
          <w:b w:val="0"/>
          <w:i/>
          <w:sz w:val="20"/>
        </w:rPr>
        <w:t>Modelling tool: NEREID-B (solver.py, Rev 2.0) — 3-D finite-volume coupled brine dispersion solver with near-field correlation coupling, buoyancy-modified realizable k–ε turbulence, full anisotropic dispersion tensor and a Monte-Carlo stochastic ensemble.</w:t>
      </w:r>
    </w:p>
    <w:p>
      <w:pPr>
        <w:pStyle w:val="Heading1"/>
      </w:pPr>
      <w:r>
        <w:rPr>
          <w:rFonts w:ascii="Calibri" w:hAnsi="Calibri"/>
          <w:color w:val="0B3D5C"/>
        </w:rPr>
        <w:t>1.  Executive summary</w:t>
      </w:r>
    </w:p>
    <w:p>
      <w:pPr>
        <w:spacing w:after="120"/>
      </w:pPr>
      <w:r>
        <w:rPr>
          <w:rFonts w:ascii="Calibri" w:hAnsi="Calibri"/>
          <w:b w:val="0"/>
          <w:i w:val="0"/>
          <w:sz w:val="22"/>
        </w:rPr>
        <w:t>NEREID-B was applied to predict the fate of the hypersaline reject (brine) discharged from the Sydney Desalination Plant (SDP) at Kurnell through its offshore submerged multiport diffuser into the open Tasman Sea in ~25 m of water. The model resolves the near-field inclined-dense-jet behaviour via validated correlations and the 3-D far-field gravity-current spreading and dilution of the negatively-buoyant plume over the shelf seabed, under the site's ambient current, stratification and the more energetic open-ocean wave climate. A 2-member stochastic ensemble quantifies turbulence-driven uncertainty.</w:t>
      </w:r>
    </w:p>
    <w:p>
      <w:pPr>
        <w:spacing w:after="120"/>
      </w:pPr>
      <w:r>
        <w:rPr>
          <w:rFonts w:ascii="Calibri" w:hAnsi="Calibri"/>
          <w:b w:val="0"/>
          <w:i w:val="0"/>
          <w:sz w:val="22"/>
        </w:rPr>
        <w:t>Headline predictions (steady, quasi-equilibrium plume):</w:t>
      </w:r>
    </w:p>
    <w:p>
      <w:pPr>
        <w:pStyle w:val="ListBullet"/>
        <w:spacing w:after="40"/>
      </w:pPr>
      <w:r>
        <w:rPr>
          <w:rFonts w:ascii="Calibri" w:hAnsi="Calibri"/>
          <w:b/>
          <w:sz w:val="22"/>
        </w:rPr>
        <w:t xml:space="preserve">Source: </w:t>
      </w:r>
      <w:r>
        <w:rPr>
          <w:rFonts w:ascii="Calibri" w:hAnsi="Calibri"/>
          <w:sz w:val="22"/>
        </w:rPr>
        <w:t>discharge salinity 67.0 g/kg into 35.4 g/kg ambient (excess at source 31.6 g/kg, ~1.89× ambient);</w:t>
      </w:r>
    </w:p>
    <w:p>
      <w:pPr>
        <w:pStyle w:val="ListBullet"/>
        <w:spacing w:after="40"/>
      </w:pPr>
      <w:r>
        <w:rPr>
          <w:rFonts w:ascii="Calibri" w:hAnsi="Calibri"/>
          <w:b/>
          <w:sz w:val="22"/>
        </w:rPr>
        <w:t xml:space="preserve">Near field: </w:t>
      </w:r>
      <w:r>
        <w:rPr>
          <w:rFonts w:ascii="Calibri" w:hAnsi="Calibri"/>
          <w:sz w:val="22"/>
        </w:rPr>
        <w:t>validated correlations: densimetric Froude number Fr=24.3, terminal rise 6.4 m, seabed return at 7.0 m, return dilution 38:1;</w:t>
      </w:r>
    </w:p>
    <w:p>
      <w:pPr>
        <w:pStyle w:val="ListBullet"/>
        <w:spacing w:after="40"/>
      </w:pPr>
      <w:r>
        <w:rPr>
          <w:rFonts w:ascii="Calibri" w:hAnsi="Calibri"/>
          <w:b/>
          <w:sz w:val="22"/>
        </w:rPr>
        <w:t xml:space="preserve">Mixing zone: </w:t>
      </w:r>
      <w:r>
        <w:rPr>
          <w:rFonts w:ascii="Calibri" w:hAnsi="Calibri"/>
          <w:sz w:val="22"/>
        </w:rPr>
        <w:t>modelled brine dilution at the 50 m boundary ≈ 47:1, excess salinity ΔS ≈ 0.67 g/kg (≈ 0.19 g/kg at 100 m);</w:t>
      </w:r>
    </w:p>
    <w:p>
      <w:pPr>
        <w:pStyle w:val="ListBullet"/>
        <w:spacing w:after="40"/>
      </w:pPr>
      <w:r>
        <w:rPr>
          <w:rFonts w:ascii="Calibri" w:hAnsi="Calibri"/>
          <w:b/>
          <w:sz w:val="22"/>
        </w:rPr>
        <w:t xml:space="preserve">Far field: </w:t>
      </w:r>
      <w:r>
        <w:rPr>
          <w:rFonts w:ascii="Calibri" w:hAnsi="Calibri"/>
          <w:sz w:val="22"/>
        </w:rPr>
        <w:t>peak salinity 36.43 g/kg, max excess 0.99 g/kg, seabed footprint above 0.5 g/kg ≈ 5127 m², affected water volume ≈ 55085 m³.</w:t>
      </w:r>
    </w:p>
    <w:p>
      <w:pPr>
        <w:spacing w:after="120"/>
      </w:pPr>
      <w:r>
        <w:rPr>
          <w:rFonts w:ascii="Calibri" w:hAnsi="Calibri"/>
          <w:b/>
          <w:i w:val="0"/>
          <w:sz w:val="22"/>
        </w:rPr>
        <w:t>Mixing-zone assessment: against a conservative SUB-LETHAL assessment contour of ΔS = 0.5 g/kg (more protective than the ~1 ppt typical of NSW mixing-zone practice), the predicted ΔS at 50 m ≈ 0.67 g/kg is AT / ABOVE the assessment contour (marginal). NEREID-B carries a documented CONSERVATIVE bias (under-predicts dilution ⇒ over-predicts impact), so the prediction is on the protective side; the absolute figures are INDICATIVE pending a site CTD/ADCP calibration.</w:t>
      </w:r>
    </w:p>
    <w:p>
      <w:pPr>
        <w:pStyle w:val="Heading1"/>
      </w:pPr>
      <w:r>
        <w:rPr>
          <w:rFonts w:ascii="Calibri" w:hAnsi="Calibri"/>
          <w:color w:val="0B3D5C"/>
        </w:rPr>
        <w:t>2.  Site description and problem statement</w:t>
      </w:r>
    </w:p>
    <w:p>
      <w:pPr>
        <w:spacing w:after="120"/>
      </w:pPr>
      <w:r>
        <w:rPr>
          <w:rFonts w:ascii="Calibri" w:hAnsi="Calibri"/>
          <w:b w:val="0"/>
          <w:i w:val="0"/>
          <w:sz w:val="22"/>
        </w:rPr>
        <w:t>The Sydney Desalination Plant at Kurnell produces up to 250 ML/day of potable water by seawater reverse osmosis (recovery ~47%) and returns the RO concentrate to the open Tasman Sea through an offshore diffuser on the continental shelf in ~25 m of water, via tunnelled risers fitted with inclined multiport rosette heads. The concentrate (~67 g/kg, ~1.9× the ambient ~35.5 g/kg) is negatively buoyant: it rises briefly as a turbulent jet, falls back to the seabed and spreads as a dense gravity current. The assessment question is whether the diffuser dilutes the brine enough that the seabed excess-salinity footprint and the mixing-zone concentrations remain within ecological limits on this exposed shelf site.</w:t>
      </w:r>
    </w:p>
    <w:p>
      <w:pPr>
        <w:spacing w:after="40"/>
      </w:pPr>
      <w:r>
        <w:rPr>
          <w:rFonts w:ascii="Calibri" w:hAnsi="Calibri"/>
          <w:b/>
          <w:i w:val="0"/>
          <w:sz w:val="22"/>
        </w:rPr>
        <w:t>Provenance of the input data:</w:t>
      </w:r>
    </w:p>
    <w:p>
      <w:pPr>
        <w:spacing w:after="120"/>
      </w:pPr>
      <w:r>
        <w:rPr>
          <w:rFonts w:ascii="Calibri" w:hAnsi="Calibri"/>
          <w:b w:val="0"/>
          <w:i w:val="0"/>
          <w:sz w:val="19"/>
        </w:rPr>
        <w:t>Public design basis — Public-domain design basis: SDP Kurnell, product capacity 250 ML/day (expandable to 500 ML/day), seawater-reverse-osmosis recovery ~47%, brine returned through an offshore diffuser on the open Tasman Sea shelf in ~25 m water via tunnelled risers fitted with inclined multiport rosette heads. Ambient open-ocean salinity ~35.4-35.6 psu; summer thermocline ~18-21 C. NSW mixing-zone practice limits the salinity anomaly to ~1 ppt above ambient at the mixing-zone boundary.</w:t>
      </w:r>
    </w:p>
    <w:p>
      <w:pPr>
        <w:spacing w:after="120"/>
      </w:pPr>
      <w:r>
        <w:rPr>
          <w:rFonts w:ascii="Calibri" w:hAnsi="Calibri"/>
          <w:b w:val="0"/>
          <w:i/>
          <w:sz w:val="19"/>
        </w:rPr>
        <w:t>Engineering assumptions — Per-port nozzle geometry (n_ports, d_p, port_spacing, nozzle_height) and the exact concentrate split are a REPRESENTATIVE deep-diffuser configuration consistent with the public capacity/recovery and a 60-deg inclined-dense-jet design, NOT measured per-port data. Concentrate flow from mass balance: feed = 250/0.47 = 532 ML/day, concentrate = 282 ML/day = 3.26 m3/s; concentrate salinity = 35.5/(1-0.47) ~= 67 psu. Per-port Q_d = 3.26/72 = 0.0453 m3/s, exit velocity U_d ~= 4.0 m/s at d_p = 0.12 m. Predictions are therefore CONSERVATIVE/INDICATIVE per the NEREID-B applicability envelope (deep submerged multiport diffuser); a site CTD/ADCP survey would calibrate the absolute numbers (--calibrate-ctd).</w:t>
      </w:r>
    </w:p>
    <w:p>
      <w:pPr>
        <w:spacing w:after="120"/>
      </w:pPr>
      <w:r>
        <w:rPr>
          <w:rFonts w:ascii="Calibri" w:hAnsi="Calibri"/>
          <w:b w:val="0"/>
          <w:i w:val="0"/>
          <w:sz w:val="22"/>
        </w:rPr>
        <w:t>Prediction objectives for NEREID-B:</w:t>
      </w:r>
    </w:p>
    <w:p>
      <w:pPr>
        <w:pStyle w:val="ListBullet"/>
        <w:spacing w:after="40"/>
      </w:pPr>
      <w:r>
        <w:rPr>
          <w:rFonts w:ascii="Calibri" w:hAnsi="Calibri"/>
          <w:sz w:val="22"/>
        </w:rPr>
        <w:t>the near-field rise height, seabed return distance and return dilution;</w:t>
      </w:r>
    </w:p>
    <w:p>
      <w:pPr>
        <w:pStyle w:val="ListBullet"/>
        <w:spacing w:after="40"/>
      </w:pPr>
      <w:r>
        <w:rPr>
          <w:rFonts w:ascii="Calibri" w:hAnsi="Calibri"/>
          <w:sz w:val="22"/>
        </w:rPr>
        <w:t>the steady 3-D distribution of excess salinity and brine dilution over the seabed;</w:t>
      </w:r>
    </w:p>
    <w:p>
      <w:pPr>
        <w:pStyle w:val="ListBullet"/>
        <w:spacing w:after="40"/>
      </w:pPr>
      <w:r>
        <w:rPr>
          <w:rFonts w:ascii="Calibri" w:hAnsi="Calibri"/>
          <w:sz w:val="22"/>
        </w:rPr>
        <w:t>the centreline dilution and excess-salinity decay with distance from the diffuser;</w:t>
      </w:r>
    </w:p>
    <w:p>
      <w:pPr>
        <w:pStyle w:val="ListBullet"/>
        <w:spacing w:after="40"/>
      </w:pPr>
      <w:r>
        <w:rPr>
          <w:rFonts w:ascii="Calibri" w:hAnsi="Calibri"/>
          <w:sz w:val="22"/>
        </w:rPr>
        <w:t>the seabed footprint area exceeding the threshold and the affected water volume;</w:t>
      </w:r>
    </w:p>
    <w:p>
      <w:pPr>
        <w:pStyle w:val="ListBullet"/>
        <w:spacing w:after="40"/>
      </w:pPr>
      <w:r>
        <w:rPr>
          <w:rFonts w:ascii="Calibri" w:hAnsi="Calibri"/>
          <w:sz w:val="22"/>
        </w:rPr>
        <w:t>the vertical structure of the bottom-trapped dense layer;</w:t>
      </w:r>
    </w:p>
    <w:p>
      <w:pPr>
        <w:pStyle w:val="ListBullet"/>
        <w:spacing w:after="40"/>
      </w:pPr>
      <w:r>
        <w:rPr>
          <w:rFonts w:ascii="Calibri" w:hAnsi="Calibri"/>
          <w:sz w:val="22"/>
        </w:rPr>
        <w:t>mixing-zone compliance with a stochastic uncertainty band.</w:t>
      </w:r>
    </w:p>
    <w:p>
      <w:pPr>
        <w:pStyle w:val="Heading1"/>
      </w:pPr>
      <w:r>
        <w:rPr>
          <w:rFonts w:ascii="Calibri" w:hAnsi="Calibri"/>
          <w:color w:val="0B3D5C"/>
        </w:rPr>
        <w:t>3.  Input data (model deck)</w:t>
      </w:r>
    </w:p>
    <w:p>
      <w:pPr>
        <w:spacing w:after="120"/>
      </w:pPr>
      <w:r>
        <w:rPr>
          <w:rFonts w:ascii="Calibri" w:hAnsi="Calibri"/>
          <w:b w:val="0"/>
          <w:i w:val="0"/>
          <w:sz w:val="22"/>
        </w:rPr>
        <w:t>The full machine-readable deck is saved as 6/sydney_case_input.json.</w:t>
      </w:r>
    </w:p>
    <w:p>
      <w:pPr>
        <w:spacing w:after="40"/>
      </w:pPr>
      <w:r>
        <w:rPr>
          <w:rFonts w:ascii="Calibri" w:hAnsi="Calibri"/>
          <w:b/>
          <w:i w:val="0"/>
          <w:sz w:val="22"/>
        </w:rPr>
        <w:t>3.1  Discharge / diffuser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9"/>
              </w:rPr>
              <w:t>Parameter</w:t>
            </w:r>
          </w:p>
        </w:tc>
        <w:tc>
          <w:tcPr>
            <w:tcW w:type="dxa" w:w="2160"/>
          </w:tcPr>
          <w:p>
            <w:r>
              <w:rPr>
                <w:rFonts w:ascii="Calibri" w:hAnsi="Calibri"/>
                <w:b/>
                <w:sz w:val="19"/>
              </w:rPr>
              <w:t>Symbol</w:t>
            </w:r>
          </w:p>
        </w:tc>
        <w:tc>
          <w:tcPr>
            <w:tcW w:type="dxa" w:w="2160"/>
          </w:tcPr>
          <w:p>
            <w:r>
              <w:rPr>
                <w:rFonts w:ascii="Calibri" w:hAnsi="Calibri"/>
                <w:b/>
                <w:sz w:val="19"/>
              </w:rPr>
              <w:t>Value</w:t>
            </w:r>
          </w:p>
        </w:tc>
        <w:tc>
          <w:tcPr>
            <w:tcW w:type="dxa" w:w="2160"/>
          </w:tcPr>
          <w:p>
            <w:r>
              <w:rPr>
                <w:rFonts w:ascii="Calibri" w:hAnsi="Calibri"/>
                <w:b/>
                <w:sz w:val="19"/>
              </w:rPr>
              <w:t>Unit</w:t>
            </w:r>
          </w:p>
        </w:tc>
      </w:tr>
      <w:tr>
        <w:tc>
          <w:tcPr>
            <w:tcW w:type="dxa" w:w="2160"/>
          </w:tcPr>
          <w:p>
            <w:r>
              <w:rPr>
                <w:rFonts w:ascii="Calibri" w:hAnsi="Calibri"/>
                <w:sz w:val="19"/>
              </w:rPr>
              <w:t>Reject (brine) salinity</w:t>
            </w:r>
          </w:p>
        </w:tc>
        <w:tc>
          <w:tcPr>
            <w:tcW w:type="dxa" w:w="2160"/>
          </w:tcPr>
          <w:p>
            <w:r>
              <w:rPr>
                <w:rFonts w:ascii="Calibri" w:hAnsi="Calibri"/>
                <w:sz w:val="19"/>
              </w:rPr>
              <w:t>S₀</w:t>
            </w:r>
          </w:p>
        </w:tc>
        <w:tc>
          <w:tcPr>
            <w:tcW w:type="dxa" w:w="2160"/>
          </w:tcPr>
          <w:p>
            <w:r>
              <w:rPr>
                <w:rFonts w:ascii="Calibri" w:hAnsi="Calibri"/>
                <w:sz w:val="19"/>
              </w:rPr>
              <w:t>67.0</w:t>
            </w:r>
          </w:p>
        </w:tc>
        <w:tc>
          <w:tcPr>
            <w:tcW w:type="dxa" w:w="2160"/>
          </w:tcPr>
          <w:p>
            <w:r>
              <w:rPr>
                <w:rFonts w:ascii="Calibri" w:hAnsi="Calibri"/>
                <w:sz w:val="19"/>
              </w:rPr>
              <w:t>g/kg</w:t>
            </w:r>
          </w:p>
        </w:tc>
      </w:tr>
      <w:tr>
        <w:tc>
          <w:tcPr>
            <w:tcW w:type="dxa" w:w="2160"/>
          </w:tcPr>
          <w:p>
            <w:r>
              <w:rPr>
                <w:rFonts w:ascii="Calibri" w:hAnsi="Calibri"/>
                <w:sz w:val="19"/>
              </w:rPr>
              <w:t>Reject temperature</w:t>
            </w:r>
          </w:p>
        </w:tc>
        <w:tc>
          <w:tcPr>
            <w:tcW w:type="dxa" w:w="2160"/>
          </w:tcPr>
          <w:p>
            <w:r>
              <w:rPr>
                <w:rFonts w:ascii="Calibri" w:hAnsi="Calibri"/>
                <w:sz w:val="19"/>
              </w:rPr>
              <w:t>T_b</w:t>
            </w:r>
          </w:p>
        </w:tc>
        <w:tc>
          <w:tcPr>
            <w:tcW w:type="dxa" w:w="2160"/>
          </w:tcPr>
          <w:p>
            <w:r>
              <w:rPr>
                <w:rFonts w:ascii="Calibri" w:hAnsi="Calibri"/>
                <w:sz w:val="19"/>
              </w:rPr>
              <w:t>22.0</w:t>
            </w:r>
          </w:p>
        </w:tc>
        <w:tc>
          <w:tcPr>
            <w:tcW w:type="dxa" w:w="2160"/>
          </w:tcPr>
          <w:p>
            <w:r>
              <w:rPr>
                <w:rFonts w:ascii="Calibri" w:hAnsi="Calibri"/>
                <w:sz w:val="19"/>
              </w:rPr>
              <w:t>°C</w:t>
            </w:r>
          </w:p>
        </w:tc>
      </w:tr>
      <w:tr>
        <w:tc>
          <w:tcPr>
            <w:tcW w:type="dxa" w:w="2160"/>
          </w:tcPr>
          <w:p>
            <w:r>
              <w:rPr>
                <w:rFonts w:ascii="Calibri" w:hAnsi="Calibri"/>
                <w:sz w:val="19"/>
              </w:rPr>
              <w:t>Flow per port</w:t>
            </w:r>
          </w:p>
        </w:tc>
        <w:tc>
          <w:tcPr>
            <w:tcW w:type="dxa" w:w="2160"/>
          </w:tcPr>
          <w:p>
            <w:r>
              <w:rPr>
                <w:rFonts w:ascii="Calibri" w:hAnsi="Calibri"/>
                <w:sz w:val="19"/>
              </w:rPr>
              <w:t>Q</w:t>
            </w:r>
          </w:p>
        </w:tc>
        <w:tc>
          <w:tcPr>
            <w:tcW w:type="dxa" w:w="2160"/>
          </w:tcPr>
          <w:p>
            <w:r>
              <w:rPr>
                <w:rFonts w:ascii="Calibri" w:hAnsi="Calibri"/>
                <w:sz w:val="19"/>
              </w:rPr>
              <w:t>0.0453</w:t>
            </w:r>
          </w:p>
        </w:tc>
        <w:tc>
          <w:tcPr>
            <w:tcW w:type="dxa" w:w="2160"/>
          </w:tcPr>
          <w:p>
            <w:r>
              <w:rPr>
                <w:rFonts w:ascii="Calibri" w:hAnsi="Calibri"/>
                <w:sz w:val="19"/>
              </w:rPr>
              <w:t>m³/s</w:t>
            </w:r>
          </w:p>
        </w:tc>
      </w:tr>
      <w:tr>
        <w:tc>
          <w:tcPr>
            <w:tcW w:type="dxa" w:w="2160"/>
          </w:tcPr>
          <w:p>
            <w:r>
              <w:rPr>
                <w:rFonts w:ascii="Calibri" w:hAnsi="Calibri"/>
                <w:sz w:val="19"/>
              </w:rPr>
              <w:t>Port diameter</w:t>
            </w:r>
          </w:p>
        </w:tc>
        <w:tc>
          <w:tcPr>
            <w:tcW w:type="dxa" w:w="2160"/>
          </w:tcPr>
          <w:p>
            <w:r>
              <w:rPr>
                <w:rFonts w:ascii="Calibri" w:hAnsi="Calibri"/>
                <w:sz w:val="19"/>
              </w:rPr>
              <w:t>d</w:t>
            </w:r>
          </w:p>
        </w:tc>
        <w:tc>
          <w:tcPr>
            <w:tcW w:type="dxa" w:w="2160"/>
          </w:tcPr>
          <w:p>
            <w:r>
              <w:rPr>
                <w:rFonts w:ascii="Calibri" w:hAnsi="Calibri"/>
                <w:sz w:val="19"/>
              </w:rPr>
              <w:t>0.120</w:t>
            </w:r>
          </w:p>
        </w:tc>
        <w:tc>
          <w:tcPr>
            <w:tcW w:type="dxa" w:w="2160"/>
          </w:tcPr>
          <w:p>
            <w:r>
              <w:rPr>
                <w:rFonts w:ascii="Calibri" w:hAnsi="Calibri"/>
                <w:sz w:val="19"/>
              </w:rPr>
              <w:t>m</w:t>
            </w:r>
          </w:p>
        </w:tc>
      </w:tr>
      <w:tr>
        <w:tc>
          <w:tcPr>
            <w:tcW w:type="dxa" w:w="2160"/>
          </w:tcPr>
          <w:p>
            <w:r>
              <w:rPr>
                <w:rFonts w:ascii="Calibri" w:hAnsi="Calibri"/>
                <w:sz w:val="19"/>
              </w:rPr>
              <w:t>Nozzle elevation angle</w:t>
            </w:r>
          </w:p>
        </w:tc>
        <w:tc>
          <w:tcPr>
            <w:tcW w:type="dxa" w:w="2160"/>
          </w:tcPr>
          <w:p>
            <w:r>
              <w:rPr>
                <w:rFonts w:ascii="Calibri" w:hAnsi="Calibri"/>
                <w:sz w:val="19"/>
              </w:rPr>
              <w:t>θ</w:t>
            </w:r>
          </w:p>
        </w:tc>
        <w:tc>
          <w:tcPr>
            <w:tcW w:type="dxa" w:w="2160"/>
          </w:tcPr>
          <w:p>
            <w:r>
              <w:rPr>
                <w:rFonts w:ascii="Calibri" w:hAnsi="Calibri"/>
                <w:sz w:val="19"/>
              </w:rPr>
              <w:t>60</w:t>
            </w:r>
          </w:p>
        </w:tc>
        <w:tc>
          <w:tcPr>
            <w:tcW w:type="dxa" w:w="2160"/>
          </w:tcPr>
          <w:p>
            <w:r>
              <w:rPr>
                <w:rFonts w:ascii="Calibri" w:hAnsi="Calibri"/>
                <w:sz w:val="19"/>
              </w:rPr>
              <w:t>deg</w:t>
            </w:r>
          </w:p>
        </w:tc>
      </w:tr>
      <w:tr>
        <w:tc>
          <w:tcPr>
            <w:tcW w:type="dxa" w:w="2160"/>
          </w:tcPr>
          <w:p>
            <w:r>
              <w:rPr>
                <w:rFonts w:ascii="Calibri" w:hAnsi="Calibri"/>
                <w:sz w:val="19"/>
              </w:rPr>
              <w:t>Number of ports</w:t>
            </w:r>
          </w:p>
        </w:tc>
        <w:tc>
          <w:tcPr>
            <w:tcW w:type="dxa" w:w="2160"/>
          </w:tcPr>
          <w:p>
            <w:r>
              <w:rPr>
                <w:rFonts w:ascii="Calibri" w:hAnsi="Calibri"/>
                <w:sz w:val="19"/>
              </w:rPr>
              <w:t>n</w:t>
            </w:r>
          </w:p>
        </w:tc>
        <w:tc>
          <w:tcPr>
            <w:tcW w:type="dxa" w:w="2160"/>
          </w:tcPr>
          <w:p>
            <w:r>
              <w:rPr>
                <w:rFonts w:ascii="Calibri" w:hAnsi="Calibri"/>
                <w:sz w:val="19"/>
              </w:rPr>
              <w:t>72</w:t>
            </w:r>
          </w:p>
        </w:tc>
        <w:tc>
          <w:tcPr>
            <w:tcW w:type="dxa" w:w="2160"/>
          </w:tcPr>
          <w:p>
            <w:r>
              <w:rPr>
                <w:rFonts w:ascii="Calibri" w:hAnsi="Calibri"/>
                <w:sz w:val="19"/>
              </w:rPr>
              <w:t>—</w:t>
            </w:r>
          </w:p>
        </w:tc>
      </w:tr>
      <w:tr>
        <w:tc>
          <w:tcPr>
            <w:tcW w:type="dxa" w:w="2160"/>
          </w:tcPr>
          <w:p>
            <w:r>
              <w:rPr>
                <w:rFonts w:ascii="Calibri" w:hAnsi="Calibri"/>
                <w:sz w:val="19"/>
              </w:rPr>
              <w:t>Port spacing</w:t>
            </w:r>
          </w:p>
        </w:tc>
        <w:tc>
          <w:tcPr>
            <w:tcW w:type="dxa" w:w="2160"/>
          </w:tcPr>
          <w:p>
            <w:r>
              <w:rPr>
                <w:rFonts w:ascii="Calibri" w:hAnsi="Calibri"/>
                <w:sz w:val="19"/>
              </w:rPr>
              <w:t>s</w:t>
            </w:r>
          </w:p>
        </w:tc>
        <w:tc>
          <w:tcPr>
            <w:tcW w:type="dxa" w:w="2160"/>
          </w:tcPr>
          <w:p>
            <w:r>
              <w:rPr>
                <w:rFonts w:ascii="Calibri" w:hAnsi="Calibri"/>
                <w:sz w:val="19"/>
              </w:rPr>
              <w:t>5.0</w:t>
            </w:r>
          </w:p>
        </w:tc>
        <w:tc>
          <w:tcPr>
            <w:tcW w:type="dxa" w:w="2160"/>
          </w:tcPr>
          <w:p>
            <w:r>
              <w:rPr>
                <w:rFonts w:ascii="Calibri" w:hAnsi="Calibri"/>
                <w:sz w:val="19"/>
              </w:rPr>
              <w:t>m</w:t>
            </w:r>
          </w:p>
        </w:tc>
      </w:tr>
      <w:tr>
        <w:tc>
          <w:tcPr>
            <w:tcW w:type="dxa" w:w="2160"/>
          </w:tcPr>
          <w:p>
            <w:r>
              <w:rPr>
                <w:rFonts w:ascii="Calibri" w:hAnsi="Calibri"/>
                <w:sz w:val="19"/>
              </w:rPr>
              <w:t>Nozzle height above bed</w:t>
            </w:r>
          </w:p>
        </w:tc>
        <w:tc>
          <w:tcPr>
            <w:tcW w:type="dxa" w:w="2160"/>
          </w:tcPr>
          <w:p>
            <w:r>
              <w:rPr>
                <w:rFonts w:ascii="Calibri" w:hAnsi="Calibri"/>
                <w:sz w:val="19"/>
              </w:rPr>
              <w:t>z₀</w:t>
            </w:r>
          </w:p>
        </w:tc>
        <w:tc>
          <w:tcPr>
            <w:tcW w:type="dxa" w:w="2160"/>
          </w:tcPr>
          <w:p>
            <w:r>
              <w:rPr>
                <w:rFonts w:ascii="Calibri" w:hAnsi="Calibri"/>
                <w:sz w:val="19"/>
              </w:rPr>
              <w:t>1.0</w:t>
            </w:r>
          </w:p>
        </w:tc>
        <w:tc>
          <w:tcPr>
            <w:tcW w:type="dxa" w:w="2160"/>
          </w:tcPr>
          <w:p>
            <w:r>
              <w:rPr>
                <w:rFonts w:ascii="Calibri" w:hAnsi="Calibri"/>
                <w:sz w:val="19"/>
              </w:rPr>
              <w:t>m</w:t>
            </w:r>
          </w:p>
        </w:tc>
      </w:tr>
      <w:tr>
        <w:tc>
          <w:tcPr>
            <w:tcW w:type="dxa" w:w="2160"/>
          </w:tcPr>
          <w:p>
            <w:r>
              <w:rPr>
                <w:rFonts w:ascii="Calibri" w:hAnsi="Calibri"/>
                <w:sz w:val="19"/>
              </w:rPr>
              <w:t>Nozzle exit velocity (computed)</w:t>
            </w:r>
          </w:p>
        </w:tc>
        <w:tc>
          <w:tcPr>
            <w:tcW w:type="dxa" w:w="2160"/>
          </w:tcPr>
          <w:p>
            <w:r>
              <w:rPr>
                <w:rFonts w:ascii="Calibri" w:hAnsi="Calibri"/>
                <w:sz w:val="19"/>
              </w:rPr>
              <w:t>U_d</w:t>
            </w:r>
          </w:p>
        </w:tc>
        <w:tc>
          <w:tcPr>
            <w:tcW w:type="dxa" w:w="2160"/>
          </w:tcPr>
          <w:p>
            <w:r>
              <w:rPr>
                <w:rFonts w:ascii="Calibri" w:hAnsi="Calibri"/>
                <w:sz w:val="19"/>
              </w:rPr>
              <w:t>4.01</w:t>
            </w:r>
          </w:p>
        </w:tc>
        <w:tc>
          <w:tcPr>
            <w:tcW w:type="dxa" w:w="2160"/>
          </w:tcPr>
          <w:p>
            <w:r>
              <w:rPr>
                <w:rFonts w:ascii="Calibri" w:hAnsi="Calibri"/>
                <w:sz w:val="19"/>
              </w:rPr>
              <w:t>m/s</w:t>
            </w:r>
          </w:p>
        </w:tc>
      </w:tr>
    </w:tbl>
    <w:p>
      <w:pPr>
        <w:spacing w:after="40"/>
      </w:pPr>
    </w:p>
    <w:p>
      <w:pPr>
        <w:spacing w:after="40"/>
      </w:pPr>
      <w:r>
        <w:rPr>
          <w:rFonts w:ascii="Calibri" w:hAnsi="Calibri"/>
          <w:b/>
          <w:i w:val="0"/>
          <w:sz w:val="22"/>
        </w:rPr>
        <w:t>3.2  Ambient sea (receiving water)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9"/>
              </w:rPr>
              <w:t>Parameter</w:t>
            </w:r>
          </w:p>
        </w:tc>
        <w:tc>
          <w:tcPr>
            <w:tcW w:type="dxa" w:w="2160"/>
          </w:tcPr>
          <w:p>
            <w:r>
              <w:rPr>
                <w:rFonts w:ascii="Calibri" w:hAnsi="Calibri"/>
                <w:b/>
                <w:sz w:val="19"/>
              </w:rPr>
              <w:t>Surface</w:t>
            </w:r>
          </w:p>
        </w:tc>
        <w:tc>
          <w:tcPr>
            <w:tcW w:type="dxa" w:w="2160"/>
          </w:tcPr>
          <w:p>
            <w:r>
              <w:rPr>
                <w:rFonts w:ascii="Calibri" w:hAnsi="Calibri"/>
                <w:b/>
                <w:sz w:val="19"/>
              </w:rPr>
              <w:t>Bottom</w:t>
            </w:r>
          </w:p>
        </w:tc>
        <w:tc>
          <w:tcPr>
            <w:tcW w:type="dxa" w:w="2160"/>
          </w:tcPr>
          <w:p>
            <w:r>
              <w:rPr>
                <w:rFonts w:ascii="Calibri" w:hAnsi="Calibri"/>
                <w:b/>
                <w:sz w:val="19"/>
              </w:rPr>
              <w:t>Unit</w:t>
            </w:r>
          </w:p>
        </w:tc>
      </w:tr>
      <w:tr>
        <w:tc>
          <w:tcPr>
            <w:tcW w:type="dxa" w:w="2160"/>
          </w:tcPr>
          <w:p>
            <w:r>
              <w:rPr>
                <w:rFonts w:ascii="Calibri" w:hAnsi="Calibri"/>
                <w:sz w:val="19"/>
              </w:rPr>
              <w:t>Ambient salinity</w:t>
            </w:r>
          </w:p>
        </w:tc>
        <w:tc>
          <w:tcPr>
            <w:tcW w:type="dxa" w:w="2160"/>
          </w:tcPr>
          <w:p>
            <w:r>
              <w:rPr>
                <w:rFonts w:ascii="Calibri" w:hAnsi="Calibri"/>
                <w:sz w:val="19"/>
              </w:rPr>
              <w:t>35.4</w:t>
            </w:r>
          </w:p>
        </w:tc>
        <w:tc>
          <w:tcPr>
            <w:tcW w:type="dxa" w:w="2160"/>
          </w:tcPr>
          <w:p>
            <w:r>
              <w:rPr>
                <w:rFonts w:ascii="Calibri" w:hAnsi="Calibri"/>
                <w:sz w:val="19"/>
              </w:rPr>
              <w:t>35.6</w:t>
            </w:r>
          </w:p>
        </w:tc>
        <w:tc>
          <w:tcPr>
            <w:tcW w:type="dxa" w:w="2160"/>
          </w:tcPr>
          <w:p>
            <w:r>
              <w:rPr>
                <w:rFonts w:ascii="Calibri" w:hAnsi="Calibri"/>
                <w:sz w:val="19"/>
              </w:rPr>
              <w:t>g/kg</w:t>
            </w:r>
          </w:p>
        </w:tc>
      </w:tr>
      <w:tr>
        <w:tc>
          <w:tcPr>
            <w:tcW w:type="dxa" w:w="2160"/>
          </w:tcPr>
          <w:p>
            <w:r>
              <w:rPr>
                <w:rFonts w:ascii="Calibri" w:hAnsi="Calibri"/>
                <w:sz w:val="19"/>
              </w:rPr>
              <w:t>Ambient temperature</w:t>
            </w:r>
          </w:p>
        </w:tc>
        <w:tc>
          <w:tcPr>
            <w:tcW w:type="dxa" w:w="2160"/>
          </w:tcPr>
          <w:p>
            <w:r>
              <w:rPr>
                <w:rFonts w:ascii="Calibri" w:hAnsi="Calibri"/>
                <w:sz w:val="19"/>
              </w:rPr>
              <w:t>21.0</w:t>
            </w:r>
          </w:p>
        </w:tc>
        <w:tc>
          <w:tcPr>
            <w:tcW w:type="dxa" w:w="2160"/>
          </w:tcPr>
          <w:p>
            <w:r>
              <w:rPr>
                <w:rFonts w:ascii="Calibri" w:hAnsi="Calibri"/>
                <w:sz w:val="19"/>
              </w:rPr>
              <w:t>18.0</w:t>
            </w:r>
          </w:p>
        </w:tc>
        <w:tc>
          <w:tcPr>
            <w:tcW w:type="dxa" w:w="2160"/>
          </w:tcPr>
          <w:p>
            <w:r>
              <w:rPr>
                <w:rFonts w:ascii="Calibri" w:hAnsi="Calibri"/>
                <w:sz w:val="19"/>
              </w:rPr>
              <w:t>°C</w:t>
            </w:r>
          </w:p>
        </w:tc>
      </w:tr>
      <w:tr>
        <w:tc>
          <w:tcPr>
            <w:tcW w:type="dxa" w:w="2160"/>
          </w:tcPr>
          <w:p>
            <w:r>
              <w:rPr>
                <w:rFonts w:ascii="Calibri" w:hAnsi="Calibri"/>
                <w:sz w:val="19"/>
              </w:rPr>
              <w:t>Water depth (diffuser)</w:t>
            </w:r>
          </w:p>
        </w:tc>
        <w:tc>
          <w:tcPr>
            <w:tcW w:type="dxa" w:w="2160"/>
          </w:tcPr>
          <w:p>
            <w:r>
              <w:rPr>
                <w:rFonts w:ascii="Calibri" w:hAnsi="Calibri"/>
                <w:sz w:val="19"/>
              </w:rPr>
              <w:t>25.0</w:t>
            </w:r>
          </w:p>
        </w:tc>
        <w:tc>
          <w:tcPr>
            <w:tcW w:type="dxa" w:w="2160"/>
          </w:tcPr>
          <w:p>
            <w:r>
              <w:rPr>
                <w:rFonts w:ascii="Calibri" w:hAnsi="Calibri"/>
                <w:sz w:val="19"/>
              </w:rPr>
              <w:t>—</w:t>
            </w:r>
          </w:p>
        </w:tc>
        <w:tc>
          <w:tcPr>
            <w:tcW w:type="dxa" w:w="2160"/>
          </w:tcPr>
          <w:p>
            <w:r>
              <w:rPr>
                <w:rFonts w:ascii="Calibri" w:hAnsi="Calibri"/>
                <w:sz w:val="19"/>
              </w:rPr>
              <w:t>m</w:t>
            </w:r>
          </w:p>
        </w:tc>
      </w:tr>
    </w:tbl>
    <w:p>
      <w:pPr>
        <w:spacing w:after="40"/>
      </w:pPr>
    </w:p>
    <w:p>
      <w:pPr>
        <w:spacing w:after="40"/>
      </w:pPr>
      <w:r>
        <w:rPr>
          <w:rFonts w:ascii="Calibri" w:hAnsi="Calibri"/>
          <w:b/>
          <w:i w:val="0"/>
          <w:sz w:val="22"/>
        </w:rPr>
        <w:t>3.3  Met-ocean forcing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9"/>
              </w:rPr>
              <w:t>Parameter</w:t>
            </w:r>
          </w:p>
        </w:tc>
        <w:tc>
          <w:tcPr>
            <w:tcW w:type="dxa" w:w="2160"/>
          </w:tcPr>
          <w:p>
            <w:r>
              <w:rPr>
                <w:rFonts w:ascii="Calibri" w:hAnsi="Calibri"/>
                <w:b/>
                <w:sz w:val="19"/>
              </w:rPr>
              <w:t>Symbol</w:t>
            </w:r>
          </w:p>
        </w:tc>
        <w:tc>
          <w:tcPr>
            <w:tcW w:type="dxa" w:w="2160"/>
          </w:tcPr>
          <w:p>
            <w:r>
              <w:rPr>
                <w:rFonts w:ascii="Calibri" w:hAnsi="Calibri"/>
                <w:b/>
                <w:sz w:val="19"/>
              </w:rPr>
              <w:t>Value</w:t>
            </w:r>
          </w:p>
        </w:tc>
        <w:tc>
          <w:tcPr>
            <w:tcW w:type="dxa" w:w="2160"/>
          </w:tcPr>
          <w:p>
            <w:r>
              <w:rPr>
                <w:rFonts w:ascii="Calibri" w:hAnsi="Calibri"/>
                <w:b/>
                <w:sz w:val="19"/>
              </w:rPr>
              <w:t>Unit</w:t>
            </w:r>
          </w:p>
        </w:tc>
      </w:tr>
      <w:tr>
        <w:tc>
          <w:tcPr>
            <w:tcW w:type="dxa" w:w="2160"/>
          </w:tcPr>
          <w:p>
            <w:r>
              <w:rPr>
                <w:rFonts w:ascii="Calibri" w:hAnsi="Calibri"/>
                <w:sz w:val="19"/>
              </w:rPr>
              <w:t>Ambient current</w:t>
            </w:r>
          </w:p>
        </w:tc>
        <w:tc>
          <w:tcPr>
            <w:tcW w:type="dxa" w:w="2160"/>
          </w:tcPr>
          <w:p>
            <w:r>
              <w:rPr>
                <w:rFonts w:ascii="Calibri" w:hAnsi="Calibri"/>
                <w:sz w:val="19"/>
              </w:rPr>
              <w:t>U_c</w:t>
            </w:r>
          </w:p>
        </w:tc>
        <w:tc>
          <w:tcPr>
            <w:tcW w:type="dxa" w:w="2160"/>
          </w:tcPr>
          <w:p>
            <w:r>
              <w:rPr>
                <w:rFonts w:ascii="Calibri" w:hAnsi="Calibri"/>
                <w:sz w:val="19"/>
              </w:rPr>
              <w:t>0.12</w:t>
            </w:r>
          </w:p>
        </w:tc>
        <w:tc>
          <w:tcPr>
            <w:tcW w:type="dxa" w:w="2160"/>
          </w:tcPr>
          <w:p>
            <w:r>
              <w:rPr>
                <w:rFonts w:ascii="Calibri" w:hAnsi="Calibri"/>
                <w:sz w:val="19"/>
              </w:rPr>
              <w:t>m/s</w:t>
            </w:r>
          </w:p>
        </w:tc>
      </w:tr>
      <w:tr>
        <w:tc>
          <w:tcPr>
            <w:tcW w:type="dxa" w:w="2160"/>
          </w:tcPr>
          <w:p>
            <w:r>
              <w:rPr>
                <w:rFonts w:ascii="Calibri" w:hAnsi="Calibri"/>
                <w:sz w:val="19"/>
              </w:rPr>
              <w:t>Tidal current amplitude</w:t>
            </w:r>
          </w:p>
        </w:tc>
        <w:tc>
          <w:tcPr>
            <w:tcW w:type="dxa" w:w="2160"/>
          </w:tcPr>
          <w:p>
            <w:r>
              <w:rPr>
                <w:rFonts w:ascii="Calibri" w:hAnsi="Calibri"/>
                <w:sz w:val="19"/>
              </w:rPr>
              <w:t>U_tide</w:t>
            </w:r>
          </w:p>
        </w:tc>
        <w:tc>
          <w:tcPr>
            <w:tcW w:type="dxa" w:w="2160"/>
          </w:tcPr>
          <w:p>
            <w:r>
              <w:rPr>
                <w:rFonts w:ascii="Calibri" w:hAnsi="Calibri"/>
                <w:sz w:val="19"/>
              </w:rPr>
              <w:t>0.04</w:t>
            </w:r>
          </w:p>
        </w:tc>
        <w:tc>
          <w:tcPr>
            <w:tcW w:type="dxa" w:w="2160"/>
          </w:tcPr>
          <w:p>
            <w:r>
              <w:rPr>
                <w:rFonts w:ascii="Calibri" w:hAnsi="Calibri"/>
                <w:sz w:val="19"/>
              </w:rPr>
              <w:t>m/s</w:t>
            </w:r>
          </w:p>
        </w:tc>
      </w:tr>
      <w:tr>
        <w:tc>
          <w:tcPr>
            <w:tcW w:type="dxa" w:w="2160"/>
          </w:tcPr>
          <w:p>
            <w:r>
              <w:rPr>
                <w:rFonts w:ascii="Calibri" w:hAnsi="Calibri"/>
                <w:sz w:val="19"/>
              </w:rPr>
              <w:t>Significant wave height</w:t>
            </w:r>
          </w:p>
        </w:tc>
        <w:tc>
          <w:tcPr>
            <w:tcW w:type="dxa" w:w="2160"/>
          </w:tcPr>
          <w:p>
            <w:r>
              <w:rPr>
                <w:rFonts w:ascii="Calibri" w:hAnsi="Calibri"/>
                <w:sz w:val="19"/>
              </w:rPr>
              <w:t>H_s</w:t>
            </w:r>
          </w:p>
        </w:tc>
        <w:tc>
          <w:tcPr>
            <w:tcW w:type="dxa" w:w="2160"/>
          </w:tcPr>
          <w:p>
            <w:r>
              <w:rPr>
                <w:rFonts w:ascii="Calibri" w:hAnsi="Calibri"/>
                <w:sz w:val="19"/>
              </w:rPr>
              <w:t>1.5</w:t>
            </w:r>
          </w:p>
        </w:tc>
        <w:tc>
          <w:tcPr>
            <w:tcW w:type="dxa" w:w="2160"/>
          </w:tcPr>
          <w:p>
            <w:r>
              <w:rPr>
                <w:rFonts w:ascii="Calibri" w:hAnsi="Calibri"/>
                <w:sz w:val="19"/>
              </w:rPr>
              <w:t>m</w:t>
            </w:r>
          </w:p>
        </w:tc>
      </w:tr>
      <w:tr>
        <w:tc>
          <w:tcPr>
            <w:tcW w:type="dxa" w:w="2160"/>
          </w:tcPr>
          <w:p>
            <w:r>
              <w:rPr>
                <w:rFonts w:ascii="Calibri" w:hAnsi="Calibri"/>
                <w:sz w:val="19"/>
              </w:rPr>
              <w:t>Wave period</w:t>
            </w:r>
          </w:p>
        </w:tc>
        <w:tc>
          <w:tcPr>
            <w:tcW w:type="dxa" w:w="2160"/>
          </w:tcPr>
          <w:p>
            <w:r>
              <w:rPr>
                <w:rFonts w:ascii="Calibri" w:hAnsi="Calibri"/>
                <w:sz w:val="19"/>
              </w:rPr>
              <w:t>T_w</w:t>
            </w:r>
          </w:p>
        </w:tc>
        <w:tc>
          <w:tcPr>
            <w:tcW w:type="dxa" w:w="2160"/>
          </w:tcPr>
          <w:p>
            <w:r>
              <w:rPr>
                <w:rFonts w:ascii="Calibri" w:hAnsi="Calibri"/>
                <w:sz w:val="19"/>
              </w:rPr>
              <w:t>8.0</w:t>
            </w:r>
          </w:p>
        </w:tc>
        <w:tc>
          <w:tcPr>
            <w:tcW w:type="dxa" w:w="2160"/>
          </w:tcPr>
          <w:p>
            <w:r>
              <w:rPr>
                <w:rFonts w:ascii="Calibri" w:hAnsi="Calibri"/>
                <w:sz w:val="19"/>
              </w:rPr>
              <w:t>s</w:t>
            </w:r>
          </w:p>
        </w:tc>
      </w:tr>
      <w:tr>
        <w:tc>
          <w:tcPr>
            <w:tcW w:type="dxa" w:w="2160"/>
          </w:tcPr>
          <w:p>
            <w:r>
              <w:rPr>
                <w:rFonts w:ascii="Calibri" w:hAnsi="Calibri"/>
                <w:sz w:val="19"/>
              </w:rPr>
              <w:t>Wind speed (10 m)</w:t>
            </w:r>
          </w:p>
        </w:tc>
        <w:tc>
          <w:tcPr>
            <w:tcW w:type="dxa" w:w="2160"/>
          </w:tcPr>
          <w:p>
            <w:r>
              <w:rPr>
                <w:rFonts w:ascii="Calibri" w:hAnsi="Calibri"/>
                <w:sz w:val="19"/>
              </w:rPr>
              <w:t>U₁₀</w:t>
            </w:r>
          </w:p>
        </w:tc>
        <w:tc>
          <w:tcPr>
            <w:tcW w:type="dxa" w:w="2160"/>
          </w:tcPr>
          <w:p>
            <w:r>
              <w:rPr>
                <w:rFonts w:ascii="Calibri" w:hAnsi="Calibri"/>
                <w:sz w:val="19"/>
              </w:rPr>
              <w:t>7.0</w:t>
            </w:r>
          </w:p>
        </w:tc>
        <w:tc>
          <w:tcPr>
            <w:tcW w:type="dxa" w:w="2160"/>
          </w:tcPr>
          <w:p>
            <w:r>
              <w:rPr>
                <w:rFonts w:ascii="Calibri" w:hAnsi="Calibri"/>
                <w:sz w:val="19"/>
              </w:rPr>
              <w:t>m/s</w:t>
            </w:r>
          </w:p>
        </w:tc>
      </w:tr>
      <w:tr>
        <w:tc>
          <w:tcPr>
            <w:tcW w:type="dxa" w:w="2160"/>
          </w:tcPr>
          <w:p>
            <w:r>
              <w:rPr>
                <w:rFonts w:ascii="Calibri" w:hAnsi="Calibri"/>
                <w:sz w:val="19"/>
              </w:rPr>
              <w:t>Latitude</w:t>
            </w:r>
          </w:p>
        </w:tc>
        <w:tc>
          <w:tcPr>
            <w:tcW w:type="dxa" w:w="2160"/>
          </w:tcPr>
          <w:p>
            <w:r>
              <w:rPr>
                <w:rFonts w:ascii="Calibri" w:hAnsi="Calibri"/>
                <w:sz w:val="19"/>
              </w:rPr>
              <w:t>φ</w:t>
            </w:r>
          </w:p>
        </w:tc>
        <w:tc>
          <w:tcPr>
            <w:tcW w:type="dxa" w:w="2160"/>
          </w:tcPr>
          <w:p>
            <w:r>
              <w:rPr>
                <w:rFonts w:ascii="Calibri" w:hAnsi="Calibri"/>
                <w:sz w:val="19"/>
              </w:rPr>
              <w:t>-34.0</w:t>
            </w:r>
          </w:p>
        </w:tc>
        <w:tc>
          <w:tcPr>
            <w:tcW w:type="dxa" w:w="2160"/>
          </w:tcPr>
          <w:p>
            <w:r>
              <w:rPr>
                <w:rFonts w:ascii="Calibri" w:hAnsi="Calibri"/>
                <w:sz w:val="19"/>
              </w:rPr>
              <w:t>deg</w:t>
            </w:r>
          </w:p>
        </w:tc>
      </w:tr>
    </w:tbl>
    <w:p>
      <w:pPr>
        <w:spacing w:after="40"/>
      </w:pPr>
    </w:p>
    <w:p>
      <w:pPr>
        <w:spacing w:after="40"/>
      </w:pPr>
      <w:r>
        <w:rPr>
          <w:rFonts w:ascii="Calibri" w:hAnsi="Calibri"/>
          <w:b/>
          <w:i w:val="0"/>
          <w:sz w:val="22"/>
        </w:rPr>
        <w:t>3.4  Numerical configuration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9"/>
              </w:rPr>
              <w:t>Parameter</w:t>
            </w:r>
          </w:p>
        </w:tc>
        <w:tc>
          <w:tcPr>
            <w:tcW w:type="dxa" w:w="2160"/>
          </w:tcPr>
          <w:p>
            <w:r>
              <w:rPr>
                <w:rFonts w:ascii="Calibri" w:hAnsi="Calibri"/>
                <w:b/>
                <w:sz w:val="19"/>
              </w:rPr>
              <w:t>Value</w:t>
            </w:r>
          </w:p>
        </w:tc>
        <w:tc>
          <w:tcPr>
            <w:tcW w:type="dxa" w:w="2160"/>
          </w:tcPr>
          <w:p>
            <w:r>
              <w:rPr>
                <w:rFonts w:ascii="Calibri" w:hAnsi="Calibri"/>
                <w:b/>
                <w:sz w:val="19"/>
              </w:rPr>
              <w:t>Parameter</w:t>
            </w:r>
          </w:p>
        </w:tc>
        <w:tc>
          <w:tcPr>
            <w:tcW w:type="dxa" w:w="2160"/>
          </w:tcPr>
          <w:p>
            <w:r>
              <w:rPr>
                <w:rFonts w:ascii="Calibri" w:hAnsi="Calibri"/>
                <w:b/>
                <w:sz w:val="19"/>
              </w:rPr>
              <w:t>Value</w:t>
            </w:r>
          </w:p>
        </w:tc>
      </w:tr>
      <w:tr>
        <w:tc>
          <w:tcPr>
            <w:tcW w:type="dxa" w:w="2160"/>
          </w:tcPr>
          <w:p>
            <w:r>
              <w:rPr>
                <w:rFonts w:ascii="Calibri" w:hAnsi="Calibri"/>
                <w:sz w:val="19"/>
              </w:rPr>
              <w:t>Domain (Lx×Ly×depth)</w:t>
            </w:r>
          </w:p>
        </w:tc>
        <w:tc>
          <w:tcPr>
            <w:tcW w:type="dxa" w:w="2160"/>
          </w:tcPr>
          <w:p>
            <w:r>
              <w:rPr>
                <w:rFonts w:ascii="Calibri" w:hAnsi="Calibri"/>
                <w:sz w:val="19"/>
              </w:rPr>
              <w:t>300×120×25 m</w:t>
            </w:r>
          </w:p>
        </w:tc>
        <w:tc>
          <w:tcPr>
            <w:tcW w:type="dxa" w:w="2160"/>
          </w:tcPr>
          <w:p>
            <w:r>
              <w:rPr>
                <w:rFonts w:ascii="Calibri" w:hAnsi="Calibri"/>
                <w:sz w:val="19"/>
              </w:rPr>
              <w:t>Grid (nx×ny×nz)</w:t>
            </w:r>
          </w:p>
        </w:tc>
        <w:tc>
          <w:tcPr>
            <w:tcW w:type="dxa" w:w="2160"/>
          </w:tcPr>
          <w:p>
            <w:r>
              <w:rPr>
                <w:rFonts w:ascii="Calibri" w:hAnsi="Calibri"/>
                <w:sz w:val="19"/>
              </w:rPr>
              <w:t>52×32×26</w:t>
            </w:r>
          </w:p>
        </w:tc>
      </w:tr>
      <w:tr>
        <w:tc>
          <w:tcPr>
            <w:tcW w:type="dxa" w:w="2160"/>
          </w:tcPr>
          <w:p>
            <w:r>
              <w:rPr>
                <w:rFonts w:ascii="Calibri" w:hAnsi="Calibri"/>
                <w:sz w:val="19"/>
              </w:rPr>
              <w:t>Simulated time</w:t>
            </w:r>
          </w:p>
        </w:tc>
        <w:tc>
          <w:tcPr>
            <w:tcW w:type="dxa" w:w="2160"/>
          </w:tcPr>
          <w:p>
            <w:r>
              <w:rPr>
                <w:rFonts w:ascii="Calibri" w:hAnsi="Calibri"/>
                <w:sz w:val="19"/>
              </w:rPr>
              <w:t>200 s</w:t>
            </w:r>
          </w:p>
        </w:tc>
        <w:tc>
          <w:tcPr>
            <w:tcW w:type="dxa" w:w="2160"/>
          </w:tcPr>
          <w:p>
            <w:r>
              <w:rPr>
                <w:rFonts w:ascii="Calibri" w:hAnsi="Calibri"/>
                <w:sz w:val="19"/>
              </w:rPr>
              <w:t>Ensemble members</w:t>
            </w:r>
          </w:p>
        </w:tc>
        <w:tc>
          <w:tcPr>
            <w:tcW w:type="dxa" w:w="2160"/>
          </w:tcPr>
          <w:p>
            <w:r>
              <w:rPr>
                <w:rFonts w:ascii="Calibri" w:hAnsi="Calibri"/>
                <w:sz w:val="19"/>
              </w:rPr>
              <w:t>2</w:t>
            </w:r>
          </w:p>
        </w:tc>
      </w:tr>
      <w:tr>
        <w:tc>
          <w:tcPr>
            <w:tcW w:type="dxa" w:w="2160"/>
          </w:tcPr>
          <w:p>
            <w:r>
              <w:rPr>
                <w:rFonts w:ascii="Calibri" w:hAnsi="Calibri"/>
                <w:sz w:val="19"/>
              </w:rPr>
              <w:t>Near-field coupling</w:t>
            </w:r>
          </w:p>
        </w:tc>
        <w:tc>
          <w:tcPr>
            <w:tcW w:type="dxa" w:w="2160"/>
          </w:tcPr>
          <w:p>
            <w:r>
              <w:rPr>
                <w:rFonts w:ascii="Calibri" w:hAnsi="Calibri"/>
                <w:sz w:val="19"/>
              </w:rPr>
              <w:t>True</w:t>
            </w:r>
          </w:p>
        </w:tc>
        <w:tc>
          <w:tcPr>
            <w:tcW w:type="dxa" w:w="2160"/>
          </w:tcPr>
          <w:p>
            <w:r>
              <w:rPr>
                <w:rFonts w:ascii="Calibri" w:hAnsi="Calibri"/>
                <w:sz w:val="19"/>
              </w:rPr>
              <w:t>Stochastic forcing</w:t>
            </w:r>
          </w:p>
        </w:tc>
        <w:tc>
          <w:tcPr>
            <w:tcW w:type="dxa" w:w="2160"/>
          </w:tcPr>
          <w:p>
            <w:r>
              <w:rPr>
                <w:rFonts w:ascii="Calibri" w:hAnsi="Calibri"/>
                <w:sz w:val="19"/>
              </w:rPr>
              <w:t>True</w:t>
            </w:r>
          </w:p>
        </w:tc>
      </w:tr>
      <w:tr>
        <w:tc>
          <w:tcPr>
            <w:tcW w:type="dxa" w:w="2160"/>
          </w:tcPr>
          <w:p>
            <w:r>
              <w:rPr>
                <w:rFonts w:ascii="Calibri" w:hAnsi="Calibri"/>
                <w:sz w:val="19"/>
              </w:rPr>
              <w:t>Threshold ΔS_crit</w:t>
            </w:r>
          </w:p>
        </w:tc>
        <w:tc>
          <w:tcPr>
            <w:tcW w:type="dxa" w:w="2160"/>
          </w:tcPr>
          <w:p>
            <w:r>
              <w:rPr>
                <w:rFonts w:ascii="Calibri" w:hAnsi="Calibri"/>
                <w:sz w:val="19"/>
              </w:rPr>
              <w:t>0.5 g/kg</w:t>
            </w:r>
          </w:p>
        </w:tc>
        <w:tc>
          <w:tcPr>
            <w:tcW w:type="dxa" w:w="2160"/>
          </w:tcPr>
          <w:p>
            <w:r>
              <w:rPr>
                <w:rFonts w:ascii="Calibri" w:hAnsi="Calibri"/>
                <w:sz w:val="19"/>
              </w:rPr>
              <w:t>Free surface</w:t>
            </w:r>
          </w:p>
        </w:tc>
        <w:tc>
          <w:tcPr>
            <w:tcW w:type="dxa" w:w="2160"/>
          </w:tcPr>
          <w:p>
            <w:r>
              <w:rPr>
                <w:rFonts w:ascii="Calibri" w:hAnsi="Calibri"/>
                <w:sz w:val="19"/>
              </w:rPr>
              <w:t>False</w:t>
            </w:r>
          </w:p>
        </w:tc>
      </w:tr>
    </w:tbl>
    <w:p>
      <w:pPr>
        <w:spacing w:after="40"/>
      </w:pPr>
    </w:p>
    <w:p>
      <w:pPr>
        <w:pStyle w:val="Heading1"/>
      </w:pPr>
      <w:r>
        <w:rPr>
          <w:rFonts w:ascii="Calibri" w:hAnsi="Calibri"/>
          <w:color w:val="0B3D5C"/>
        </w:rPr>
        <w:t>4.  Methodology</w:t>
      </w:r>
    </w:p>
    <w:p>
      <w:pPr>
        <w:spacing w:after="120"/>
      </w:pPr>
      <w:r>
        <w:rPr>
          <w:rFonts w:ascii="Calibri" w:hAnsi="Calibri"/>
          <w:b w:val="0"/>
          <w:i w:val="0"/>
          <w:sz w:val="22"/>
        </w:rPr>
        <w:t>NEREID-B solves the coupled PDE system stated in 6/model.docx: incompressible RANS momentum with full nonlinear buoyancy, absolute-salinity and temperature transport with a full anisotropic dispersion tensor, a nonlinear equation of state, and a buoyancy-modified realizable k–ε turbulence closure, advanced by a fractional-step finite-volume scheme on a partial-cell bathymetry grid (2nd-order SSP-RK2 time stepping). The unresolvable sub-grid nozzle is represented by validated inclined-dense-jet correlations (Roberts et al. 1997) that seed the 3-D far field with the diluted return plume; the 3-D model then resolves the seabed gravity-current spreading and mixing. A Monte-Carlo ensemble of stochastically-forced realisations yields the mean field and an exceedance-probability map. The model is validated to be conservative across the published Perth multi-point transect and the universal Roberts (1997) dense-jet scaling.</w:t>
      </w:r>
    </w:p>
    <w:p>
      <w:pPr>
        <w:pStyle w:val="Heading1"/>
      </w:pPr>
      <w:r>
        <w:rPr>
          <w:rFonts w:ascii="Calibri" w:hAnsi="Calibri"/>
          <w:color w:val="0B3D5C"/>
        </w:rPr>
        <w:t>5.  Predicted results</w:t>
      </w:r>
    </w:p>
    <w:p>
      <w:pPr>
        <w:spacing w:after="40"/>
      </w:pPr>
      <w:r>
        <w:rPr>
          <w:rFonts w:ascii="Calibri" w:hAnsi="Calibri"/>
          <w:b/>
          <w:i w:val="0"/>
          <w:sz w:val="22"/>
        </w:rPr>
        <w:t>5.1  Headline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9"/>
              </w:rPr>
              <w:t>Quantity</w:t>
            </w:r>
          </w:p>
        </w:tc>
        <w:tc>
          <w:tcPr>
            <w:tcW w:type="dxa" w:w="2880"/>
          </w:tcPr>
          <w:p>
            <w:r>
              <w:rPr>
                <w:rFonts w:ascii="Calibri" w:hAnsi="Calibri"/>
                <w:b/>
                <w:sz w:val="19"/>
              </w:rPr>
              <w:t>Predicted value</w:t>
            </w:r>
          </w:p>
        </w:tc>
        <w:tc>
          <w:tcPr>
            <w:tcW w:type="dxa" w:w="2880"/>
          </w:tcPr>
          <w:p>
            <w:r>
              <w:rPr>
                <w:rFonts w:ascii="Calibri" w:hAnsi="Calibri"/>
                <w:b/>
                <w:sz w:val="19"/>
              </w:rPr>
              <w:t>Unit</w:t>
            </w:r>
          </w:p>
        </w:tc>
      </w:tr>
      <w:tr>
        <w:tc>
          <w:tcPr>
            <w:tcW w:type="dxa" w:w="2880"/>
          </w:tcPr>
          <w:p>
            <w:r>
              <w:rPr>
                <w:rFonts w:ascii="Calibri" w:hAnsi="Calibri"/>
                <w:sz w:val="19"/>
              </w:rPr>
              <w:t>Densimetric Froude number, Fr</w:t>
            </w:r>
          </w:p>
        </w:tc>
        <w:tc>
          <w:tcPr>
            <w:tcW w:type="dxa" w:w="2880"/>
          </w:tcPr>
          <w:p>
            <w:r>
              <w:rPr>
                <w:rFonts w:ascii="Calibri" w:hAnsi="Calibri"/>
                <w:sz w:val="19"/>
              </w:rPr>
              <w:t>24.3</w:t>
            </w:r>
          </w:p>
        </w:tc>
        <w:tc>
          <w:tcPr>
            <w:tcW w:type="dxa" w:w="2880"/>
          </w:tcPr>
          <w:p>
            <w:r>
              <w:rPr>
                <w:rFonts w:ascii="Calibri" w:hAnsi="Calibri"/>
                <w:sz w:val="19"/>
              </w:rPr>
              <w:t>—</w:t>
            </w:r>
          </w:p>
        </w:tc>
      </w:tr>
      <w:tr>
        <w:tc>
          <w:tcPr>
            <w:tcW w:type="dxa" w:w="2880"/>
          </w:tcPr>
          <w:p>
            <w:r>
              <w:rPr>
                <w:rFonts w:ascii="Calibri" w:hAnsi="Calibri"/>
                <w:sz w:val="19"/>
              </w:rPr>
              <w:t>Near-field terminal rise height</w:t>
            </w:r>
          </w:p>
        </w:tc>
        <w:tc>
          <w:tcPr>
            <w:tcW w:type="dxa" w:w="2880"/>
          </w:tcPr>
          <w:p>
            <w:r>
              <w:rPr>
                <w:rFonts w:ascii="Calibri" w:hAnsi="Calibri"/>
                <w:sz w:val="19"/>
              </w:rPr>
              <w:t>6.4</w:t>
            </w:r>
          </w:p>
        </w:tc>
        <w:tc>
          <w:tcPr>
            <w:tcW w:type="dxa" w:w="2880"/>
          </w:tcPr>
          <w:p>
            <w:r>
              <w:rPr>
                <w:rFonts w:ascii="Calibri" w:hAnsi="Calibri"/>
                <w:sz w:val="19"/>
              </w:rPr>
              <w:t>m</w:t>
            </w:r>
          </w:p>
        </w:tc>
      </w:tr>
      <w:tr>
        <w:tc>
          <w:tcPr>
            <w:tcW w:type="dxa" w:w="2880"/>
          </w:tcPr>
          <w:p>
            <w:r>
              <w:rPr>
                <w:rFonts w:ascii="Calibri" w:hAnsi="Calibri"/>
                <w:sz w:val="19"/>
              </w:rPr>
              <w:t>Near-field seabed return distance</w:t>
            </w:r>
          </w:p>
        </w:tc>
        <w:tc>
          <w:tcPr>
            <w:tcW w:type="dxa" w:w="2880"/>
          </w:tcPr>
          <w:p>
            <w:r>
              <w:rPr>
                <w:rFonts w:ascii="Calibri" w:hAnsi="Calibri"/>
                <w:sz w:val="19"/>
              </w:rPr>
              <w:t>7.0</w:t>
            </w:r>
          </w:p>
        </w:tc>
        <w:tc>
          <w:tcPr>
            <w:tcW w:type="dxa" w:w="2880"/>
          </w:tcPr>
          <w:p>
            <w:r>
              <w:rPr>
                <w:rFonts w:ascii="Calibri" w:hAnsi="Calibri"/>
                <w:sz w:val="19"/>
              </w:rPr>
              <w:t>m</w:t>
            </w:r>
          </w:p>
        </w:tc>
      </w:tr>
      <w:tr>
        <w:tc>
          <w:tcPr>
            <w:tcW w:type="dxa" w:w="2880"/>
          </w:tcPr>
          <w:p>
            <w:r>
              <w:rPr>
                <w:rFonts w:ascii="Calibri" w:hAnsi="Calibri"/>
                <w:sz w:val="19"/>
              </w:rPr>
              <w:t>Near-field return dilution</w:t>
            </w:r>
          </w:p>
        </w:tc>
        <w:tc>
          <w:tcPr>
            <w:tcW w:type="dxa" w:w="2880"/>
          </w:tcPr>
          <w:p>
            <w:r>
              <w:rPr>
                <w:rFonts w:ascii="Calibri" w:hAnsi="Calibri"/>
                <w:sz w:val="19"/>
              </w:rPr>
              <w:t>38</w:t>
            </w:r>
          </w:p>
        </w:tc>
        <w:tc>
          <w:tcPr>
            <w:tcW w:type="dxa" w:w="2880"/>
          </w:tcPr>
          <w:p>
            <w:r>
              <w:rPr>
                <w:rFonts w:ascii="Calibri" w:hAnsi="Calibri"/>
                <w:sz w:val="19"/>
              </w:rPr>
              <w:t>:1</w:t>
            </w:r>
          </w:p>
        </w:tc>
      </w:tr>
      <w:tr>
        <w:tc>
          <w:tcPr>
            <w:tcW w:type="dxa" w:w="2880"/>
          </w:tcPr>
          <w:p>
            <w:r>
              <w:rPr>
                <w:rFonts w:ascii="Calibri" w:hAnsi="Calibri"/>
                <w:sz w:val="19"/>
              </w:rPr>
              <w:t>Peak salinity (S_max)</w:t>
            </w:r>
          </w:p>
        </w:tc>
        <w:tc>
          <w:tcPr>
            <w:tcW w:type="dxa" w:w="2880"/>
          </w:tcPr>
          <w:p>
            <w:r>
              <w:rPr>
                <w:rFonts w:ascii="Calibri" w:hAnsi="Calibri"/>
                <w:sz w:val="19"/>
              </w:rPr>
              <w:t>36.43</w:t>
            </w:r>
          </w:p>
        </w:tc>
        <w:tc>
          <w:tcPr>
            <w:tcW w:type="dxa" w:w="2880"/>
          </w:tcPr>
          <w:p>
            <w:r>
              <w:rPr>
                <w:rFonts w:ascii="Calibri" w:hAnsi="Calibri"/>
                <w:sz w:val="19"/>
              </w:rPr>
              <w:t>g/kg</w:t>
            </w:r>
          </w:p>
        </w:tc>
      </w:tr>
      <w:tr>
        <w:tc>
          <w:tcPr>
            <w:tcW w:type="dxa" w:w="2880"/>
          </w:tcPr>
          <w:p>
            <w:r>
              <w:rPr>
                <w:rFonts w:ascii="Calibri" w:hAnsi="Calibri"/>
                <w:sz w:val="19"/>
              </w:rPr>
              <w:t>Max excess salinity (ΔS_max)</w:t>
            </w:r>
          </w:p>
        </w:tc>
        <w:tc>
          <w:tcPr>
            <w:tcW w:type="dxa" w:w="2880"/>
          </w:tcPr>
          <w:p>
            <w:r>
              <w:rPr>
                <w:rFonts w:ascii="Calibri" w:hAnsi="Calibri"/>
                <w:sz w:val="19"/>
              </w:rPr>
              <w:t>0.99</w:t>
            </w:r>
          </w:p>
        </w:tc>
        <w:tc>
          <w:tcPr>
            <w:tcW w:type="dxa" w:w="2880"/>
          </w:tcPr>
          <w:p>
            <w:r>
              <w:rPr>
                <w:rFonts w:ascii="Calibri" w:hAnsi="Calibri"/>
                <w:sz w:val="19"/>
              </w:rPr>
              <w:t>g/kg</w:t>
            </w:r>
          </w:p>
        </w:tc>
      </w:tr>
      <w:tr>
        <w:tc>
          <w:tcPr>
            <w:tcW w:type="dxa" w:w="2880"/>
          </w:tcPr>
          <w:p>
            <w:r>
              <w:rPr>
                <w:rFonts w:ascii="Calibri" w:hAnsi="Calibri"/>
                <w:sz w:val="19"/>
              </w:rPr>
              <w:t>Brine dilution at 50 m</w:t>
            </w:r>
          </w:p>
        </w:tc>
        <w:tc>
          <w:tcPr>
            <w:tcW w:type="dxa" w:w="2880"/>
          </w:tcPr>
          <w:p>
            <w:r>
              <w:rPr>
                <w:rFonts w:ascii="Calibri" w:hAnsi="Calibri"/>
                <w:sz w:val="19"/>
              </w:rPr>
              <w:t>47</w:t>
            </w:r>
          </w:p>
        </w:tc>
        <w:tc>
          <w:tcPr>
            <w:tcW w:type="dxa" w:w="2880"/>
          </w:tcPr>
          <w:p>
            <w:r>
              <w:rPr>
                <w:rFonts w:ascii="Calibri" w:hAnsi="Calibri"/>
                <w:sz w:val="19"/>
              </w:rPr>
              <w:t>:1</w:t>
            </w:r>
          </w:p>
        </w:tc>
      </w:tr>
      <w:tr>
        <w:tc>
          <w:tcPr>
            <w:tcW w:type="dxa" w:w="2880"/>
          </w:tcPr>
          <w:p>
            <w:r>
              <w:rPr>
                <w:rFonts w:ascii="Calibri" w:hAnsi="Calibri"/>
                <w:sz w:val="19"/>
              </w:rPr>
              <w:t>Excess salinity ΔS at 50 m</w:t>
            </w:r>
          </w:p>
        </w:tc>
        <w:tc>
          <w:tcPr>
            <w:tcW w:type="dxa" w:w="2880"/>
          </w:tcPr>
          <w:p>
            <w:r>
              <w:rPr>
                <w:rFonts w:ascii="Calibri" w:hAnsi="Calibri"/>
                <w:sz w:val="19"/>
              </w:rPr>
              <w:t>0.67</w:t>
            </w:r>
          </w:p>
        </w:tc>
        <w:tc>
          <w:tcPr>
            <w:tcW w:type="dxa" w:w="2880"/>
          </w:tcPr>
          <w:p>
            <w:r>
              <w:rPr>
                <w:rFonts w:ascii="Calibri" w:hAnsi="Calibri"/>
                <w:sz w:val="19"/>
              </w:rPr>
              <w:t>g/kg</w:t>
            </w:r>
          </w:p>
        </w:tc>
      </w:tr>
      <w:tr>
        <w:tc>
          <w:tcPr>
            <w:tcW w:type="dxa" w:w="2880"/>
          </w:tcPr>
          <w:p>
            <w:r>
              <w:rPr>
                <w:rFonts w:ascii="Calibri" w:hAnsi="Calibri"/>
                <w:sz w:val="19"/>
              </w:rPr>
              <w:t>Brine dilution at 100 m</w:t>
            </w:r>
          </w:p>
        </w:tc>
        <w:tc>
          <w:tcPr>
            <w:tcW w:type="dxa" w:w="2880"/>
          </w:tcPr>
          <w:p>
            <w:r>
              <w:rPr>
                <w:rFonts w:ascii="Calibri" w:hAnsi="Calibri"/>
                <w:sz w:val="19"/>
              </w:rPr>
              <w:t>175</w:t>
            </w:r>
          </w:p>
        </w:tc>
        <w:tc>
          <w:tcPr>
            <w:tcW w:type="dxa" w:w="2880"/>
          </w:tcPr>
          <w:p>
            <w:r>
              <w:rPr>
                <w:rFonts w:ascii="Calibri" w:hAnsi="Calibri"/>
                <w:sz w:val="19"/>
              </w:rPr>
              <w:t>:1</w:t>
            </w:r>
          </w:p>
        </w:tc>
      </w:tr>
      <w:tr>
        <w:tc>
          <w:tcPr>
            <w:tcW w:type="dxa" w:w="2880"/>
          </w:tcPr>
          <w:p>
            <w:r>
              <w:rPr>
                <w:rFonts w:ascii="Calibri" w:hAnsi="Calibri"/>
                <w:sz w:val="19"/>
              </w:rPr>
              <w:t>Excess salinity ΔS at 100 m</w:t>
            </w:r>
          </w:p>
        </w:tc>
        <w:tc>
          <w:tcPr>
            <w:tcW w:type="dxa" w:w="2880"/>
          </w:tcPr>
          <w:p>
            <w:r>
              <w:rPr>
                <w:rFonts w:ascii="Calibri" w:hAnsi="Calibri"/>
                <w:sz w:val="19"/>
              </w:rPr>
              <w:t>0.19</w:t>
            </w:r>
          </w:p>
        </w:tc>
        <w:tc>
          <w:tcPr>
            <w:tcW w:type="dxa" w:w="2880"/>
          </w:tcPr>
          <w:p>
            <w:r>
              <w:rPr>
                <w:rFonts w:ascii="Calibri" w:hAnsi="Calibri"/>
                <w:sz w:val="19"/>
              </w:rPr>
              <w:t>g/kg</w:t>
            </w:r>
          </w:p>
        </w:tc>
      </w:tr>
      <w:tr>
        <w:tc>
          <w:tcPr>
            <w:tcW w:type="dxa" w:w="2880"/>
          </w:tcPr>
          <w:p>
            <w:r>
              <w:rPr>
                <w:rFonts w:ascii="Calibri" w:hAnsi="Calibri"/>
                <w:sz w:val="19"/>
              </w:rPr>
              <w:t>Horizontal reach (r_max, &gt;ΔS_crit)</w:t>
            </w:r>
          </w:p>
        </w:tc>
        <w:tc>
          <w:tcPr>
            <w:tcW w:type="dxa" w:w="2880"/>
          </w:tcPr>
          <w:p>
            <w:r>
              <w:rPr>
                <w:rFonts w:ascii="Calibri" w:hAnsi="Calibri"/>
                <w:sz w:val="19"/>
              </w:rPr>
              <w:t>64.8</w:t>
            </w:r>
          </w:p>
        </w:tc>
        <w:tc>
          <w:tcPr>
            <w:tcW w:type="dxa" w:w="2880"/>
          </w:tcPr>
          <w:p>
            <w:r>
              <w:rPr>
                <w:rFonts w:ascii="Calibri" w:hAnsi="Calibri"/>
                <w:sz w:val="19"/>
              </w:rPr>
              <w:t>m</w:t>
            </w:r>
          </w:p>
        </w:tc>
      </w:tr>
      <w:tr>
        <w:tc>
          <w:tcPr>
            <w:tcW w:type="dxa" w:w="2880"/>
          </w:tcPr>
          <w:p>
            <w:r>
              <w:rPr>
                <w:rFonts w:ascii="Calibri" w:hAnsi="Calibri"/>
                <w:sz w:val="19"/>
              </w:rPr>
              <w:t>Seabed footprint (&gt;0.5 g/kg)</w:t>
            </w:r>
          </w:p>
        </w:tc>
        <w:tc>
          <w:tcPr>
            <w:tcW w:type="dxa" w:w="2880"/>
          </w:tcPr>
          <w:p>
            <w:r>
              <w:rPr>
                <w:rFonts w:ascii="Calibri" w:hAnsi="Calibri"/>
                <w:sz w:val="19"/>
              </w:rPr>
              <w:t>5127</w:t>
            </w:r>
          </w:p>
        </w:tc>
        <w:tc>
          <w:tcPr>
            <w:tcW w:type="dxa" w:w="2880"/>
          </w:tcPr>
          <w:p>
            <w:r>
              <w:rPr>
                <w:rFonts w:ascii="Calibri" w:hAnsi="Calibri"/>
                <w:sz w:val="19"/>
              </w:rPr>
              <w:t>m²</w:t>
            </w:r>
          </w:p>
        </w:tc>
      </w:tr>
      <w:tr>
        <w:tc>
          <w:tcPr>
            <w:tcW w:type="dxa" w:w="2880"/>
          </w:tcPr>
          <w:p>
            <w:r>
              <w:rPr>
                <w:rFonts w:ascii="Calibri" w:hAnsi="Calibri"/>
                <w:sz w:val="19"/>
              </w:rPr>
              <w:t>Affected water volume</w:t>
            </w:r>
          </w:p>
        </w:tc>
        <w:tc>
          <w:tcPr>
            <w:tcW w:type="dxa" w:w="2880"/>
          </w:tcPr>
          <w:p>
            <w:r>
              <w:rPr>
                <w:rFonts w:ascii="Calibri" w:hAnsi="Calibri"/>
                <w:sz w:val="19"/>
              </w:rPr>
              <w:t>55085</w:t>
            </w:r>
          </w:p>
        </w:tc>
        <w:tc>
          <w:tcPr>
            <w:tcW w:type="dxa" w:w="2880"/>
          </w:tcPr>
          <w:p>
            <w:r>
              <w:rPr>
                <w:rFonts w:ascii="Calibri" w:hAnsi="Calibri"/>
                <w:sz w:val="19"/>
              </w:rPr>
              <w:t>m³</w:t>
            </w:r>
          </w:p>
        </w:tc>
      </w:tr>
      <w:tr>
        <w:tc>
          <w:tcPr>
            <w:tcW w:type="dxa" w:w="2880"/>
          </w:tcPr>
          <w:p>
            <w:r>
              <w:rPr>
                <w:rFonts w:ascii="Calibri" w:hAnsi="Calibri"/>
                <w:sz w:val="19"/>
              </w:rPr>
              <w:t>Dense-layer deepest impact</w:t>
            </w:r>
          </w:p>
        </w:tc>
        <w:tc>
          <w:tcPr>
            <w:tcW w:type="dxa" w:w="2880"/>
          </w:tcPr>
          <w:p>
            <w:r>
              <w:rPr>
                <w:rFonts w:ascii="Calibri" w:hAnsi="Calibri"/>
                <w:sz w:val="19"/>
              </w:rPr>
              <w:t>24.5</w:t>
            </w:r>
          </w:p>
        </w:tc>
        <w:tc>
          <w:tcPr>
            <w:tcW w:type="dxa" w:w="2880"/>
          </w:tcPr>
          <w:p>
            <w:r>
              <w:rPr>
                <w:rFonts w:ascii="Calibri" w:hAnsi="Calibri"/>
                <w:sz w:val="19"/>
              </w:rPr>
              <w:t>m below surface</w:t>
            </w:r>
          </w:p>
        </w:tc>
      </w:tr>
    </w:tbl>
    <w:p>
      <w:pPr>
        <w:spacing w:after="40"/>
      </w:pPr>
    </w:p>
    <w:p>
      <w:pPr>
        <w:spacing w:after="40"/>
      </w:pPr>
      <w:r>
        <w:rPr>
          <w:rFonts w:ascii="Calibri" w:hAnsi="Calibri"/>
          <w:b/>
          <w:i w:val="0"/>
          <w:sz w:val="22"/>
        </w:rPr>
        <w:t>5.2  Seabed footprint sensitivity to the threshold</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19"/>
              </w:rPr>
              <w:t>Threshold ΔS (g/kg)</w:t>
            </w:r>
          </w:p>
        </w:tc>
        <w:tc>
          <w:tcPr>
            <w:tcW w:type="dxa" w:w="4320"/>
          </w:tcPr>
          <w:p>
            <w:r>
              <w:rPr>
                <w:rFonts w:ascii="Calibri" w:hAnsi="Calibri"/>
                <w:b/>
                <w:sz w:val="19"/>
              </w:rPr>
              <w:t>Footprint area (m²)</w:t>
            </w:r>
          </w:p>
        </w:tc>
      </w:tr>
      <w:tr>
        <w:tc>
          <w:tcPr>
            <w:tcW w:type="dxa" w:w="4320"/>
          </w:tcPr>
          <w:p>
            <w:r>
              <w:rPr>
                <w:rFonts w:ascii="Calibri" w:hAnsi="Calibri"/>
                <w:sz w:val="19"/>
              </w:rPr>
              <w:t>1.0</w:t>
            </w:r>
          </w:p>
        </w:tc>
        <w:tc>
          <w:tcPr>
            <w:tcW w:type="dxa" w:w="4320"/>
          </w:tcPr>
          <w:p>
            <w:r>
              <w:rPr>
                <w:rFonts w:ascii="Calibri" w:hAnsi="Calibri"/>
                <w:sz w:val="19"/>
              </w:rPr>
              <w:t>0</w:t>
            </w:r>
          </w:p>
        </w:tc>
      </w:tr>
      <w:tr>
        <w:tc>
          <w:tcPr>
            <w:tcW w:type="dxa" w:w="4320"/>
          </w:tcPr>
          <w:p>
            <w:r>
              <w:rPr>
                <w:rFonts w:ascii="Calibri" w:hAnsi="Calibri"/>
                <w:sz w:val="19"/>
              </w:rPr>
              <w:t>1.5</w:t>
            </w:r>
          </w:p>
        </w:tc>
        <w:tc>
          <w:tcPr>
            <w:tcW w:type="dxa" w:w="4320"/>
          </w:tcPr>
          <w:p>
            <w:r>
              <w:rPr>
                <w:rFonts w:ascii="Calibri" w:hAnsi="Calibri"/>
                <w:sz w:val="19"/>
              </w:rPr>
              <w:t>0</w:t>
            </w:r>
          </w:p>
        </w:tc>
      </w:tr>
      <w:tr>
        <w:tc>
          <w:tcPr>
            <w:tcW w:type="dxa" w:w="4320"/>
          </w:tcPr>
          <w:p>
            <w:r>
              <w:rPr>
                <w:rFonts w:ascii="Calibri" w:hAnsi="Calibri"/>
                <w:sz w:val="19"/>
              </w:rPr>
              <w:t>2.0</w:t>
            </w:r>
          </w:p>
        </w:tc>
        <w:tc>
          <w:tcPr>
            <w:tcW w:type="dxa" w:w="4320"/>
          </w:tcPr>
          <w:p>
            <w:r>
              <w:rPr>
                <w:rFonts w:ascii="Calibri" w:hAnsi="Calibri"/>
                <w:sz w:val="19"/>
              </w:rPr>
              <w:t>0</w:t>
            </w:r>
          </w:p>
        </w:tc>
      </w:tr>
    </w:tbl>
    <w:p>
      <w:pPr>
        <w:spacing w:after="40"/>
      </w:pPr>
    </w:p>
    <w:p>
      <w:pPr>
        <w:spacing w:after="40"/>
      </w:pPr>
      <w:r>
        <w:rPr>
          <w:rFonts w:ascii="Calibri" w:hAnsi="Calibri"/>
          <w:b/>
          <w:i w:val="0"/>
          <w:sz w:val="22"/>
        </w:rPr>
        <w:t>5.3  Stochastic uncertainty (ensemble)</w:t>
      </w:r>
    </w:p>
    <w:p>
      <w:pPr>
        <w:spacing w:after="120"/>
      </w:pPr>
      <w:r>
        <w:rPr>
          <w:rFonts w:ascii="Calibri" w:hAnsi="Calibri"/>
          <w:b w:val="0"/>
          <w:i w:val="0"/>
          <w:sz w:val="22"/>
        </w:rPr>
        <w:t>Across the 2-member ensemble the peak-excess standard deviation is 0.411 g/kg and the 95th-percentile excess reaches 1.00 g/kg, giving the exceedance-probability field below.</w:t>
      </w:r>
    </w:p>
    <w:p>
      <w:pPr>
        <w:pStyle w:val="Heading1"/>
      </w:pPr>
      <w:r>
        <w:rPr>
          <w:rFonts w:ascii="Calibri" w:hAnsi="Calibri"/>
          <w:color w:val="0B3D5C"/>
        </w:rPr>
        <w:t>6.  Output figures, curves and charts</w:t>
      </w:r>
    </w:p>
    <w:p>
      <w:pPr>
        <w:jc w:val="center"/>
      </w:pPr>
      <w:r>
        <w:drawing>
          <wp:inline xmlns:a="http://schemas.openxmlformats.org/drawingml/2006/main" xmlns:pic="http://schemas.openxmlformats.org/drawingml/2006/picture">
            <wp:extent cx="5669280" cy="3174797"/>
            <wp:docPr id="1" name="Picture 1"/>
            <wp:cNvGraphicFramePr>
              <a:graphicFrameLocks noChangeAspect="1"/>
            </wp:cNvGraphicFramePr>
            <a:graphic>
              <a:graphicData uri="http://schemas.openxmlformats.org/drawingml/2006/picture">
                <pic:pic>
                  <pic:nvPicPr>
                    <pic:cNvPr id="0" name="fig_seabed_excess_map.png"/>
                    <pic:cNvPicPr/>
                  </pic:nvPicPr>
                  <pic:blipFill>
                    <a:blip r:embed="rId9"/>
                    <a:stretch>
                      <a:fillRect/>
                    </a:stretch>
                  </pic:blipFill>
                  <pic:spPr>
                    <a:xfrm>
                      <a:off x="0" y="0"/>
                      <a:ext cx="5669280" cy="3174797"/>
                    </a:xfrm>
                    <a:prstGeom prst="rect"/>
                  </pic:spPr>
                </pic:pic>
              </a:graphicData>
            </a:graphic>
          </wp:inline>
        </w:drawing>
      </w:r>
    </w:p>
    <w:p>
      <w:pPr>
        <w:spacing w:after="200"/>
        <w:jc w:val="center"/>
      </w:pPr>
      <w:r>
        <w:rPr>
          <w:rFonts w:ascii="Calibri" w:hAnsi="Calibri"/>
          <w:i/>
          <w:color w:val="444444"/>
          <w:sz w:val="19"/>
        </w:rPr>
        <w:t>Figure 1. Predicted seabed excess-salinity map (plan view): the dense brine plume spreading from the offshore diffuser, with the threshold contour.</w:t>
      </w:r>
    </w:p>
    <w:p>
      <w:pPr>
        <w:jc w:val="center"/>
      </w:pPr>
      <w:r>
        <w:drawing>
          <wp:inline xmlns:a="http://schemas.openxmlformats.org/drawingml/2006/main" xmlns:pic="http://schemas.openxmlformats.org/drawingml/2006/picture">
            <wp:extent cx="5669280" cy="3174797"/>
            <wp:docPr id="2" name="Picture 2"/>
            <wp:cNvGraphicFramePr>
              <a:graphicFrameLocks noChangeAspect="1"/>
            </wp:cNvGraphicFramePr>
            <a:graphic>
              <a:graphicData uri="http://schemas.openxmlformats.org/drawingml/2006/picture">
                <pic:pic>
                  <pic:nvPicPr>
                    <pic:cNvPr id="0" name="fig_vertical_section.png"/>
                    <pic:cNvPicPr/>
                  </pic:nvPicPr>
                  <pic:blipFill>
                    <a:blip r:embed="rId10"/>
                    <a:stretch>
                      <a:fillRect/>
                    </a:stretch>
                  </pic:blipFill>
                  <pic:spPr>
                    <a:xfrm>
                      <a:off x="0" y="0"/>
                      <a:ext cx="5669280" cy="3174797"/>
                    </a:xfrm>
                    <a:prstGeom prst="rect"/>
                  </pic:spPr>
                </pic:pic>
              </a:graphicData>
            </a:graphic>
          </wp:inline>
        </w:drawing>
      </w:r>
    </w:p>
    <w:p>
      <w:pPr>
        <w:spacing w:after="200"/>
        <w:jc w:val="center"/>
      </w:pPr>
      <w:r>
        <w:rPr>
          <w:rFonts w:ascii="Calibri" w:hAnsi="Calibri"/>
          <w:i/>
          <w:color w:val="444444"/>
          <w:sz w:val="19"/>
        </w:rPr>
        <w:t>Figure 2. Vertical section of excess salinity along the plume centreline, showing the bottom-trapped dense gravity-current layer.</w:t>
      </w:r>
    </w:p>
    <w:p>
      <w:pPr>
        <w:jc w:val="center"/>
      </w:pPr>
      <w:r>
        <w:drawing>
          <wp:inline xmlns:a="http://schemas.openxmlformats.org/drawingml/2006/main" xmlns:pic="http://schemas.openxmlformats.org/drawingml/2006/picture">
            <wp:extent cx="5669280" cy="3174797"/>
            <wp:docPr id="3" name="Picture 3"/>
            <wp:cNvGraphicFramePr>
              <a:graphicFrameLocks noChangeAspect="1"/>
            </wp:cNvGraphicFramePr>
            <a:graphic>
              <a:graphicData uri="http://schemas.openxmlformats.org/drawingml/2006/picture">
                <pic:pic>
                  <pic:nvPicPr>
                    <pic:cNvPr id="0" name="fig_centerline_dilution.png"/>
                    <pic:cNvPicPr/>
                  </pic:nvPicPr>
                  <pic:blipFill>
                    <a:blip r:embed="rId11"/>
                    <a:stretch>
                      <a:fillRect/>
                    </a:stretch>
                  </pic:blipFill>
                  <pic:spPr>
                    <a:xfrm>
                      <a:off x="0" y="0"/>
                      <a:ext cx="5669280" cy="3174797"/>
                    </a:xfrm>
                    <a:prstGeom prst="rect"/>
                  </pic:spPr>
                </pic:pic>
              </a:graphicData>
            </a:graphic>
          </wp:inline>
        </w:drawing>
      </w:r>
    </w:p>
    <w:p>
      <w:pPr>
        <w:spacing w:after="200"/>
        <w:jc w:val="center"/>
      </w:pPr>
      <w:r>
        <w:rPr>
          <w:rFonts w:ascii="Calibri" w:hAnsi="Calibri"/>
          <w:i/>
          <w:color w:val="444444"/>
          <w:sz w:val="19"/>
        </w:rPr>
        <w:t>Figure 3. Centreline brine dilution vs distance from the diffuser (Tier-5 curve: curve_centerline.csv).</w:t>
      </w:r>
    </w:p>
    <w:p>
      <w:pPr>
        <w:jc w:val="center"/>
      </w:pPr>
      <w:r>
        <w:drawing>
          <wp:inline xmlns:a="http://schemas.openxmlformats.org/drawingml/2006/main" xmlns:pic="http://schemas.openxmlformats.org/drawingml/2006/picture">
            <wp:extent cx="5669280" cy="3174797"/>
            <wp:docPr id="4" name="Picture 4"/>
            <wp:cNvGraphicFramePr>
              <a:graphicFrameLocks noChangeAspect="1"/>
            </wp:cNvGraphicFramePr>
            <a:graphic>
              <a:graphicData uri="http://schemas.openxmlformats.org/drawingml/2006/picture">
                <pic:pic>
                  <pic:nvPicPr>
                    <pic:cNvPr id="0" name="fig_salinity_decay.png"/>
                    <pic:cNvPicPr/>
                  </pic:nvPicPr>
                  <pic:blipFill>
                    <a:blip r:embed="rId12"/>
                    <a:stretch>
                      <a:fillRect/>
                    </a:stretch>
                  </pic:blipFill>
                  <pic:spPr>
                    <a:xfrm>
                      <a:off x="0" y="0"/>
                      <a:ext cx="5669280" cy="3174797"/>
                    </a:xfrm>
                    <a:prstGeom prst="rect"/>
                  </pic:spPr>
                </pic:pic>
              </a:graphicData>
            </a:graphic>
          </wp:inline>
        </w:drawing>
      </w:r>
    </w:p>
    <w:p>
      <w:pPr>
        <w:spacing w:after="200"/>
        <w:jc w:val="center"/>
      </w:pPr>
      <w:r>
        <w:rPr>
          <w:rFonts w:ascii="Calibri" w:hAnsi="Calibri"/>
          <w:i/>
          <w:color w:val="444444"/>
          <w:sz w:val="19"/>
        </w:rPr>
        <w:t>Figure 4. Excess-salinity ΔS decay with distance from the diffuser.</w:t>
      </w:r>
    </w:p>
    <w:p>
      <w:pPr>
        <w:jc w:val="center"/>
      </w:pPr>
      <w:r>
        <w:drawing>
          <wp:inline xmlns:a="http://schemas.openxmlformats.org/drawingml/2006/main" xmlns:pic="http://schemas.openxmlformats.org/drawingml/2006/picture">
            <wp:extent cx="5669280" cy="3174797"/>
            <wp:docPr id="5" name="Picture 5"/>
            <wp:cNvGraphicFramePr>
              <a:graphicFrameLocks noChangeAspect="1"/>
            </wp:cNvGraphicFramePr>
            <a:graphic>
              <a:graphicData uri="http://schemas.openxmlformats.org/drawingml/2006/picture">
                <pic:pic>
                  <pic:nvPicPr>
                    <pic:cNvPr id="0" name="fig_exceedance_probability.png"/>
                    <pic:cNvPicPr/>
                  </pic:nvPicPr>
                  <pic:blipFill>
                    <a:blip r:embed="rId13"/>
                    <a:stretch>
                      <a:fillRect/>
                    </a:stretch>
                  </pic:blipFill>
                  <pic:spPr>
                    <a:xfrm>
                      <a:off x="0" y="0"/>
                      <a:ext cx="5669280" cy="3174797"/>
                    </a:xfrm>
                    <a:prstGeom prst="rect"/>
                  </pic:spPr>
                </pic:pic>
              </a:graphicData>
            </a:graphic>
          </wp:inline>
        </w:drawing>
      </w:r>
    </w:p>
    <w:p>
      <w:pPr>
        <w:spacing w:after="200"/>
        <w:jc w:val="center"/>
      </w:pPr>
      <w:r>
        <w:rPr>
          <w:rFonts w:ascii="Calibri" w:hAnsi="Calibri"/>
          <w:i/>
          <w:color w:val="444444"/>
          <w:sz w:val="19"/>
        </w:rPr>
        <w:t>Figure 5. Exceedance-probability map for the threshold across the stochastic ensemble.</w:t>
      </w:r>
    </w:p>
    <w:p>
      <w:pPr>
        <w:jc w:val="center"/>
      </w:pPr>
      <w:r>
        <w:drawing>
          <wp:inline xmlns:a="http://schemas.openxmlformats.org/drawingml/2006/main" xmlns:pic="http://schemas.openxmlformats.org/drawingml/2006/picture">
            <wp:extent cx="5669280" cy="3174797"/>
            <wp:docPr id="6" name="Picture 6"/>
            <wp:cNvGraphicFramePr>
              <a:graphicFrameLocks noChangeAspect="1"/>
            </wp:cNvGraphicFramePr>
            <a:graphic>
              <a:graphicData uri="http://schemas.openxmlformats.org/drawingml/2006/picture">
                <pic:pic>
                  <pic:nvPicPr>
                    <pic:cNvPr id="0" name="fig_seabed_currents.png"/>
                    <pic:cNvPicPr/>
                  </pic:nvPicPr>
                  <pic:blipFill>
                    <a:blip r:embed="rId14"/>
                    <a:stretch>
                      <a:fillRect/>
                    </a:stretch>
                  </pic:blipFill>
                  <pic:spPr>
                    <a:xfrm>
                      <a:off x="0" y="0"/>
                      <a:ext cx="5669280" cy="3174797"/>
                    </a:xfrm>
                    <a:prstGeom prst="rect"/>
                  </pic:spPr>
                </pic:pic>
              </a:graphicData>
            </a:graphic>
          </wp:inline>
        </w:drawing>
      </w:r>
    </w:p>
    <w:p>
      <w:pPr>
        <w:spacing w:after="200"/>
        <w:jc w:val="center"/>
      </w:pPr>
      <w:r>
        <w:rPr>
          <w:rFonts w:ascii="Calibri" w:hAnsi="Calibri"/>
          <w:i/>
          <w:color w:val="444444"/>
          <w:sz w:val="19"/>
        </w:rPr>
        <w:t>Figure 6. Near-bed current/velocity field driving the gravity-current spreading.</w:t>
      </w:r>
    </w:p>
    <w:p>
      <w:pPr>
        <w:jc w:val="center"/>
      </w:pPr>
      <w:r>
        <w:drawing>
          <wp:inline xmlns:a="http://schemas.openxmlformats.org/drawingml/2006/main" xmlns:pic="http://schemas.openxmlformats.org/drawingml/2006/picture">
            <wp:extent cx="5669280" cy="3174797"/>
            <wp:docPr id="7" name="Picture 7"/>
            <wp:cNvGraphicFramePr>
              <a:graphicFrameLocks noChangeAspect="1"/>
            </wp:cNvGraphicFramePr>
            <a:graphic>
              <a:graphicData uri="http://schemas.openxmlformats.org/drawingml/2006/picture">
                <pic:pic>
                  <pic:nvPicPr>
                    <pic:cNvPr id="0" name="fig_nearfield_trajectory.png"/>
                    <pic:cNvPicPr/>
                  </pic:nvPicPr>
                  <pic:blipFill>
                    <a:blip r:embed="rId15"/>
                    <a:stretch>
                      <a:fillRect/>
                    </a:stretch>
                  </pic:blipFill>
                  <pic:spPr>
                    <a:xfrm>
                      <a:off x="0" y="0"/>
                      <a:ext cx="5669280" cy="3174797"/>
                    </a:xfrm>
                    <a:prstGeom prst="rect"/>
                  </pic:spPr>
                </pic:pic>
              </a:graphicData>
            </a:graphic>
          </wp:inline>
        </w:drawing>
      </w:r>
    </w:p>
    <w:p>
      <w:pPr>
        <w:spacing w:after="200"/>
        <w:jc w:val="center"/>
      </w:pPr>
      <w:r>
        <w:rPr>
          <w:rFonts w:ascii="Calibri" w:hAnsi="Calibri"/>
          <w:i/>
          <w:color w:val="444444"/>
          <w:sz w:val="19"/>
        </w:rPr>
        <w:t>Figure 7. Near-field inclined dense-jet trajectory (validated correlation model).</w:t>
      </w:r>
    </w:p>
    <w:p>
      <w:pPr>
        <w:pStyle w:val="Heading1"/>
      </w:pPr>
      <w:r>
        <w:rPr>
          <w:rFonts w:ascii="Calibri" w:hAnsi="Calibri"/>
          <w:color w:val="0B3D5C"/>
        </w:rPr>
        <w:t>7.  Output data files (folder 6/)</w:t>
      </w:r>
    </w:p>
    <w:p>
      <w:pPr>
        <w:spacing w:after="120"/>
      </w:pPr>
      <w:r>
        <w:rPr>
          <w:rFonts w:ascii="Calibri" w:hAnsi="Calibri"/>
          <w:b w:val="0"/>
          <w:i w:val="0"/>
          <w:sz w:val="22"/>
        </w:rPr>
        <w:t>Every artifact below is generated by the solver run and saved in folder 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9"/>
              </w:rPr>
              <w:t>File</w:t>
            </w:r>
          </w:p>
        </w:tc>
        <w:tc>
          <w:tcPr>
            <w:tcW w:type="dxa" w:w="2880"/>
          </w:tcPr>
          <w:p>
            <w:r>
              <w:rPr>
                <w:rFonts w:ascii="Calibri" w:hAnsi="Calibri"/>
                <w:b/>
                <w:sz w:val="19"/>
              </w:rPr>
              <w:t>Type</w:t>
            </w:r>
          </w:p>
        </w:tc>
        <w:tc>
          <w:tcPr>
            <w:tcW w:type="dxa" w:w="2880"/>
          </w:tcPr>
          <w:p>
            <w:r>
              <w:rPr>
                <w:rFonts w:ascii="Calibri" w:hAnsi="Calibri"/>
                <w:b/>
                <w:sz w:val="19"/>
              </w:rPr>
              <w:t>Contents</w:t>
            </w:r>
          </w:p>
        </w:tc>
      </w:tr>
      <w:tr>
        <w:tc>
          <w:tcPr>
            <w:tcW w:type="dxa" w:w="2880"/>
          </w:tcPr>
          <w:p>
            <w:r>
              <w:rPr>
                <w:rFonts w:ascii="Calibri" w:hAnsi="Calibri"/>
                <w:sz w:val="19"/>
              </w:rPr>
              <w:t>metrics_summary.json</w:t>
            </w:r>
          </w:p>
        </w:tc>
        <w:tc>
          <w:tcPr>
            <w:tcW w:type="dxa" w:w="2880"/>
          </w:tcPr>
          <w:p>
            <w:r>
              <w:rPr>
                <w:rFonts w:ascii="Calibri" w:hAnsi="Calibri"/>
                <w:sz w:val="19"/>
              </w:rPr>
              <w:t>JSON</w:t>
            </w:r>
          </w:p>
        </w:tc>
        <w:tc>
          <w:tcPr>
            <w:tcW w:type="dxa" w:w="2880"/>
          </w:tcPr>
          <w:p>
            <w:r>
              <w:rPr>
                <w:rFonts w:ascii="Calibri" w:hAnsi="Calibri"/>
                <w:sz w:val="19"/>
              </w:rPr>
              <w:t>headline metrics + full config + ensemble stats + active physics</w:t>
            </w:r>
          </w:p>
        </w:tc>
      </w:tr>
      <w:tr>
        <w:tc>
          <w:tcPr>
            <w:tcW w:type="dxa" w:w="2880"/>
          </w:tcPr>
          <w:p>
            <w:r>
              <w:rPr>
                <w:rFonts w:ascii="Calibri" w:hAnsi="Calibri"/>
                <w:sz w:val="19"/>
              </w:rPr>
              <w:t>metrics_timeseries.csv</w:t>
            </w:r>
          </w:p>
        </w:tc>
        <w:tc>
          <w:tcPr>
            <w:tcW w:type="dxa" w:w="2880"/>
          </w:tcPr>
          <w:p>
            <w:r>
              <w:rPr>
                <w:rFonts w:ascii="Calibri" w:hAnsi="Calibri"/>
                <w:sz w:val="19"/>
              </w:rPr>
              <w:t>CSV</w:t>
            </w:r>
          </w:p>
        </w:tc>
        <w:tc>
          <w:tcPr>
            <w:tcW w:type="dxa" w:w="2880"/>
          </w:tcPr>
          <w:p>
            <w:r>
              <w:rPr>
                <w:rFonts w:ascii="Calibri" w:hAnsi="Calibri"/>
                <w:sz w:val="19"/>
              </w:rPr>
              <w:t>time series: S_max, ΔS_max, reach, footprint, dilution, divergence</w:t>
            </w:r>
          </w:p>
        </w:tc>
      </w:tr>
      <w:tr>
        <w:tc>
          <w:tcPr>
            <w:tcW w:type="dxa" w:w="2880"/>
          </w:tcPr>
          <w:p>
            <w:r>
              <w:rPr>
                <w:rFonts w:ascii="Calibri" w:hAnsi="Calibri"/>
                <w:sz w:val="19"/>
              </w:rPr>
              <w:t>curve_centerline.csv</w:t>
            </w:r>
          </w:p>
        </w:tc>
        <w:tc>
          <w:tcPr>
            <w:tcW w:type="dxa" w:w="2880"/>
          </w:tcPr>
          <w:p>
            <w:r>
              <w:rPr>
                <w:rFonts w:ascii="Calibri" w:hAnsi="Calibri"/>
                <w:sz w:val="19"/>
              </w:rPr>
              <w:t>CSV</w:t>
            </w:r>
          </w:p>
        </w:tc>
        <w:tc>
          <w:tcPr>
            <w:tcW w:type="dxa" w:w="2880"/>
          </w:tcPr>
          <w:p>
            <w:r>
              <w:rPr>
                <w:rFonts w:ascii="Calibri" w:hAnsi="Calibri"/>
                <w:sz w:val="19"/>
              </w:rPr>
              <w:t>centreline curve: distance, ΔS, dilution, core depth</w:t>
            </w:r>
          </w:p>
        </w:tc>
      </w:tr>
      <w:tr>
        <w:tc>
          <w:tcPr>
            <w:tcW w:type="dxa" w:w="2880"/>
          </w:tcPr>
          <w:p>
            <w:r>
              <w:rPr>
                <w:rFonts w:ascii="Calibri" w:hAnsi="Calibri"/>
                <w:sz w:val="19"/>
              </w:rPr>
              <w:t>curve_vertical_profile.csv</w:t>
            </w:r>
          </w:p>
        </w:tc>
        <w:tc>
          <w:tcPr>
            <w:tcW w:type="dxa" w:w="2880"/>
          </w:tcPr>
          <w:p>
            <w:r>
              <w:rPr>
                <w:rFonts w:ascii="Calibri" w:hAnsi="Calibri"/>
                <w:sz w:val="19"/>
              </w:rPr>
              <w:t>CSV</w:t>
            </w:r>
          </w:p>
        </w:tc>
        <w:tc>
          <w:tcPr>
            <w:tcW w:type="dxa" w:w="2880"/>
          </w:tcPr>
          <w:p>
            <w:r>
              <w:rPr>
                <w:rFonts w:ascii="Calibri" w:hAnsi="Calibri"/>
                <w:sz w:val="19"/>
              </w:rPr>
              <w:t>vertical profile: depth, salinity, ΔS, density, temperature</w:t>
            </w:r>
          </w:p>
        </w:tc>
      </w:tr>
      <w:tr>
        <w:tc>
          <w:tcPr>
            <w:tcW w:type="dxa" w:w="2880"/>
          </w:tcPr>
          <w:p>
            <w:r>
              <w:rPr>
                <w:rFonts w:ascii="Calibri" w:hAnsi="Calibri"/>
                <w:sz w:val="19"/>
              </w:rPr>
              <w:t>fields_final.npz</w:t>
            </w:r>
          </w:p>
        </w:tc>
        <w:tc>
          <w:tcPr>
            <w:tcW w:type="dxa" w:w="2880"/>
          </w:tcPr>
          <w:p>
            <w:r>
              <w:rPr>
                <w:rFonts w:ascii="Calibri" w:hAnsi="Calibri"/>
                <w:sz w:val="19"/>
              </w:rPr>
              <w:t>binary</w:t>
            </w:r>
          </w:p>
        </w:tc>
        <w:tc>
          <w:tcPr>
            <w:tcW w:type="dxa" w:w="2880"/>
          </w:tcPr>
          <w:p>
            <w:r>
              <w:rPr>
                <w:rFonts w:ascii="Calibri" w:hAnsi="Calibri"/>
                <w:sz w:val="19"/>
              </w:rPr>
              <w:t>full 3-D fields: S, ΔS, dilution, ρ, u, v, w, T, k, ε, ν_t</w:t>
            </w:r>
          </w:p>
        </w:tc>
      </w:tr>
      <w:tr>
        <w:tc>
          <w:tcPr>
            <w:tcW w:type="dxa" w:w="2880"/>
          </w:tcPr>
          <w:p>
            <w:r>
              <w:rPr>
                <w:rFonts w:ascii="Calibri" w:hAnsi="Calibri"/>
                <w:sz w:val="19"/>
              </w:rPr>
              <w:t>ensemble_stats.npz</w:t>
            </w:r>
          </w:p>
        </w:tc>
        <w:tc>
          <w:tcPr>
            <w:tcW w:type="dxa" w:w="2880"/>
          </w:tcPr>
          <w:p>
            <w:r>
              <w:rPr>
                <w:rFonts w:ascii="Calibri" w:hAnsi="Calibri"/>
                <w:sz w:val="19"/>
              </w:rPr>
              <w:t>binary</w:t>
            </w:r>
          </w:p>
        </w:tc>
        <w:tc>
          <w:tcPr>
            <w:tcW w:type="dxa" w:w="2880"/>
          </w:tcPr>
          <w:p>
            <w:r>
              <w:rPr>
                <w:rFonts w:ascii="Calibri" w:hAnsi="Calibri"/>
                <w:sz w:val="19"/>
              </w:rPr>
              <w:t>ensemble mean / std / exceedance fields</w:t>
            </w:r>
          </w:p>
        </w:tc>
      </w:tr>
      <w:tr>
        <w:tc>
          <w:tcPr>
            <w:tcW w:type="dxa" w:w="2880"/>
          </w:tcPr>
          <w:p>
            <w:r>
              <w:rPr>
                <w:rFonts w:ascii="Calibri" w:hAnsi="Calibri"/>
                <w:sz w:val="19"/>
              </w:rPr>
              <w:t>fig_*.png</w:t>
            </w:r>
          </w:p>
        </w:tc>
        <w:tc>
          <w:tcPr>
            <w:tcW w:type="dxa" w:w="2880"/>
          </w:tcPr>
          <w:p>
            <w:r>
              <w:rPr>
                <w:rFonts w:ascii="Calibri" w:hAnsi="Calibri"/>
                <w:sz w:val="19"/>
              </w:rPr>
              <w:t>graphics</w:t>
            </w:r>
          </w:p>
        </w:tc>
        <w:tc>
          <w:tcPr>
            <w:tcW w:type="dxa" w:w="2880"/>
          </w:tcPr>
          <w:p>
            <w:r>
              <w:rPr>
                <w:rFonts w:ascii="Calibri" w:hAnsi="Calibri"/>
                <w:sz w:val="19"/>
              </w:rPr>
              <w:t>maps, sections, curves, risk/exceedance charts</w:t>
            </w:r>
          </w:p>
        </w:tc>
      </w:tr>
      <w:tr>
        <w:tc>
          <w:tcPr>
            <w:tcW w:type="dxa" w:w="2880"/>
          </w:tcPr>
          <w:p>
            <w:r>
              <w:rPr>
                <w:rFonts w:ascii="Calibri" w:hAnsi="Calibri"/>
                <w:sz w:val="19"/>
              </w:rPr>
              <w:t>run.log</w:t>
            </w:r>
          </w:p>
        </w:tc>
        <w:tc>
          <w:tcPr>
            <w:tcW w:type="dxa" w:w="2880"/>
          </w:tcPr>
          <w:p>
            <w:r>
              <w:rPr>
                <w:rFonts w:ascii="Calibri" w:hAnsi="Calibri"/>
                <w:sz w:val="19"/>
              </w:rPr>
              <w:t>log</w:t>
            </w:r>
          </w:p>
        </w:tc>
        <w:tc>
          <w:tcPr>
            <w:tcW w:type="dxa" w:w="2880"/>
          </w:tcPr>
          <w:p>
            <w:r>
              <w:rPr>
                <w:rFonts w:ascii="Calibri" w:hAnsi="Calibri"/>
                <w:sz w:val="19"/>
              </w:rPr>
              <w:t>solver health: divergence, mass balance, cap fractions, near-field summary</w:t>
            </w:r>
          </w:p>
        </w:tc>
      </w:tr>
      <w:tr>
        <w:tc>
          <w:tcPr>
            <w:tcW w:type="dxa" w:w="2880"/>
          </w:tcPr>
          <w:p>
            <w:r>
              <w:rPr>
                <w:rFonts w:ascii="Calibri" w:hAnsi="Calibri"/>
                <w:sz w:val="19"/>
              </w:rPr>
              <w:t>sydney_case_input.json</w:t>
            </w:r>
          </w:p>
        </w:tc>
        <w:tc>
          <w:tcPr>
            <w:tcW w:type="dxa" w:w="2880"/>
          </w:tcPr>
          <w:p>
            <w:r>
              <w:rPr>
                <w:rFonts w:ascii="Calibri" w:hAnsi="Calibri"/>
                <w:sz w:val="19"/>
              </w:rPr>
              <w:t>JSON</w:t>
            </w:r>
          </w:p>
        </w:tc>
        <w:tc>
          <w:tcPr>
            <w:tcW w:type="dxa" w:w="2880"/>
          </w:tcPr>
          <w:p>
            <w:r>
              <w:rPr>
                <w:rFonts w:ascii="Calibri" w:hAnsi="Calibri"/>
                <w:sz w:val="19"/>
              </w:rPr>
              <w:t>the complete input deck for this case</w:t>
            </w:r>
          </w:p>
        </w:tc>
      </w:tr>
    </w:tbl>
    <w:p>
      <w:pPr>
        <w:spacing w:after="40"/>
      </w:pPr>
    </w:p>
    <w:p>
      <w:pPr>
        <w:pStyle w:val="Heading1"/>
      </w:pPr>
      <w:r>
        <w:rPr>
          <w:rFonts w:ascii="Calibri" w:hAnsi="Calibri"/>
          <w:color w:val="0B3D5C"/>
        </w:rPr>
        <w:t>8.  Assessment and conclusions</w:t>
      </w:r>
    </w:p>
    <w:p>
      <w:pPr>
        <w:spacing w:after="120"/>
      </w:pPr>
      <w:r>
        <w:rPr>
          <w:rFonts w:ascii="Calibri" w:hAnsi="Calibri"/>
          <w:b w:val="0"/>
          <w:i w:val="0"/>
          <w:sz w:val="22"/>
        </w:rPr>
        <w:t>The predicted excess salinity at the 50 m mixing-zone boundary is ≈ 0.67 g/kg (dilution ≈ 47:1), compared with the conservative sub-lethal assessment contour ΔS = 0.5 g/kg (more protective than the ~1 ppt typical of NSW practice). On this basis the discharge is assessed AT / ABOVE the assessment contour (marginal). Because NEREID-B is validated to UNDER-predict dilution (OVER-predict salinity/impact) against the published Perth transect and the universal Roberts (1997) dense-jet scaling, the prediction is conservative — the true field dilution is expected to be somewhat higher (lower impact).</w:t>
      </w:r>
    </w:p>
    <w:p>
      <w:pPr>
        <w:spacing w:after="120"/>
      </w:pPr>
      <w:r>
        <w:rPr>
          <w:rFonts w:ascii="Calibri" w:hAnsi="Calibri"/>
          <w:b w:val="0"/>
          <w:i/>
          <w:sz w:val="20"/>
        </w:rPr>
        <w:t>Run health: divergence 0.0 (machine precision), mass imbalance 0.0, eddy-viscosity cap engaged in 0.0% of cells (physical, no railing).</w:t>
      </w:r>
    </w:p>
    <w:p>
      <w:pPr>
        <w:spacing w:after="120"/>
      </w:pPr>
      <w:r>
        <w:rPr>
          <w:rFonts w:ascii="Calibri" w:hAnsi="Calibri"/>
          <w:b w:val="0"/>
          <w:i w:val="0"/>
          <w:sz w:val="22"/>
        </w:rPr>
        <w:t>Recommendations: (i) commission a site CTD/ADCP transect at the SDP outfall and re-run with --calibrate-ctd to convert these indicative numbers into a site-calibrated prediction; (ii) run a --hires (64×40×28) grid to resolve the ~1–2 m near-bed gravity current quantitatively; (iii) add low-current / strong-stratification 'worst-case' weak-mixing scenarios to bound the compliance envelope; (iv) for a fully resolved near field, use the Rev 2.0 --resolved-nearfield two-way nest on a GPU.</w:t>
      </w:r>
    </w:p>
    <w:p>
      <w:pPr>
        <w:pStyle w:val="Heading1"/>
      </w:pPr>
      <w:r>
        <w:rPr>
          <w:rFonts w:ascii="Calibri" w:hAnsi="Calibri"/>
          <w:color w:val="0B3D5C"/>
        </w:rPr>
        <w:t>9.  References &amp; provenance</w:t>
      </w:r>
    </w:p>
    <w:p>
      <w:pPr>
        <w:spacing w:after="120"/>
      </w:pPr>
      <w:r>
        <w:rPr>
          <w:rFonts w:ascii="Calibri" w:hAnsi="Calibri"/>
          <w:b w:val="0"/>
          <w:i w:val="0"/>
          <w:sz w:val="20"/>
        </w:rPr>
        <w:t>• Sydney Desalination Plant — public design basis (capacity, recovery, offshore diffuser depth) as cited in the input deck _provenance_public field; per-port geometry is a representative engineering configuration (input deck _assumptions_engineering).</w:t>
      </w:r>
    </w:p>
    <w:p>
      <w:pPr>
        <w:spacing w:after="120"/>
      </w:pPr>
      <w:r>
        <w:rPr>
          <w:rFonts w:ascii="Calibri" w:hAnsi="Calibri"/>
          <w:b w:val="0"/>
          <w:i w:val="0"/>
          <w:sz w:val="20"/>
        </w:rPr>
        <w:t>• Roberts, P.J.W., Ferrier, A. &amp; Daviero, G.J. (1997), 'Mixing in Inclined Dense Jets', J. Hydraul. Eng. 123(8):693–699.</w:t>
      </w:r>
    </w:p>
    <w:p>
      <w:pPr>
        <w:spacing w:after="120"/>
      </w:pPr>
      <w:r>
        <w:rPr>
          <w:rFonts w:ascii="Calibri" w:hAnsi="Calibri"/>
          <w:b w:val="0"/>
          <w:i w:val="0"/>
          <w:sz w:val="20"/>
        </w:rPr>
        <w:t>• Roberts, P.J.W., Taplin, J. &amp; Zigas, E. (2019), 'Design of Seawater Desalination Brine Diffusers', 38th IAHR World Congress, doi:10.3850/38WC092019-1053.</w:t>
      </w:r>
    </w:p>
    <w:p>
      <w:pPr>
        <w:spacing w:after="120"/>
      </w:pPr>
      <w:r>
        <w:rPr>
          <w:rFonts w:ascii="Calibri" w:hAnsi="Calibri"/>
          <w:b w:val="0"/>
          <w:i w:val="0"/>
          <w:sz w:val="20"/>
        </w:rPr>
        <w:t>• Governing equations: 6/model.docx. Solver: solver.py (NEREID-B Rev 2.0). Input deck: 6/sydney_case_input.json.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