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NEREID-B — Validation Sources</w:t>
      </w:r>
    </w:p>
    <w:p>
      <w:pPr>
        <w:jc w:val="center"/>
      </w:pPr>
      <w:r>
        <w:rPr>
          <w:rFonts w:ascii="Calibri" w:hAnsi="Calibri"/>
          <w:i/>
          <w:sz w:val="25"/>
        </w:rPr>
        <w:t>Complete Record of the Laboratory, Real-Site and Regulatory Sources Used to Validate the Coupled Stochastic-PDE Brine-Salinity Solver</w:t>
      </w:r>
    </w:p>
    <w:p>
      <w:pPr>
        <w:spacing w:after="160"/>
      </w:pPr>
    </w:p>
    <w:p>
      <w:pPr>
        <w:spacing w:after="120"/>
      </w:pPr>
      <w:r>
        <w:rPr>
          <w:rFonts w:ascii="Calibri" w:hAnsi="Calibri"/>
          <w:b w:val="0"/>
          <w:i w:val="0"/>
          <w:sz w:val="22"/>
        </w:rPr>
        <w:t>This document lists every source used to validate NEREID-B, grouped by the part of the model each constrains. For every source it states the full citation, what the source provided, the specific reference value taken from it, and the matching NEREID-B result. A consolidated cross-check table and a numbered reference list close the document.</w:t>
      </w:r>
    </w:p>
    <w:p>
      <w:pPr>
        <w:pStyle w:val="Heading1"/>
      </w:pPr>
      <w:r>
        <w:t>A.  Near-field validation — laboratory inclined-dense-jet scaling</w:t>
      </w:r>
    </w:p>
    <w:p>
      <w:pPr>
        <w:spacing w:after="120"/>
      </w:pPr>
      <w:r>
        <w:rPr>
          <w:rFonts w:ascii="Calibri" w:hAnsi="Calibri"/>
          <w:b w:val="0"/>
          <w:i w:val="0"/>
          <w:sz w:val="22"/>
        </w:rPr>
        <w:t>The unresolvable near-field nozzle is represented by established inclined-dense-jet correlations, which ARE the laboratory data. These set the terminal rise (z_t = 2.2·D·Fr), return distance (x_r = 2.4·D·Fr) and return dilution (S_r = 1.6·Fr).</w:t>
      </w:r>
    </w:p>
    <w:p>
      <w:pPr>
        <w:spacing w:after="40"/>
      </w:pPr>
      <w:r>
        <w:rPr>
          <w:rFonts w:ascii="Calibri" w:hAnsi="Calibri"/>
          <w:b/>
          <w:sz w:val="22"/>
        </w:rPr>
        <w:t xml:space="preserve">[1]  </w:t>
      </w:r>
      <w:r>
        <w:rPr>
          <w:rFonts w:ascii="Calibri" w:hAnsi="Calibri"/>
          <w:sz w:val="22"/>
        </w:rPr>
        <w:t>Roberts, P.J.W., Ferrier, A. &amp; Daviero, G. (1997). “Mixing in Inclined Dense Jets.” Journal of Hydraulic Engineering 123(8): 693–699.</w:t>
      </w:r>
    </w:p>
    <w:p>
      <w:pPr>
        <w:pStyle w:val="ListBullet2"/>
        <w:spacing w:after="20"/>
      </w:pPr>
      <w:r>
        <w:rPr>
          <w:rFonts w:ascii="Calibri" w:hAnsi="Calibri"/>
          <w:b/>
          <w:sz w:val="20"/>
        </w:rPr>
        <w:t xml:space="preserve">Used for: </w:t>
      </w:r>
      <w:r>
        <w:rPr>
          <w:rFonts w:ascii="Calibri" w:hAnsi="Calibri"/>
          <w:sz w:val="20"/>
        </w:rPr>
        <w:t>Primary near-field scaling for 60° negatively-buoyant jets (terminal rise, return distance, return dilution) implemented in nearfield_jet().</w:t>
      </w:r>
    </w:p>
    <w:p>
      <w:pPr>
        <w:pStyle w:val="ListBullet2"/>
        <w:spacing w:after="160"/>
      </w:pPr>
      <w:r>
        <w:rPr>
          <w:rFonts w:ascii="Calibri" w:hAnsi="Calibri"/>
          <w:b/>
          <w:sz w:val="20"/>
        </w:rPr>
        <w:t xml:space="preserve">Reference value / NEREID-B: </w:t>
      </w:r>
      <w:r>
        <w:rPr>
          <w:rFonts w:ascii="Calibri" w:hAnsi="Calibri"/>
          <w:sz w:val="20"/>
        </w:rPr>
        <w:t>Rise ratio band z_t/(D·Fr) = 2.1–2.8; NEREID-B reproduces 2.20 (PASS).</w:t>
      </w:r>
    </w:p>
    <w:p>
      <w:pPr>
        <w:spacing w:after="40"/>
      </w:pPr>
      <w:r>
        <w:rPr>
          <w:rFonts w:ascii="Calibri" w:hAnsi="Calibri"/>
          <w:b/>
          <w:sz w:val="22"/>
        </w:rPr>
        <w:t xml:space="preserve">[2]  </w:t>
      </w:r>
      <w:r>
        <w:rPr>
          <w:rFonts w:ascii="Calibri" w:hAnsi="Calibri"/>
          <w:sz w:val="22"/>
        </w:rPr>
        <w:t>Cipollina, A., Brucato, A., Grisafi, F. &amp; Nicosia, S. (2005). “Bench-Scale Investigation of Inclined Dense Jets.” Journal of Hydraulic Engineering 131(11): 1017–1022.</w:t>
      </w:r>
    </w:p>
    <w:p>
      <w:pPr>
        <w:pStyle w:val="ListBullet2"/>
        <w:spacing w:after="20"/>
      </w:pPr>
      <w:r>
        <w:rPr>
          <w:rFonts w:ascii="Calibri" w:hAnsi="Calibri"/>
          <w:b/>
          <w:sz w:val="20"/>
        </w:rPr>
        <w:t xml:space="preserve">Used for: </w:t>
      </w:r>
      <w:r>
        <w:rPr>
          <w:rFonts w:ascii="Calibri" w:hAnsi="Calibri"/>
          <w:sz w:val="20"/>
        </w:rPr>
        <w:t>Independent laboratory confirmation of the inclined dense-jet rise/dilution scaling.</w:t>
      </w:r>
    </w:p>
    <w:p>
      <w:pPr>
        <w:pStyle w:val="ListBullet2"/>
        <w:spacing w:after="160"/>
      </w:pPr>
      <w:r>
        <w:rPr>
          <w:rFonts w:ascii="Calibri" w:hAnsi="Calibri"/>
          <w:b/>
          <w:sz w:val="20"/>
        </w:rPr>
        <w:t xml:space="preserve">Reference value / NEREID-B: </w:t>
      </w:r>
      <w:r>
        <w:rPr>
          <w:rFonts w:ascii="Calibri" w:hAnsi="Calibri"/>
          <w:sz w:val="20"/>
        </w:rPr>
        <w:t>Consistent with the 2.1–2.8 rise band used by the solver.</w:t>
      </w:r>
    </w:p>
    <w:p>
      <w:pPr>
        <w:spacing w:after="40"/>
      </w:pPr>
      <w:r>
        <w:rPr>
          <w:rFonts w:ascii="Calibri" w:hAnsi="Calibri"/>
          <w:b/>
          <w:sz w:val="22"/>
        </w:rPr>
        <w:t xml:space="preserve">[3]  </w:t>
      </w:r>
      <w:r>
        <w:rPr>
          <w:rFonts w:ascii="Calibri" w:hAnsi="Calibri"/>
          <w:sz w:val="22"/>
        </w:rPr>
        <w:t>Lai, C.C.K. &amp; Lee, J.H.W. (2012). “Mixing of inclined dense jets in stationary ambient.” Journal of Hydro-environment Research 6(1): 9–28.</w:t>
      </w:r>
    </w:p>
    <w:p>
      <w:pPr>
        <w:pStyle w:val="ListBullet2"/>
        <w:spacing w:after="20"/>
      </w:pPr>
      <w:r>
        <w:rPr>
          <w:rFonts w:ascii="Calibri" w:hAnsi="Calibri"/>
          <w:b/>
          <w:sz w:val="20"/>
        </w:rPr>
        <w:t xml:space="preserve">Used for: </w:t>
      </w:r>
      <w:r>
        <w:rPr>
          <w:rFonts w:ascii="Calibri" w:hAnsi="Calibri"/>
          <w:sz w:val="20"/>
        </w:rPr>
        <w:t>Supporting near-field trajectory/dilution scaling across Froude numbers and angles.</w:t>
      </w:r>
    </w:p>
    <w:p>
      <w:pPr>
        <w:pStyle w:val="ListBullet2"/>
        <w:spacing w:after="160"/>
      </w:pPr>
      <w:r>
        <w:rPr>
          <w:rFonts w:ascii="Calibri" w:hAnsi="Calibri"/>
          <w:b/>
          <w:sz w:val="20"/>
        </w:rPr>
        <w:t xml:space="preserve">Reference value / NEREID-B: </w:t>
      </w:r>
      <w:r>
        <w:rPr>
          <w:rFonts w:ascii="Calibri" w:hAnsi="Calibri"/>
          <w:sz w:val="20"/>
        </w:rPr>
        <w:t>Used to bound the angle factors in the near-field model.</w:t>
      </w:r>
    </w:p>
    <w:p>
      <w:pPr>
        <w:spacing w:after="40"/>
      </w:pPr>
      <w:r>
        <w:rPr>
          <w:rFonts w:ascii="Calibri" w:hAnsi="Calibri"/>
          <w:b/>
          <w:sz w:val="22"/>
        </w:rPr>
        <w:t xml:space="preserve">[4]  </w:t>
      </w:r>
      <w:r>
        <w:rPr>
          <w:rFonts w:ascii="Calibri" w:hAnsi="Calibri"/>
          <w:sz w:val="22"/>
        </w:rPr>
        <w:t>Abessi, O. &amp; Roberts, P.J.W. (2014). “Multiport Diffusers for Dense Discharges.” Journal of Hydraulic Engineering 140(8): 04014032.  (cited in the WA EPA report as “Roberts and Abessi (2014)”).</w:t>
      </w:r>
    </w:p>
    <w:p>
      <w:pPr>
        <w:pStyle w:val="ListBullet2"/>
        <w:spacing w:after="20"/>
      </w:pPr>
      <w:r>
        <w:rPr>
          <w:rFonts w:ascii="Calibri" w:hAnsi="Calibri"/>
          <w:b/>
          <w:sz w:val="20"/>
        </w:rPr>
        <w:t xml:space="preserve">Used for: </w:t>
      </w:r>
      <w:r>
        <w:rPr>
          <w:rFonts w:ascii="Calibri" w:hAnsi="Calibri"/>
          <w:sz w:val="20"/>
        </w:rPr>
        <w:t>Quantitative near-field DILUTION benchmark for a multiport diffuser at Fr = 34.5 — the same scaling the WA EPA Perth model validates against (its Table 3-3).</w:t>
      </w:r>
    </w:p>
    <w:p>
      <w:pPr>
        <w:pStyle w:val="ListBullet2"/>
        <w:spacing w:after="160"/>
      </w:pPr>
      <w:r>
        <w:rPr>
          <w:rFonts w:ascii="Calibri" w:hAnsi="Calibri"/>
          <w:b/>
          <w:sz w:val="20"/>
        </w:rPr>
        <w:t xml:space="preserve">Reference value / NEREID-B: </w:t>
      </w:r>
      <w:r>
        <w:rPr>
          <w:rFonts w:ascii="Calibri" w:hAnsi="Calibri"/>
          <w:sz w:val="20"/>
        </w:rPr>
        <w:t>Impact dilution S_i = 27.7, near-field-end S_n = 33.8; NEREID-B 28.7 (~3.5%).</w:t>
      </w:r>
    </w:p>
    <w:p>
      <w:pPr>
        <w:pStyle w:val="Heading1"/>
      </w:pPr>
      <w:r>
        <w:t>B.  Far-field reference — Perth SWRO real-site data (primary)</w:t>
      </w:r>
    </w:p>
    <w:p>
      <w:pPr>
        <w:spacing w:after="120"/>
      </w:pPr>
      <w:r>
        <w:rPr>
          <w:rFonts w:ascii="Calibri" w:hAnsi="Calibri"/>
          <w:b w:val="0"/>
          <w:i w:val="0"/>
          <w:sz w:val="22"/>
        </w:rPr>
        <w:t>The far field is benchmarked against the Perth Seawater Desalination Plant in Cockburn Sound, Western Australia — an efficient submerged diffuser matching the solver's discharge class. NOTE: this is a reference comparison, not a field validation. With the corrected k-epsilon buoyancy term the model predicts ~35:1 at 50 m versus the documented 45:1 — under-predicting dilution by ~22 %, which is conservative (it over-predicts impact). An earlier build's ~2.3 % match to the 45:1 figure was a numerical artifact (discretisation error plus a k-epsilon buoyancy sign bug partly cancelling) and has been withdrawn. Field validation would require an in-class multi-point CTD/ADCP transect.</w:t>
      </w:r>
    </w:p>
    <w:p>
      <w:pPr>
        <w:spacing w:after="40"/>
      </w:pPr>
      <w:r>
        <w:rPr>
          <w:rFonts w:ascii="Calibri" w:hAnsi="Calibri"/>
          <w:b/>
          <w:sz w:val="22"/>
        </w:rPr>
        <w:t xml:space="preserve">[5]  </w:t>
      </w:r>
      <w:r>
        <w:rPr>
          <w:rFonts w:ascii="Calibri" w:hAnsi="Calibri"/>
          <w:sz w:val="22"/>
        </w:rPr>
        <w:t>BMT / Oceanica for the Water Corporation of Western Australia. “Perth Desalination Plant Discharge Modelling: Model Validation.” Appendix D (Parts 1 &amp; 2) of the Perth Seawater Desalination Plant 2 referral documentation, Western Australian Environmental Protection Authority (EPA).</w:t>
      </w:r>
    </w:p>
    <w:p>
      <w:pPr>
        <w:pStyle w:val="ListBullet2"/>
        <w:spacing w:after="20"/>
      </w:pPr>
      <w:r>
        <w:rPr>
          <w:rFonts w:ascii="Calibri" w:hAnsi="Calibri"/>
          <w:b/>
          <w:sz w:val="20"/>
        </w:rPr>
        <w:t xml:space="preserve">Used for: </w:t>
      </w:r>
      <w:r>
        <w:rPr>
          <w:rFonts w:ascii="Calibri" w:hAnsi="Calibri"/>
          <w:sz w:val="20"/>
        </w:rPr>
        <w:t>AUTHORITATIVE diffuser engineering specifications (45 GL/yr, 45% recovery, ~163 m double-tee diffuser, 40 × 0.13 m ports at 60°, discharge 2.51 m³/s, discharge salinity 61.4 into ambient 36.5); the documented 45:1 dilution at 50 m design/compliance target; and the near-field dilution Tables 3-3/3-4.</w:t>
      </w:r>
    </w:p>
    <w:p>
      <w:pPr>
        <w:pStyle w:val="ListBullet2"/>
        <w:spacing w:after="160"/>
      </w:pPr>
      <w:r>
        <w:rPr>
          <w:rFonts w:ascii="Calibri" w:hAnsi="Calibri"/>
          <w:b/>
          <w:sz w:val="20"/>
        </w:rPr>
        <w:t xml:space="preserve">Reference value / NEREID-B: </w:t>
      </w:r>
      <w:r>
        <w:rPr>
          <w:rFonts w:ascii="Calibri" w:hAnsi="Calibri"/>
          <w:sz w:val="20"/>
        </w:rPr>
        <w:t>Design/compliance dilution 45:1 @ 50 m; NEREID-B (corrected k-epsilon buoyancy) predicts ~35:1 @ 50 m — conservative, ~22% under the documented 45:1, NOT field-validated. The far field reaches 45:1 only farther downfield. Near-field-end (25.4 m) CFD 33.6 / field ≈ 50.</w:t>
      </w:r>
    </w:p>
    <w:p>
      <w:pPr>
        <w:spacing w:after="40"/>
      </w:pPr>
      <w:r>
        <w:rPr>
          <w:rFonts w:ascii="Calibri" w:hAnsi="Calibri"/>
          <w:b/>
          <w:sz w:val="22"/>
        </w:rPr>
        <w:t xml:space="preserve">[6]  </w:t>
      </w:r>
      <w:r>
        <w:rPr>
          <w:rFonts w:ascii="Calibri" w:hAnsi="Calibri"/>
          <w:sz w:val="22"/>
        </w:rPr>
        <w:t>Water Corporation of Western Australia. “Perth Seawater Desalination Plant.” Operational and environmental information. https://www.watercorporation.com.au/our-water/desalination/perth-seawater-desalination-plant</w:t>
      </w:r>
    </w:p>
    <w:p>
      <w:pPr>
        <w:pStyle w:val="ListBullet2"/>
        <w:spacing w:after="20"/>
      </w:pPr>
      <w:r>
        <w:rPr>
          <w:rFonts w:ascii="Calibri" w:hAnsi="Calibri"/>
          <w:b/>
          <w:sz w:val="20"/>
        </w:rPr>
        <w:t xml:space="preserve">Used for: </w:t>
      </w:r>
      <w:r>
        <w:rPr>
          <w:rFonts w:ascii="Calibri" w:hAnsi="Calibri"/>
          <w:sz w:val="20"/>
        </w:rPr>
        <w:t>Plant capacity, recovery and discharge context used to build the faithful Perth diffuser configuration.</w:t>
      </w:r>
    </w:p>
    <w:p>
      <w:pPr>
        <w:pStyle w:val="ListBullet2"/>
        <w:spacing w:after="160"/>
      </w:pPr>
      <w:r>
        <w:rPr>
          <w:rFonts w:ascii="Calibri" w:hAnsi="Calibri"/>
          <w:b/>
          <w:sz w:val="20"/>
        </w:rPr>
        <w:t xml:space="preserve">Reference value / NEREID-B: </w:t>
      </w:r>
      <w:r>
        <w:rPr>
          <w:rFonts w:ascii="Calibri" w:hAnsi="Calibri"/>
          <w:sz w:val="20"/>
        </w:rPr>
        <w:t>45 GL/yr; ambient ≈ 36.5; reject ≈ 61–65.</w:t>
      </w:r>
    </w:p>
    <w:p>
      <w:pPr>
        <w:spacing w:after="40"/>
      </w:pPr>
      <w:r>
        <w:rPr>
          <w:rFonts w:ascii="Calibri" w:hAnsi="Calibri"/>
          <w:b/>
          <w:sz w:val="22"/>
        </w:rPr>
        <w:t xml:space="preserve">[7]  </w:t>
      </w:r>
      <w:r>
        <w:rPr>
          <w:rFonts w:ascii="Calibri" w:hAnsi="Calibri"/>
          <w:sz w:val="22"/>
        </w:rPr>
        <w:t>Marti, C.L., Antenucci, J.P., Luketina, D., Okely, P. &amp; Imberger, J. (2011). “Near-Field Dilution Characteristics of a Negatively Buoyant Hypersaline Jet Generated by a Desalination Plant.” Journal of Hydraulic Engineering 137(1): 57–65.</w:t>
      </w:r>
    </w:p>
    <w:p>
      <w:pPr>
        <w:pStyle w:val="ListBullet2"/>
        <w:spacing w:after="20"/>
      </w:pPr>
      <w:r>
        <w:rPr>
          <w:rFonts w:ascii="Calibri" w:hAnsi="Calibri"/>
          <w:b/>
          <w:sz w:val="20"/>
        </w:rPr>
        <w:t xml:space="preserve">Used for: </w:t>
      </w:r>
      <w:r>
        <w:rPr>
          <w:rFonts w:ascii="Calibri" w:hAnsi="Calibri"/>
          <w:sz w:val="20"/>
        </w:rPr>
        <w:t>Field validation of the Perth near-field dilution (supports the near-field correlation against in-situ measurements).</w:t>
      </w:r>
    </w:p>
    <w:p>
      <w:pPr>
        <w:pStyle w:val="ListBullet2"/>
        <w:spacing w:after="160"/>
      </w:pPr>
      <w:r>
        <w:rPr>
          <w:rFonts w:ascii="Calibri" w:hAnsi="Calibri"/>
          <w:b/>
          <w:sz w:val="20"/>
        </w:rPr>
        <w:t xml:space="preserve">Reference value / NEREID-B: </w:t>
      </w:r>
      <w:r>
        <w:rPr>
          <w:rFonts w:ascii="Calibri" w:hAnsi="Calibri"/>
          <w:sz w:val="20"/>
        </w:rPr>
        <w:t>Confirms near-field dilution of the Perth diffuser consistent with the scaling used.</w:t>
      </w:r>
    </w:p>
    <w:p>
      <w:pPr>
        <w:pStyle w:val="Heading1"/>
      </w:pPr>
      <w:r>
        <w:t>C.  Mediterranean field datasets — contrast (out-of-class boundary)</w:t>
      </w:r>
    </w:p>
    <w:p>
      <w:pPr>
        <w:spacing w:after="120"/>
      </w:pPr>
      <w:r>
        <w:rPr>
          <w:rFonts w:ascii="Calibri" w:hAnsi="Calibri"/>
          <w:b w:val="0"/>
          <w:i w:val="0"/>
          <w:sz w:val="22"/>
        </w:rPr>
        <w:t>These measured transects from poorly-diffused Mediterranean surface discharges were used to test the solver's limits; they define the discharge-class boundary of the validated envelope (the solver cannot represent shallow surface discharges).</w:t>
      </w:r>
    </w:p>
    <w:p>
      <w:pPr>
        <w:spacing w:after="40"/>
      </w:pPr>
      <w:r>
        <w:rPr>
          <w:rFonts w:ascii="Calibri" w:hAnsi="Calibri"/>
          <w:b/>
          <w:sz w:val="22"/>
        </w:rPr>
        <w:t xml:space="preserve">[8]  </w:t>
      </w:r>
      <w:r>
        <w:rPr>
          <w:rFonts w:ascii="Calibri" w:hAnsi="Calibri"/>
          <w:sz w:val="22"/>
        </w:rPr>
        <w:t>Gacia, E., Invers, O., Manzanera, M., Ballesteros, E. &amp; Romero, J. (2007). “Impact of the brine from a desalination plant on a shallow seagrass (Posidonia oceanica) meadow.” Estuarine, Coastal and Shelf Science 72(4): 579–590. doi:10.1016/j.ecss.2006.11.021.</w:t>
      </w:r>
    </w:p>
    <w:p>
      <w:pPr>
        <w:pStyle w:val="ListBullet2"/>
        <w:spacing w:after="20"/>
      </w:pPr>
      <w:r>
        <w:rPr>
          <w:rFonts w:ascii="Calibri" w:hAnsi="Calibri"/>
          <w:b/>
          <w:sz w:val="20"/>
        </w:rPr>
        <w:t xml:space="preserve">Used for: </w:t>
      </w:r>
      <w:r>
        <w:rPr>
          <w:rFonts w:ascii="Calibri" w:hAnsi="Calibri"/>
          <w:sz w:val="20"/>
        </w:rPr>
        <w:t>Measured far-field excess-salinity transect (ΔS = 5.0/2.5/1.0 ppt at 10/20/30 m) used to probe the far-field decay length; established that this surface-discharge class is outside the solver's representable envelope.</w:t>
      </w:r>
    </w:p>
    <w:p>
      <w:pPr>
        <w:pStyle w:val="ListBullet2"/>
        <w:spacing w:after="160"/>
      </w:pPr>
      <w:r>
        <w:rPr>
          <w:rFonts w:ascii="Calibri" w:hAnsi="Calibri"/>
          <w:b/>
          <w:sz w:val="20"/>
        </w:rPr>
        <w:t xml:space="preserve">Reference value / NEREID-B: </w:t>
      </w:r>
      <w:r>
        <w:rPr>
          <w:rFonts w:ascii="Calibri" w:hAnsi="Calibri"/>
          <w:sz w:val="20"/>
        </w:rPr>
        <w:t>Observed decay length ≈ 12 m vs modeled ≈ 23 m (grid-converged) — config mismatch, not a solver defect.</w:t>
      </w:r>
    </w:p>
    <w:p>
      <w:pPr>
        <w:spacing w:after="40"/>
      </w:pPr>
      <w:r>
        <w:rPr>
          <w:rFonts w:ascii="Calibri" w:hAnsi="Calibri"/>
          <w:b/>
          <w:sz w:val="22"/>
        </w:rPr>
        <w:t xml:space="preserve">[9]  </w:t>
      </w:r>
      <w:r>
        <w:rPr>
          <w:rFonts w:ascii="Calibri" w:hAnsi="Calibri"/>
          <w:sz w:val="22"/>
        </w:rPr>
        <w:t>Fernández-Torquemada, Y., Sánchez-Lizaso, J.L. &amp; González-Correa, J.M. (2005). “Preliminary results of the monitoring of the brine discharge produced by the SWRO desalination plant of Alicante (SE Spain).” Desalination 182: 395–402.</w:t>
      </w:r>
    </w:p>
    <w:p>
      <w:pPr>
        <w:pStyle w:val="ListBullet2"/>
        <w:spacing w:after="20"/>
      </w:pPr>
      <w:r>
        <w:rPr>
          <w:rFonts w:ascii="Calibri" w:hAnsi="Calibri"/>
          <w:b/>
          <w:sz w:val="20"/>
        </w:rPr>
        <w:t xml:space="preserve">Used for: </w:t>
      </w:r>
      <w:r>
        <w:rPr>
          <w:rFonts w:ascii="Calibri" w:hAnsi="Calibri"/>
          <w:sz w:val="20"/>
        </w:rPr>
        <w:t>Documented SWRO reject salinity and Mediterranean ambient used as cross-check values.</w:t>
      </w:r>
    </w:p>
    <w:p>
      <w:pPr>
        <w:pStyle w:val="ListBullet2"/>
        <w:spacing w:after="160"/>
      </w:pPr>
      <w:r>
        <w:rPr>
          <w:rFonts w:ascii="Calibri" w:hAnsi="Calibri"/>
          <w:b/>
          <w:sz w:val="20"/>
        </w:rPr>
        <w:t xml:space="preserve">Reference value / NEREID-B: </w:t>
      </w:r>
      <w:r>
        <w:rPr>
          <w:rFonts w:ascii="Calibri" w:hAnsi="Calibri"/>
          <w:sz w:val="20"/>
        </w:rPr>
        <w:t>Reject S0 ≈ 68; ambient ≈ 37.5.</w:t>
      </w:r>
    </w:p>
    <w:p>
      <w:pPr>
        <w:pStyle w:val="Heading1"/>
      </w:pPr>
      <w:r>
        <w:t>D.  Regulatory mixing-zone criteria</w:t>
      </w:r>
    </w:p>
    <w:p>
      <w:pPr>
        <w:spacing w:after="40"/>
      </w:pPr>
      <w:r>
        <w:rPr>
          <w:rFonts w:ascii="Calibri" w:hAnsi="Calibri"/>
          <w:b/>
          <w:sz w:val="22"/>
        </w:rPr>
        <w:t xml:space="preserve">[10]  </w:t>
      </w:r>
      <w:r>
        <w:rPr>
          <w:rFonts w:ascii="Calibri" w:hAnsi="Calibri"/>
          <w:sz w:val="22"/>
        </w:rPr>
        <w:t>Western Australian EPA — Perth / Cockburn Sound brine-discharge licence criteria.</w:t>
      </w:r>
    </w:p>
    <w:p>
      <w:pPr>
        <w:pStyle w:val="ListBullet2"/>
        <w:spacing w:after="20"/>
      </w:pPr>
      <w:r>
        <w:rPr>
          <w:rFonts w:ascii="Calibri" w:hAnsi="Calibri"/>
          <w:b/>
          <w:sz w:val="20"/>
        </w:rPr>
        <w:t xml:space="preserve">Used for: </w:t>
      </w:r>
      <w:r>
        <w:rPr>
          <w:rFonts w:ascii="Calibri" w:hAnsi="Calibri"/>
          <w:sz w:val="20"/>
        </w:rPr>
        <w:t>Regulatory mixing-zone limits used as the compliance benchmark.</w:t>
      </w:r>
    </w:p>
    <w:p>
      <w:pPr>
        <w:pStyle w:val="ListBullet2"/>
        <w:spacing w:after="160"/>
      </w:pPr>
      <w:r>
        <w:rPr>
          <w:rFonts w:ascii="Calibri" w:hAnsi="Calibri"/>
          <w:b/>
          <w:sz w:val="20"/>
        </w:rPr>
        <w:t xml:space="preserve">Reference value / NEREID-B: </w:t>
      </w:r>
      <w:r>
        <w:rPr>
          <w:rFonts w:ascii="Calibri" w:hAnsi="Calibri"/>
          <w:sz w:val="20"/>
        </w:rPr>
        <w:t>ΔS &lt; 1.2 ppt within 50 m and &lt; 0.8 ppt within 1000 m of the diffuser.</w:t>
      </w:r>
    </w:p>
    <w:p>
      <w:pPr>
        <w:pStyle w:val="Heading1"/>
      </w:pPr>
      <w:r>
        <w:t>E.  Consolidated validation cross-check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736"/>
            <w:shd w:val="clear" w:color="auto" w:fill="1F4E79"/>
          </w:tcPr>
          <w:p>
            <w:r/>
            <w:r>
              <w:rPr>
                <w:rFonts w:ascii="Calibri" w:hAnsi="Calibri"/>
                <w:b/>
                <w:color w:val="FFFFFF"/>
                <w:sz w:val="18"/>
              </w:rPr>
              <w:t>Validated quantity</w:t>
            </w:r>
          </w:p>
        </w:tc>
        <w:tc>
          <w:tcPr>
            <w:tcW w:type="dxa" w:w="2736"/>
            <w:shd w:val="clear" w:color="auto" w:fill="1F4E79"/>
          </w:tcPr>
          <w:p>
            <w:r/>
            <w:r>
              <w:rPr>
                <w:rFonts w:ascii="Calibri" w:hAnsi="Calibri"/>
                <w:b/>
                <w:color w:val="FFFFFF"/>
                <w:sz w:val="18"/>
              </w:rPr>
              <w:t>Source</w:t>
            </w:r>
          </w:p>
        </w:tc>
        <w:tc>
          <w:tcPr>
            <w:tcW w:type="dxa" w:w="1440"/>
            <w:shd w:val="clear" w:color="auto" w:fill="1F4E79"/>
          </w:tcPr>
          <w:p>
            <w:r/>
            <w:r>
              <w:rPr>
                <w:rFonts w:ascii="Calibri" w:hAnsi="Calibri"/>
                <w:b/>
                <w:color w:val="FFFFFF"/>
                <w:sz w:val="18"/>
              </w:rPr>
              <w:t>Reference</w:t>
            </w:r>
          </w:p>
        </w:tc>
        <w:tc>
          <w:tcPr>
            <w:tcW w:type="dxa" w:w="1296"/>
            <w:shd w:val="clear" w:color="auto" w:fill="1F4E79"/>
          </w:tcPr>
          <w:p>
            <w:r/>
            <w:r>
              <w:rPr>
                <w:rFonts w:ascii="Calibri" w:hAnsi="Calibri"/>
                <w:b/>
                <w:color w:val="FFFFFF"/>
                <w:sz w:val="18"/>
              </w:rPr>
              <w:t>NEREID-B</w:t>
            </w:r>
          </w:p>
        </w:tc>
        <w:tc>
          <w:tcPr>
            <w:tcW w:type="dxa" w:w="1584"/>
            <w:shd w:val="clear" w:color="auto" w:fill="1F4E79"/>
          </w:tcPr>
          <w:p>
            <w:r/>
            <w:r>
              <w:rPr>
                <w:rFonts w:ascii="Calibri" w:hAnsi="Calibri"/>
                <w:b/>
                <w:color w:val="FFFFFF"/>
                <w:sz w:val="18"/>
              </w:rPr>
              <w:t>Agreement</w:t>
            </w:r>
          </w:p>
        </w:tc>
      </w:tr>
      <w:tr>
        <w:tc>
          <w:tcPr>
            <w:tcW w:type="dxa" w:w="2736"/>
          </w:tcPr>
          <w:p>
            <w:r/>
            <w:r>
              <w:rPr>
                <w:rFonts w:ascii="Calibri" w:hAnsi="Calibri"/>
                <w:sz w:val="18"/>
              </w:rPr>
              <w:t>Near-field rise ratio</w:t>
            </w:r>
          </w:p>
        </w:tc>
        <w:tc>
          <w:tcPr>
            <w:tcW w:type="dxa" w:w="2736"/>
          </w:tcPr>
          <w:p>
            <w:r/>
            <w:r>
              <w:rPr>
                <w:rFonts w:ascii="Calibri" w:hAnsi="Calibri"/>
                <w:sz w:val="18"/>
              </w:rPr>
              <w:t>Roberts 1997 / Cipollina 2005 [1,2]</w:t>
            </w:r>
          </w:p>
        </w:tc>
        <w:tc>
          <w:tcPr>
            <w:tcW w:type="dxa" w:w="1440"/>
          </w:tcPr>
          <w:p>
            <w:r/>
            <w:r>
              <w:rPr>
                <w:rFonts w:ascii="Calibri" w:hAnsi="Calibri"/>
                <w:sz w:val="18"/>
              </w:rPr>
              <w:t>2.1–2.8</w:t>
            </w:r>
          </w:p>
        </w:tc>
        <w:tc>
          <w:tcPr>
            <w:tcW w:type="dxa" w:w="1296"/>
          </w:tcPr>
          <w:p>
            <w:r/>
            <w:r>
              <w:rPr>
                <w:rFonts w:ascii="Calibri" w:hAnsi="Calibri"/>
                <w:sz w:val="18"/>
              </w:rPr>
              <w:t>2.20</w:t>
            </w:r>
          </w:p>
        </w:tc>
        <w:tc>
          <w:tcPr>
            <w:tcW w:type="dxa" w:w="1584"/>
          </w:tcPr>
          <w:p>
            <w:r/>
            <w:r>
              <w:rPr>
                <w:rFonts w:ascii="Calibri" w:hAnsi="Calibri"/>
                <w:sz w:val="18"/>
              </w:rPr>
              <w:t>PASS</w:t>
            </w:r>
          </w:p>
        </w:tc>
      </w:tr>
      <w:tr>
        <w:tc>
          <w:tcPr>
            <w:tcW w:type="dxa" w:w="2736"/>
          </w:tcPr>
          <w:p>
            <w:r/>
            <w:r>
              <w:rPr>
                <w:rFonts w:ascii="Calibri" w:hAnsi="Calibri"/>
                <w:sz w:val="18"/>
              </w:rPr>
              <w:t>Near-field impact dilution</w:t>
            </w:r>
          </w:p>
        </w:tc>
        <w:tc>
          <w:tcPr>
            <w:tcW w:type="dxa" w:w="2736"/>
          </w:tcPr>
          <w:p>
            <w:r/>
            <w:r>
              <w:rPr>
                <w:rFonts w:ascii="Calibri" w:hAnsi="Calibri"/>
                <w:sz w:val="18"/>
              </w:rPr>
              <w:t>Abessi &amp; Roberts 2014 [4]</w:t>
            </w:r>
          </w:p>
        </w:tc>
        <w:tc>
          <w:tcPr>
            <w:tcW w:type="dxa" w:w="1440"/>
          </w:tcPr>
          <w:p>
            <w:r/>
            <w:r>
              <w:rPr>
                <w:rFonts w:ascii="Calibri" w:hAnsi="Calibri"/>
                <w:sz w:val="18"/>
              </w:rPr>
              <w:t>27.7</w:t>
            </w:r>
          </w:p>
        </w:tc>
        <w:tc>
          <w:tcPr>
            <w:tcW w:type="dxa" w:w="1296"/>
          </w:tcPr>
          <w:p>
            <w:r/>
            <w:r>
              <w:rPr>
                <w:rFonts w:ascii="Calibri" w:hAnsi="Calibri"/>
                <w:sz w:val="18"/>
              </w:rPr>
              <w:t>28.7</w:t>
            </w:r>
          </w:p>
        </w:tc>
        <w:tc>
          <w:tcPr>
            <w:tcW w:type="dxa" w:w="1584"/>
          </w:tcPr>
          <w:p>
            <w:r/>
            <w:r>
              <w:rPr>
                <w:rFonts w:ascii="Calibri" w:hAnsi="Calibri"/>
                <w:sz w:val="18"/>
              </w:rPr>
              <w:t>~3.5%</w:t>
            </w:r>
          </w:p>
        </w:tc>
      </w:tr>
      <w:tr>
        <w:tc>
          <w:tcPr>
            <w:tcW w:type="dxa" w:w="2736"/>
          </w:tcPr>
          <w:p>
            <w:r/>
            <w:r>
              <w:rPr>
                <w:rFonts w:ascii="Calibri" w:hAnsi="Calibri"/>
                <w:sz w:val="18"/>
              </w:rPr>
              <w:t>Near-field-end dilution (25.4 m)</w:t>
            </w:r>
          </w:p>
        </w:tc>
        <w:tc>
          <w:tcPr>
            <w:tcW w:type="dxa" w:w="2736"/>
          </w:tcPr>
          <w:p>
            <w:r/>
            <w:r>
              <w:rPr>
                <w:rFonts w:ascii="Calibri" w:hAnsi="Calibri"/>
                <w:sz w:val="18"/>
              </w:rPr>
              <w:t>WA EPA App D [5]</w:t>
            </w:r>
          </w:p>
        </w:tc>
        <w:tc>
          <w:tcPr>
            <w:tcW w:type="dxa" w:w="1440"/>
          </w:tcPr>
          <w:p>
            <w:r/>
            <w:r>
              <w:rPr>
                <w:rFonts w:ascii="Calibri" w:hAnsi="Calibri"/>
                <w:sz w:val="18"/>
              </w:rPr>
              <w:t>33.6–33.8</w:t>
            </w:r>
          </w:p>
        </w:tc>
        <w:tc>
          <w:tcPr>
            <w:tcW w:type="dxa" w:w="1296"/>
          </w:tcPr>
          <w:p>
            <w:r/>
            <w:r>
              <w:rPr>
                <w:rFonts w:ascii="Calibri" w:hAnsi="Calibri"/>
                <w:sz w:val="18"/>
              </w:rPr>
              <w:t>26.9</w:t>
            </w:r>
          </w:p>
        </w:tc>
        <w:tc>
          <w:tcPr>
            <w:tcW w:type="dxa" w:w="1584"/>
          </w:tcPr>
          <w:p>
            <w:r/>
            <w:r>
              <w:rPr>
                <w:rFonts w:ascii="Calibri" w:hAnsi="Calibri"/>
                <w:sz w:val="18"/>
              </w:rPr>
              <w:t>conservative</w:t>
            </w:r>
          </w:p>
        </w:tc>
      </w:tr>
      <w:tr>
        <w:tc>
          <w:tcPr>
            <w:tcW w:type="dxa" w:w="2736"/>
          </w:tcPr>
          <w:p>
            <w:r/>
            <w:r>
              <w:rPr>
                <w:rFonts w:ascii="Calibri" w:hAnsi="Calibri"/>
                <w:sz w:val="18"/>
              </w:rPr>
              <w:t>Far-field dilution @ 50 m</w:t>
            </w:r>
          </w:p>
        </w:tc>
        <w:tc>
          <w:tcPr>
            <w:tcW w:type="dxa" w:w="2736"/>
          </w:tcPr>
          <w:p>
            <w:r/>
            <w:r>
              <w:rPr>
                <w:rFonts w:ascii="Calibri" w:hAnsi="Calibri"/>
                <w:sz w:val="18"/>
              </w:rPr>
              <w:t>Perth design/compliance [5]</w:t>
            </w:r>
          </w:p>
        </w:tc>
        <w:tc>
          <w:tcPr>
            <w:tcW w:type="dxa" w:w="1440"/>
          </w:tcPr>
          <w:p>
            <w:r/>
            <w:r>
              <w:rPr>
                <w:rFonts w:ascii="Calibri" w:hAnsi="Calibri"/>
                <w:sz w:val="18"/>
              </w:rPr>
              <w:t>45:1</w:t>
            </w:r>
          </w:p>
        </w:tc>
        <w:tc>
          <w:tcPr>
            <w:tcW w:type="dxa" w:w="1296"/>
          </w:tcPr>
          <w:p>
            <w:r/>
            <w:r>
              <w:rPr>
                <w:rFonts w:ascii="Calibri" w:hAnsi="Calibri"/>
                <w:sz w:val="18"/>
              </w:rPr>
              <w:t>~35:1</w:t>
            </w:r>
          </w:p>
        </w:tc>
        <w:tc>
          <w:tcPr>
            <w:tcW w:type="dxa" w:w="1584"/>
          </w:tcPr>
          <w:p>
            <w:r/>
            <w:r>
              <w:rPr>
                <w:rFonts w:ascii="Calibri" w:hAnsi="Calibri"/>
                <w:sz w:val="18"/>
              </w:rPr>
              <w:t>conservative, ~22% under (not field-validated)</w:t>
            </w:r>
          </w:p>
        </w:tc>
      </w:tr>
      <w:tr>
        <w:tc>
          <w:tcPr>
            <w:tcW w:type="dxa" w:w="2736"/>
          </w:tcPr>
          <w:p>
            <w:r/>
            <w:r>
              <w:rPr>
                <w:rFonts w:ascii="Calibri" w:hAnsi="Calibri"/>
                <w:sz w:val="18"/>
              </w:rPr>
              <w:t>Lock-exchange front Froude</w:t>
            </w:r>
          </w:p>
        </w:tc>
        <w:tc>
          <w:tcPr>
            <w:tcW w:type="dxa" w:w="2736"/>
          </w:tcPr>
          <w:p>
            <w:r/>
            <w:r>
              <w:rPr>
                <w:rFonts w:ascii="Calibri" w:hAnsi="Calibri"/>
                <w:sz w:val="18"/>
              </w:rPr>
              <w:t>classical benchmark</w:t>
            </w:r>
          </w:p>
        </w:tc>
        <w:tc>
          <w:tcPr>
            <w:tcW w:type="dxa" w:w="1440"/>
          </w:tcPr>
          <w:p>
            <w:r/>
            <w:r>
              <w:rPr>
                <w:rFonts w:ascii="Calibri" w:hAnsi="Calibri"/>
                <w:sz w:val="18"/>
              </w:rPr>
              <w:t>≈0.5</w:t>
            </w:r>
          </w:p>
        </w:tc>
        <w:tc>
          <w:tcPr>
            <w:tcW w:type="dxa" w:w="1296"/>
          </w:tcPr>
          <w:p>
            <w:r/>
            <w:r>
              <w:rPr>
                <w:rFonts w:ascii="Calibri" w:hAnsi="Calibri"/>
                <w:sz w:val="18"/>
              </w:rPr>
              <w:t>0.40</w:t>
            </w:r>
          </w:p>
        </w:tc>
        <w:tc>
          <w:tcPr>
            <w:tcW w:type="dxa" w:w="1584"/>
          </w:tcPr>
          <w:p>
            <w:r/>
            <w:r>
              <w:rPr>
                <w:rFonts w:ascii="Calibri" w:hAnsi="Calibri"/>
                <w:sz w:val="18"/>
              </w:rPr>
              <w:t>indicative check</w:t>
            </w:r>
          </w:p>
        </w:tc>
      </w:tr>
      <w:tr>
        <w:tc>
          <w:tcPr>
            <w:tcW w:type="dxa" w:w="2736"/>
          </w:tcPr>
          <w:p>
            <w:r/>
            <w:r>
              <w:rPr>
                <w:rFonts w:ascii="Calibri" w:hAnsi="Calibri"/>
                <w:sz w:val="18"/>
              </w:rPr>
              <w:t>Mixing-zone limit @ 50 m</w:t>
            </w:r>
          </w:p>
        </w:tc>
        <w:tc>
          <w:tcPr>
            <w:tcW w:type="dxa" w:w="2736"/>
          </w:tcPr>
          <w:p>
            <w:r/>
            <w:r>
              <w:rPr>
                <w:rFonts w:ascii="Calibri" w:hAnsi="Calibri"/>
                <w:sz w:val="18"/>
              </w:rPr>
              <w:t>WA EPA criteria [10]</w:t>
            </w:r>
          </w:p>
        </w:tc>
        <w:tc>
          <w:tcPr>
            <w:tcW w:type="dxa" w:w="1440"/>
          </w:tcPr>
          <w:p>
            <w:r/>
            <w:r>
              <w:rPr>
                <w:rFonts w:ascii="Calibri" w:hAnsi="Calibri"/>
                <w:sz w:val="18"/>
              </w:rPr>
              <w:t>ΔS&lt;1.2 ppt</w:t>
            </w:r>
          </w:p>
        </w:tc>
        <w:tc>
          <w:tcPr>
            <w:tcW w:type="dxa" w:w="1296"/>
          </w:tcPr>
          <w:p>
            <w:r/>
            <w:r>
              <w:rPr>
                <w:rFonts w:ascii="Calibri" w:hAnsi="Calibri"/>
                <w:sz w:val="18"/>
              </w:rPr>
              <w:t>compliant</w:t>
            </w:r>
          </w:p>
        </w:tc>
        <w:tc>
          <w:tcPr>
            <w:tcW w:type="dxa" w:w="1584"/>
          </w:tcPr>
          <w:p>
            <w:r/>
            <w:r>
              <w:rPr>
                <w:rFonts w:ascii="Calibri" w:hAnsi="Calibri"/>
                <w:sz w:val="18"/>
              </w:rPr>
              <w:t>OK</w:t>
            </w:r>
          </w:p>
        </w:tc>
      </w:tr>
      <w:tr>
        <w:tc>
          <w:tcPr>
            <w:tcW w:type="dxa" w:w="2736"/>
          </w:tcPr>
          <w:p>
            <w:r/>
            <w:r>
              <w:rPr>
                <w:rFonts w:ascii="Calibri" w:hAnsi="Calibri"/>
                <w:sz w:val="18"/>
              </w:rPr>
              <w:t>Out-of-class far field</w:t>
            </w:r>
          </w:p>
        </w:tc>
        <w:tc>
          <w:tcPr>
            <w:tcW w:type="dxa" w:w="2736"/>
          </w:tcPr>
          <w:p>
            <w:r/>
            <w:r>
              <w:rPr>
                <w:rFonts w:ascii="Calibri" w:hAnsi="Calibri"/>
                <w:sz w:val="18"/>
              </w:rPr>
              <w:t>Gacia 2007 [8]</w:t>
            </w:r>
          </w:p>
        </w:tc>
        <w:tc>
          <w:tcPr>
            <w:tcW w:type="dxa" w:w="1440"/>
          </w:tcPr>
          <w:p>
            <w:r/>
            <w:r>
              <w:rPr>
                <w:rFonts w:ascii="Calibri" w:hAnsi="Calibri"/>
                <w:sz w:val="18"/>
              </w:rPr>
              <w:t>L≈12 m</w:t>
            </w:r>
          </w:p>
        </w:tc>
        <w:tc>
          <w:tcPr>
            <w:tcW w:type="dxa" w:w="1296"/>
          </w:tcPr>
          <w:p>
            <w:r/>
            <w:r>
              <w:rPr>
                <w:rFonts w:ascii="Calibri" w:hAnsi="Calibri"/>
                <w:sz w:val="18"/>
              </w:rPr>
              <w:t>L≈23 m</w:t>
            </w:r>
          </w:p>
        </w:tc>
        <w:tc>
          <w:tcPr>
            <w:tcW w:type="dxa" w:w="1584"/>
          </w:tcPr>
          <w:p>
            <w:r/>
            <w:r>
              <w:rPr>
                <w:rFonts w:ascii="Calibri" w:hAnsi="Calibri"/>
                <w:sz w:val="18"/>
              </w:rPr>
              <w:t>mismatch (noted)</w:t>
            </w:r>
          </w:p>
        </w:tc>
      </w:tr>
    </w:tbl>
    <w:p>
      <w:pPr>
        <w:spacing w:after="120"/>
      </w:pPr>
      <w:r>
        <w:rPr>
          <w:rFonts w:ascii="Calibri" w:hAnsi="Calibri"/>
          <w:b w:val="0"/>
          <w:i/>
          <w:color w:val="444444"/>
          <w:sz w:val="20"/>
        </w:rPr>
        <w:t>Summary: NEREID-B reproduces the laboratory near-field scaling (near field ~3.5 %) and is conservative at the 25.4 m near-field end. The FAR FIELD is NOT field-validated: with the corrected k-epsilon buoyancy term (stratification correctly damps turbulence) the model predicts ~35:1 at 50 m for Perth versus the documented 45:1, under-predicting dilution by ~22 % — a conservative bias that over-predicts impact, reaching 45:1 only farther downfield. An earlier build reported a ~2.3 % match to the 45:1 figure; that agreement was a numerical artifact (a discretisation error and a k-epsilon buoyancy sign bug partly cancelling) and does NOT survive an accurate solution, so it has been withdrawn. An independent lock-exchange benchmark gives a front Froude number ≈ 0.40 (near the textbook ~0.5). The far field is physically consistent and conservative but indicative only; rigorous validation requires an in-class multi-point CTD/ADCP transect. The Mediterranean surface-discharge cases lie outside the representable discharge class and are reported transparently as such.</w:t>
      </w:r>
    </w:p>
    <w:p>
      <w:pPr>
        <w:pStyle w:val="Heading1"/>
      </w:pPr>
      <w:r>
        <w:t>F.  Reference list</w:t>
      </w:r>
    </w:p>
    <w:p>
      <w:pPr>
        <w:spacing w:after="80"/>
      </w:pPr>
      <w:r>
        <w:rPr>
          <w:rFonts w:ascii="Calibri" w:hAnsi="Calibri"/>
          <w:b/>
          <w:sz w:val="20"/>
        </w:rPr>
        <w:t xml:space="preserve">[1]  </w:t>
      </w:r>
      <w:r>
        <w:rPr>
          <w:rFonts w:ascii="Calibri" w:hAnsi="Calibri"/>
          <w:sz w:val="20"/>
        </w:rPr>
        <w:t>Roberts, P.J.W., Ferrier, A. &amp; Daviero, G. (1997). Mixing in Inclined Dense Jets. J. Hydraulic Engineering 123(8): 693–699.</w:t>
      </w:r>
    </w:p>
    <w:p>
      <w:pPr>
        <w:spacing w:after="80"/>
      </w:pPr>
      <w:r>
        <w:rPr>
          <w:rFonts w:ascii="Calibri" w:hAnsi="Calibri"/>
          <w:b/>
          <w:sz w:val="20"/>
        </w:rPr>
        <w:t xml:space="preserve">[2]  </w:t>
      </w:r>
      <w:r>
        <w:rPr>
          <w:rFonts w:ascii="Calibri" w:hAnsi="Calibri"/>
          <w:sz w:val="20"/>
        </w:rPr>
        <w:t>Cipollina, A., Brucato, A., Grisafi, F. &amp; Nicosia, S. (2005). Bench-Scale Investigation of Inclined Dense Jets. J. Hydraulic Engineering 131(11): 1017–1022.</w:t>
      </w:r>
    </w:p>
    <w:p>
      <w:pPr>
        <w:spacing w:after="80"/>
      </w:pPr>
      <w:r>
        <w:rPr>
          <w:rFonts w:ascii="Calibri" w:hAnsi="Calibri"/>
          <w:b/>
          <w:sz w:val="20"/>
        </w:rPr>
        <w:t xml:space="preserve">[3]  </w:t>
      </w:r>
      <w:r>
        <w:rPr>
          <w:rFonts w:ascii="Calibri" w:hAnsi="Calibri"/>
          <w:sz w:val="20"/>
        </w:rPr>
        <w:t>Lai, C.C.K. &amp; Lee, J.H.W. (2012). Mixing of inclined dense jets in stationary ambient. J. Hydro-environment Research 6(1): 9–28.</w:t>
      </w:r>
    </w:p>
    <w:p>
      <w:pPr>
        <w:spacing w:after="80"/>
      </w:pPr>
      <w:r>
        <w:rPr>
          <w:rFonts w:ascii="Calibri" w:hAnsi="Calibri"/>
          <w:b/>
          <w:sz w:val="20"/>
        </w:rPr>
        <w:t xml:space="preserve">[4]  </w:t>
      </w:r>
      <w:r>
        <w:rPr>
          <w:rFonts w:ascii="Calibri" w:hAnsi="Calibri"/>
          <w:sz w:val="20"/>
        </w:rPr>
        <w:t>Abessi, O. &amp; Roberts, P.J.W. (2014). Multiport Diffusers for Dense Discharges. J. Hydraulic Engineering 140(8): 04014032.</w:t>
      </w:r>
    </w:p>
    <w:p>
      <w:pPr>
        <w:spacing w:after="80"/>
      </w:pPr>
      <w:r>
        <w:rPr>
          <w:rFonts w:ascii="Calibri" w:hAnsi="Calibri"/>
          <w:b/>
          <w:sz w:val="20"/>
        </w:rPr>
        <w:t xml:space="preserve">[5]  </w:t>
      </w:r>
      <w:r>
        <w:rPr>
          <w:rFonts w:ascii="Calibri" w:hAnsi="Calibri"/>
          <w:sz w:val="20"/>
        </w:rPr>
        <w:t>BMT/Oceanica for Water Corporation of WA. Perth Desalination Plant Discharge Modelling: Model Validation. Appendix D (Parts 1 &amp; 2), PSDP2 referral documentation, WA EPA. https://www.epa.wa.gov.au/sites/default/files/Referral_Documentation/App%20D_Marine%20Model%20Validation%20Report%20-%20Part1.pdf</w:t>
      </w:r>
    </w:p>
    <w:p>
      <w:pPr>
        <w:spacing w:after="80"/>
      </w:pPr>
      <w:r>
        <w:rPr>
          <w:rFonts w:ascii="Calibri" w:hAnsi="Calibri"/>
          <w:b/>
          <w:sz w:val="20"/>
        </w:rPr>
        <w:t xml:space="preserve">[6]  </w:t>
      </w:r>
      <w:r>
        <w:rPr>
          <w:rFonts w:ascii="Calibri" w:hAnsi="Calibri"/>
          <w:sz w:val="20"/>
        </w:rPr>
        <w:t>Water Corporation of Western Australia. Perth Seawater Desalination Plant. https://www.watercorporation.com.au/our-water/desalination/perth-seawater-desalination-plant</w:t>
      </w:r>
    </w:p>
    <w:p>
      <w:pPr>
        <w:spacing w:after="80"/>
      </w:pPr>
      <w:r>
        <w:rPr>
          <w:rFonts w:ascii="Calibri" w:hAnsi="Calibri"/>
          <w:b/>
          <w:sz w:val="20"/>
        </w:rPr>
        <w:t xml:space="preserve">[7]  </w:t>
      </w:r>
      <w:r>
        <w:rPr>
          <w:rFonts w:ascii="Calibri" w:hAnsi="Calibri"/>
          <w:sz w:val="20"/>
        </w:rPr>
        <w:t>Marti, C.L., Antenucci, J.P., Luketina, D., Okely, P. &amp; Imberger, J. (2011). Near-Field Dilution Characteristics of a Negatively Buoyant Hypersaline Jet Generated by a Desalination Plant. J. Hydraulic Engineering 137(1): 57–65.</w:t>
      </w:r>
    </w:p>
    <w:p>
      <w:pPr>
        <w:spacing w:after="80"/>
      </w:pPr>
      <w:r>
        <w:rPr>
          <w:rFonts w:ascii="Calibri" w:hAnsi="Calibri"/>
          <w:b/>
          <w:sz w:val="20"/>
        </w:rPr>
        <w:t xml:space="preserve">[8]  </w:t>
      </w:r>
      <w:r>
        <w:rPr>
          <w:rFonts w:ascii="Calibri" w:hAnsi="Calibri"/>
          <w:sz w:val="20"/>
        </w:rPr>
        <w:t>Gacia, E., Invers, O., Manzanera, M., Ballesteros, E. &amp; Romero, J. (2007). Impact of the brine from a desalination plant on a shallow seagrass (Posidonia oceanica) meadow. Estuarine, Coastal and Shelf Science 72(4): 579–590. doi:10.1016/j.ecss.2006.11.021.</w:t>
      </w:r>
    </w:p>
    <w:p>
      <w:pPr>
        <w:spacing w:after="80"/>
      </w:pPr>
      <w:r>
        <w:rPr>
          <w:rFonts w:ascii="Calibri" w:hAnsi="Calibri"/>
          <w:b/>
          <w:sz w:val="20"/>
        </w:rPr>
        <w:t xml:space="preserve">[9]  </w:t>
      </w:r>
      <w:r>
        <w:rPr>
          <w:rFonts w:ascii="Calibri" w:hAnsi="Calibri"/>
          <w:sz w:val="20"/>
        </w:rPr>
        <w:t>Fernández-Torquemada, Y., Sánchez-Lizaso, J.L. &amp; González-Correa, J.M. (2005). Preliminary results of the monitoring of the brine discharge produced by the SWRO desalination plant of Alicante (SE Spain). Desalination 182: 395–402.</w:t>
      </w:r>
    </w:p>
    <w:p>
      <w:pPr>
        <w:spacing w:after="80"/>
      </w:pPr>
      <w:r>
        <w:rPr>
          <w:rFonts w:ascii="Calibri" w:hAnsi="Calibri"/>
          <w:b/>
          <w:sz w:val="20"/>
        </w:rPr>
        <w:t xml:space="preserve">[10]  </w:t>
      </w:r>
      <w:r>
        <w:rPr>
          <w:rFonts w:ascii="Calibri" w:hAnsi="Calibri"/>
          <w:sz w:val="20"/>
        </w:rPr>
        <w:t>Western Australian EPA. Perth / Cockburn Sound brine-discharge licence criteria (ΔS &lt; 1.2 ppt within 50 m; &lt; 0.8 ppt within 1000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