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i w:val="0"/>
          <w:color w:val="555555"/>
          <w:sz w:val="26"/>
        </w:rPr>
        <w:t>DOCTORAL RESEARCH PROPOSAL (PhD)</w:t>
      </w:r>
    </w:p>
    <w:p>
      <w:pPr>
        <w:jc w:val="center"/>
      </w:pPr>
      <w:r>
        <w:rPr>
          <w:rFonts w:ascii="Calibri" w:hAnsi="Calibri"/>
          <w:b/>
          <w:color w:val="1F4E79"/>
          <w:sz w:val="44"/>
        </w:rPr>
        <w:t>Coupled Stochastic Partial-Differential-Equation Modelling of Salinity Dispersion from Submarine Brine Outfalls</w:t>
      </w:r>
    </w:p>
    <w:p>
      <w:pPr>
        <w:jc w:val="center"/>
      </w:pPr>
      <w:r>
        <w:rPr>
          <w:rFonts w:ascii="Calibri" w:hAnsi="Calibri"/>
          <w:i/>
          <w:sz w:val="28"/>
        </w:rPr>
        <w:t>Development, Validation and Application of the NEREID-B Framework for Near-Field and Far-Field Prediction of Desalination Brine Plumes</w:t>
      </w:r>
    </w:p>
    <w:p>
      <w:pPr>
        <w:spacing w:after="400"/>
      </w:pPr>
    </w:p>
    <w:p>
      <w:pPr>
        <w:spacing w:after="60"/>
        <w:jc w:val="center"/>
      </w:pPr>
      <w:r>
        <w:rPr>
          <w:rFonts w:ascii="Calibri" w:hAnsi="Calibri"/>
          <w:b/>
          <w:sz w:val="22"/>
        </w:rPr>
        <w:t xml:space="preserve">Discipline:  </w:t>
      </w:r>
      <w:r>
        <w:rPr>
          <w:rFonts w:ascii="Calibri" w:hAnsi="Calibri"/>
          <w:sz w:val="22"/>
        </w:rPr>
        <w:t>Environmental Fluid Mechanics / Computational Hydro-Environmental Engineering</w:t>
      </w:r>
    </w:p>
    <w:p>
      <w:pPr>
        <w:spacing w:after="60"/>
        <w:jc w:val="center"/>
      </w:pPr>
      <w:r>
        <w:rPr>
          <w:rFonts w:ascii="Calibri" w:hAnsi="Calibri"/>
          <w:b/>
          <w:sz w:val="22"/>
        </w:rPr>
        <w:t xml:space="preserve">Candidate:  </w:t>
      </w:r>
      <w:r>
        <w:rPr>
          <w:rFonts w:ascii="Calibri" w:hAnsi="Calibri"/>
          <w:sz w:val="22"/>
        </w:rPr>
        <w:t>[Candidate name]</w:t>
      </w:r>
    </w:p>
    <w:p>
      <w:pPr>
        <w:spacing w:after="60"/>
        <w:jc w:val="center"/>
      </w:pPr>
      <w:r>
        <w:rPr>
          <w:rFonts w:ascii="Calibri" w:hAnsi="Calibri"/>
          <w:b/>
          <w:sz w:val="22"/>
        </w:rPr>
        <w:t xml:space="preserve">Supervisory team:  </w:t>
      </w:r>
      <w:r>
        <w:rPr>
          <w:rFonts w:ascii="Calibri" w:hAnsi="Calibri"/>
          <w:sz w:val="22"/>
        </w:rPr>
        <w:t>[Principal supervisor] · [Co-supervisor]</w:t>
      </w:r>
    </w:p>
    <w:p>
      <w:pPr>
        <w:spacing w:after="60"/>
        <w:jc w:val="center"/>
      </w:pPr>
      <w:r>
        <w:rPr>
          <w:rFonts w:ascii="Calibri" w:hAnsi="Calibri"/>
          <w:b/>
          <w:sz w:val="22"/>
        </w:rPr>
        <w:t xml:space="preserve">Department / Institution:  </w:t>
      </w:r>
      <w:r>
        <w:rPr>
          <w:rFonts w:ascii="Calibri" w:hAnsi="Calibri"/>
          <w:sz w:val="22"/>
        </w:rPr>
        <w:t>[Department, University]</w:t>
      </w:r>
    </w:p>
    <w:p>
      <w:pPr>
        <w:spacing w:after="60"/>
        <w:jc w:val="center"/>
      </w:pPr>
      <w:r>
        <w:rPr>
          <w:rFonts w:ascii="Calibri" w:hAnsi="Calibri"/>
          <w:b/>
          <w:sz w:val="22"/>
        </w:rPr>
        <w:t xml:space="preserve">Proposed duration:  </w:t>
      </w:r>
      <w:r>
        <w:rPr>
          <w:rFonts w:ascii="Calibri" w:hAnsi="Calibri"/>
          <w:sz w:val="22"/>
        </w:rPr>
        <w:t>3–4 years (full-time)</w:t>
      </w:r>
    </w:p>
    <w:p>
      <w:pPr>
        <w:spacing w:after="60"/>
        <w:jc w:val="center"/>
      </w:pPr>
      <w:r>
        <w:rPr>
          <w:rFonts w:ascii="Calibri" w:hAnsi="Calibri"/>
          <w:b/>
          <w:sz w:val="22"/>
        </w:rPr>
        <w:t xml:space="preserve">Date:  </w:t>
      </w:r>
      <w:r>
        <w:rPr>
          <w:rFonts w:ascii="Calibri" w:hAnsi="Calibri"/>
          <w:sz w:val="22"/>
        </w:rPr>
        <w:t>12 June 2026</w:t>
      </w:r>
    </w:p>
    <w:p>
      <w:r>
        <w:br w:type="page"/>
      </w:r>
    </w:p>
    <w:p>
      <w:pPr>
        <w:pStyle w:val="Heading1"/>
      </w:pPr>
      <w:r>
        <w:t>Abstract</w:t>
      </w:r>
    </w:p>
    <w:p>
      <w:pPr>
        <w:spacing w:after="120"/>
      </w:pPr>
      <w:r>
        <w:rPr>
          <w:rFonts w:ascii="Calibri" w:hAnsi="Calibri"/>
          <w:b w:val="0"/>
          <w:i w:val="0"/>
          <w:sz w:val="22"/>
        </w:rPr>
        <w:t>Seawater desalination is expanding rapidly worldwide, and the hyper-saline reject (brine) it discharges into the sea is a growing environmental concern: dense brine sinks, pools on the seabed and can raise salinity above the tolerance of benthic ecosystems. Predicting where, how far and how deep the elevated-salinity field extends — and with what certainty, given the unpredictable sea — is essential for outfall design and regulatory consent, yet existing tools are limited: integral jet models (CORMIX/VISJET) collapse the plume to a centreline and cannot resolve the unsteady far field, while conventional Boussinesq CFD neglects the large brine/ambient density contrast and treats the sea deterministically.</w:t>
      </w:r>
    </w:p>
    <w:p>
      <w:pPr>
        <w:spacing w:after="120"/>
      </w:pPr>
      <w:r>
        <w:rPr>
          <w:rFonts w:ascii="Calibri" w:hAnsi="Calibri"/>
          <w:b w:val="0"/>
          <w:i w:val="0"/>
          <w:sz w:val="22"/>
        </w:rPr>
        <w:t>This research proposes the development, rigorous validation and application of NEREID-B — a novel coupled, unsteady, non-Boussinesq, stochastic partial-differential-equation (PDE) framework that solves the velocity, pressure, density, salinity, temperature, turbulence and free-surface fields simultaneously, closed by a nonlinear equation of state, irreversible-thermodynamics cross-diffusion and an explicit osmotic/reverse-osmosis coupling, with the sea's unpredictability represented as intrinsic stochastic forcing so the model returns the probability distribution of the salinity field rather than a single deterministic answer. A validated near-field/far-field coupling embeds the unresolvable diffuser jet through calibrated correlations and seeds the 3-D far field with the diluted plume. Substantial preliminary work — a complete model formulation, a robust solver, automated verification, near-field validation against laboratory scaling, grid-convergence of the far field, and two industrial case studies — establishes proof of concept. The doctoral programme will (i) extend the physics (non-Boussinesq continuity, multi-ion chemistry, higher-order numerics), (ii) deliver the first field validation of the coupled framework against CTD/ADCP surveys at an operating outfall, (iii) develop a machine-learning surrogate for rapid probabilistic screening, and (iv) release an open, validated decision-support tool. The expected contribution is a new, validated, uncertainty-aware predictive capability for brine-outfall salinity dispersion, of direct value to desalination engineering and marine environmental regulation.</w:t>
      </w:r>
    </w:p>
    <w:p>
      <w:pPr>
        <w:pStyle w:val="Heading1"/>
      </w:pPr>
      <w:r>
        <w:t>1. Introduction and Background</w:t>
      </w:r>
    </w:p>
    <w:p>
      <w:pPr>
        <w:spacing w:after="120"/>
      </w:pPr>
      <w:r>
        <w:rPr>
          <w:rFonts w:ascii="Calibri" w:hAnsi="Calibri"/>
          <w:b w:val="0"/>
          <w:i w:val="0"/>
          <w:sz w:val="22"/>
        </w:rPr>
        <w:t>Global desalination capacity now exceeds 95 million m³/day and is growing to meet water scarcity intensified by climate change and population growth. Seawater reverse osmosis (SWRO), the dominant technology, recovers only ~40–50% of the feed as fresh water; the remainder is rejected as a brine roughly twice as saline as the receiving sea, frequently warmer and carrying residual process chemicals. This brine is overwhelmingly discharged back to the sea through submarine outfalls. Because it is denser than seawater it behaves as a negatively-buoyant effluent: it sinks, hugs the seabed and spreads as a gravity current, with documented impacts on seagrass, benthic invertebrates and other salinity-sensitive biota.</w:t>
      </w:r>
    </w:p>
    <w:p>
      <w:pPr>
        <w:spacing w:after="120"/>
      </w:pPr>
      <w:r>
        <w:rPr>
          <w:rFonts w:ascii="Calibri" w:hAnsi="Calibri"/>
          <w:b w:val="0"/>
          <w:i w:val="0"/>
          <w:sz w:val="22"/>
        </w:rPr>
        <w:t>Regulators increasingly impose a maximum salinity increment (commonly +2 to +5 % of ambient, or a fixed limit such as +2 g kg⁻¹) at the edge of a permitted mixing zone. Demonstrating compliance requires predicting the three-dimensional, time-evolving salinity field around the diffuser — across both the energetic NEAR FIELD (the buoyant jet, the first tens of metres, where most dilution occurs) and the FAR FIELD (the bottom gravity current spreading over hundreds of metres under currents, tides and waves). The sea is never static or predictable, so a defensible prediction must also quantify the uncertainty arising from that variability.</w:t>
      </w:r>
    </w:p>
    <w:p>
      <w:pPr>
        <w:pStyle w:val="Heading1"/>
      </w:pPr>
      <w:r>
        <w:t>2. Problem Statement and Research Gap</w:t>
      </w:r>
    </w:p>
    <w:p>
      <w:pPr>
        <w:spacing w:after="120"/>
      </w:pPr>
      <w:r>
        <w:rPr>
          <w:rFonts w:ascii="Calibri" w:hAnsi="Calibri"/>
          <w:b w:val="0"/>
          <w:i w:val="0"/>
          <w:sz w:val="22"/>
        </w:rPr>
        <w:t>Current predictive practice rests on tools with complementary but fundamental limitations:</w:t>
      </w:r>
    </w:p>
    <w:p>
      <w:pPr>
        <w:pStyle w:val="ListBullet"/>
        <w:spacing w:after="40"/>
      </w:pPr>
      <w:r>
        <w:rPr>
          <w:rFonts w:ascii="Calibri" w:hAnsi="Calibri"/>
          <w:sz w:val="22"/>
        </w:rPr>
        <w:t>Integral / entrainment models (CORMIX, VISJET, JETLAG) reproduce near-field jet dilution well but reduce the plume to a 1-D centreline; they cannot resolve the unsteady 3-D far field, bathymetric steering, stratification, or the full sea state.</w:t>
      </w:r>
    </w:p>
    <w:p>
      <w:pPr>
        <w:pStyle w:val="ListBullet"/>
        <w:spacing w:after="40"/>
      </w:pPr>
      <w:r>
        <w:rPr>
          <w:rFonts w:ascii="Calibri" w:hAnsi="Calibri"/>
          <w:sz w:val="22"/>
        </w:rPr>
        <w:t>Boussinesq Reynolds-Averaged Navier–Stokes / CFD models resolve the 3-D field but assume a small density difference — invalid for hyper-saline reject where (ρ−ρ₀)/ρ₀ can exceed 0.04 — and require infeasible near-nozzle resolution.</w:t>
      </w:r>
    </w:p>
    <w:p>
      <w:pPr>
        <w:pStyle w:val="ListBullet"/>
        <w:spacing w:after="40"/>
      </w:pPr>
      <w:r>
        <w:rPr>
          <w:rFonts w:ascii="Calibri" w:hAnsi="Calibri"/>
          <w:sz w:val="22"/>
        </w:rPr>
        <w:t>Both families treat the sea deterministically, omit osmotic and irreversible-thermodynamic couplings, and provide no calibrated measure of predictive uncertainty.</w:t>
      </w:r>
    </w:p>
    <w:p>
      <w:pPr>
        <w:spacing w:after="120"/>
      </w:pPr>
      <w:r>
        <w:rPr>
          <w:rFonts w:ascii="Calibri" w:hAnsi="Calibri"/>
          <w:b w:val="0"/>
          <w:i w:val="0"/>
          <w:sz w:val="22"/>
        </w:rPr>
        <w:t>The research gap is therefore the absence of a single, validated, uncertainty-aware framework that couples an accurate near field to a non-Boussinesq, stochastic far field and reports the probability distribution of salinity. Addressing this gap is the purpose of this PhD.</w:t>
      </w:r>
    </w:p>
    <w:p>
      <w:pPr>
        <w:pStyle w:val="Heading1"/>
      </w:pPr>
      <w:r>
        <w:t>3. Research Questions and Hypotheses</w:t>
      </w:r>
    </w:p>
    <w:p>
      <w:pPr>
        <w:spacing w:after="120"/>
      </w:pPr>
      <w:r>
        <w:rPr>
          <w:rFonts w:ascii="Calibri" w:hAnsi="Calibri"/>
          <w:b w:val="0"/>
          <w:i w:val="0"/>
          <w:sz w:val="22"/>
        </w:rPr>
        <w:t>The programme is organised around four questions:</w:t>
      </w:r>
    </w:p>
    <w:p>
      <w:pPr>
        <w:pStyle w:val="ListNumber"/>
        <w:spacing w:after="40"/>
      </w:pPr>
      <w:r>
        <w:rPr>
          <w:rFonts w:ascii="Calibri" w:hAnsi="Calibri"/>
          <w:sz w:val="22"/>
        </w:rPr>
        <w:t>Can a coupled stochastic PDE framework predict the 3-D, unsteady salinity distribution of a brine outfall more completely than existing tools, while remaining numerically robust and affordable?</w:t>
      </w:r>
    </w:p>
    <w:p>
      <w:pPr>
        <w:pStyle w:val="ListNumber"/>
        <w:spacing w:after="40"/>
      </w:pPr>
      <w:r>
        <w:rPr>
          <w:rFonts w:ascii="Calibri" w:hAnsi="Calibri"/>
          <w:sz w:val="22"/>
        </w:rPr>
        <w:t>How accurately can a near-field/far-field coupling reproduce measured near-field dilution and far-field footprint at an operating outfall?</w:t>
      </w:r>
    </w:p>
    <w:p>
      <w:pPr>
        <w:pStyle w:val="ListNumber"/>
        <w:spacing w:after="40"/>
      </w:pPr>
      <w:r>
        <w:rPr>
          <w:rFonts w:ascii="Calibri" w:hAnsi="Calibri"/>
          <w:sz w:val="22"/>
        </w:rPr>
        <w:t>How do near-field processes (jet merging at multiport diffusers) and far-field processes (gravity-current spreading, stratification, currents) interact to determine environmental impact and compliance?</w:t>
      </w:r>
    </w:p>
    <w:p>
      <w:pPr>
        <w:pStyle w:val="ListNumber"/>
        <w:spacing w:after="40"/>
      </w:pPr>
      <w:r>
        <w:rPr>
          <w:rFonts w:ascii="Calibri" w:hAnsi="Calibri"/>
          <w:sz w:val="22"/>
        </w:rPr>
        <w:t>What is the predictive uncertainty of the salinity field given the unpredictability of currents, tides, wind and turbulence, and can it be quantified efficiently for design and consenting?</w:t>
      </w:r>
    </w:p>
    <w:p>
      <w:pPr>
        <w:spacing w:after="120"/>
      </w:pPr>
      <w:r>
        <w:rPr>
          <w:rFonts w:ascii="Calibri" w:hAnsi="Calibri"/>
          <w:b w:val="0"/>
          <w:i w:val="0"/>
          <w:sz w:val="22"/>
        </w:rPr>
        <w:t>Central hypothesis: a coupled non-Boussinesq stochastic PDE model, with a validated near-field closure, can predict brine-plume salinity distribution and its uncertainty with accuracy sufficient for engineering and regulatory use, outperforming single-paradigm tools.</w:t>
      </w:r>
    </w:p>
    <w:p>
      <w:pPr>
        <w:pStyle w:val="Heading1"/>
      </w:pPr>
      <w:r>
        <w:t>4. Aim and Objectives</w:t>
      </w:r>
    </w:p>
    <w:p>
      <w:pPr>
        <w:spacing w:after="120"/>
      </w:pPr>
      <w:r>
        <w:rPr>
          <w:rFonts w:ascii="Calibri" w:hAnsi="Calibri"/>
          <w:b w:val="0"/>
          <w:i w:val="0"/>
          <w:sz w:val="22"/>
        </w:rPr>
        <w:t>Aim: to develop, validate and apply a novel coupled stochastic PDE framework (NEREID-B) for predicting the near- and far-field salinity distribution and its uncertainty around submarine brine outfalls.</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shd w:val="clear" w:color="auto" w:fill="1F4E79"/>
          </w:tcPr>
          <w:p>
            <w:r/>
            <w:r>
              <w:rPr>
                <w:rFonts w:ascii="Calibri" w:hAnsi="Calibri"/>
                <w:b/>
                <w:color w:val="FFFFFF"/>
                <w:sz w:val="18"/>
              </w:rPr>
              <w:t>#</w:t>
            </w:r>
          </w:p>
        </w:tc>
        <w:tc>
          <w:tcPr>
            <w:tcW w:type="dxa" w:w="6048"/>
            <w:shd w:val="clear" w:color="auto" w:fill="1F4E79"/>
          </w:tcPr>
          <w:p>
            <w:r/>
            <w:r>
              <w:rPr>
                <w:rFonts w:ascii="Calibri" w:hAnsi="Calibri"/>
                <w:b/>
                <w:color w:val="FFFFFF"/>
                <w:sz w:val="18"/>
              </w:rPr>
              <w:t>Objective</w:t>
            </w:r>
          </w:p>
        </w:tc>
        <w:tc>
          <w:tcPr>
            <w:tcW w:type="dxa" w:w="2592"/>
            <w:shd w:val="clear" w:color="auto" w:fill="1F4E79"/>
          </w:tcPr>
          <w:p>
            <w:r/>
            <w:r>
              <w:rPr>
                <w:rFonts w:ascii="Calibri" w:hAnsi="Calibri"/>
                <w:b/>
                <w:color w:val="FFFFFF"/>
                <w:sz w:val="18"/>
              </w:rPr>
              <w:t>Status at proposal</w:t>
            </w:r>
          </w:p>
        </w:tc>
      </w:tr>
      <w:tr>
        <w:tc>
          <w:tcPr>
            <w:tcW w:type="dxa" w:w="720"/>
          </w:tcPr>
          <w:p>
            <w:r/>
            <w:r>
              <w:rPr>
                <w:rFonts w:ascii="Calibri" w:hAnsi="Calibri"/>
                <w:sz w:val="18"/>
              </w:rPr>
              <w:t>O1</w:t>
            </w:r>
          </w:p>
        </w:tc>
        <w:tc>
          <w:tcPr>
            <w:tcW w:type="dxa" w:w="6048"/>
          </w:tcPr>
          <w:p>
            <w:r/>
            <w:r>
              <w:rPr>
                <w:rFonts w:ascii="Calibri" w:hAnsi="Calibri"/>
                <w:sz w:val="18"/>
              </w:rPr>
              <w:t>Formulate the coupled non-Boussinesq stochastic PDE system with osmotic and cross-diffusion couplings</w:t>
            </w:r>
          </w:p>
        </w:tc>
        <w:tc>
          <w:tcPr>
            <w:tcW w:type="dxa" w:w="2592"/>
          </w:tcPr>
          <w:p>
            <w:r/>
            <w:r>
              <w:rPr>
                <w:rFonts w:ascii="Calibri" w:hAnsi="Calibri"/>
                <w:sz w:val="18"/>
              </w:rPr>
              <w:t>Completed (preliminary)</w:t>
            </w:r>
          </w:p>
        </w:tc>
      </w:tr>
      <w:tr>
        <w:tc>
          <w:tcPr>
            <w:tcW w:type="dxa" w:w="720"/>
          </w:tcPr>
          <w:p>
            <w:r/>
            <w:r>
              <w:rPr>
                <w:rFonts w:ascii="Calibri" w:hAnsi="Calibri"/>
                <w:sz w:val="18"/>
              </w:rPr>
              <w:t>O2</w:t>
            </w:r>
          </w:p>
        </w:tc>
        <w:tc>
          <w:tcPr>
            <w:tcW w:type="dxa" w:w="6048"/>
          </w:tcPr>
          <w:p>
            <w:r/>
            <w:r>
              <w:rPr>
                <w:rFonts w:ascii="Calibri" w:hAnsi="Calibri"/>
                <w:sz w:val="18"/>
              </w:rPr>
              <w:t>Develop a robust finite-volume solver with a validated near-field/far-field coupling</w:t>
            </w:r>
          </w:p>
        </w:tc>
        <w:tc>
          <w:tcPr>
            <w:tcW w:type="dxa" w:w="2592"/>
          </w:tcPr>
          <w:p>
            <w:r/>
            <w:r>
              <w:rPr>
                <w:rFonts w:ascii="Calibri" w:hAnsi="Calibri"/>
                <w:sz w:val="18"/>
              </w:rPr>
              <w:t>Completed (preliminary)</w:t>
            </w:r>
          </w:p>
        </w:tc>
      </w:tr>
      <w:tr>
        <w:tc>
          <w:tcPr>
            <w:tcW w:type="dxa" w:w="720"/>
          </w:tcPr>
          <w:p>
            <w:r/>
            <w:r>
              <w:rPr>
                <w:rFonts w:ascii="Calibri" w:hAnsi="Calibri"/>
                <w:sz w:val="18"/>
              </w:rPr>
              <w:t>O3</w:t>
            </w:r>
          </w:p>
        </w:tc>
        <w:tc>
          <w:tcPr>
            <w:tcW w:type="dxa" w:w="6048"/>
          </w:tcPr>
          <w:p>
            <w:r/>
            <w:r>
              <w:rPr>
                <w:rFonts w:ascii="Calibri" w:hAnsi="Calibri"/>
                <w:sz w:val="18"/>
              </w:rPr>
              <w:t>Verify robustness and validate the near field against laboratory dense-jet scaling</w:t>
            </w:r>
          </w:p>
        </w:tc>
        <w:tc>
          <w:tcPr>
            <w:tcW w:type="dxa" w:w="2592"/>
          </w:tcPr>
          <w:p>
            <w:r/>
            <w:r>
              <w:rPr>
                <w:rFonts w:ascii="Calibri" w:hAnsi="Calibri"/>
                <w:sz w:val="18"/>
              </w:rPr>
              <w:t>Completed (preliminary)</w:t>
            </w:r>
          </w:p>
        </w:tc>
      </w:tr>
      <w:tr>
        <w:tc>
          <w:tcPr>
            <w:tcW w:type="dxa" w:w="720"/>
          </w:tcPr>
          <w:p>
            <w:r/>
            <w:r>
              <w:rPr>
                <w:rFonts w:ascii="Calibri" w:hAnsi="Calibri"/>
                <w:sz w:val="18"/>
              </w:rPr>
              <w:t>O4</w:t>
            </w:r>
          </w:p>
        </w:tc>
        <w:tc>
          <w:tcPr>
            <w:tcW w:type="dxa" w:w="6048"/>
          </w:tcPr>
          <w:p>
            <w:r/>
            <w:r>
              <w:rPr>
                <w:rFonts w:ascii="Calibri" w:hAnsi="Calibri"/>
                <w:sz w:val="18"/>
              </w:rPr>
              <w:t>Quantify predictive uncertainty via stochastic ensembles</w:t>
            </w:r>
          </w:p>
        </w:tc>
        <w:tc>
          <w:tcPr>
            <w:tcW w:type="dxa" w:w="2592"/>
          </w:tcPr>
          <w:p>
            <w:r/>
            <w:r>
              <w:rPr>
                <w:rFonts w:ascii="Calibri" w:hAnsi="Calibri"/>
                <w:sz w:val="18"/>
              </w:rPr>
              <w:t>Demonstrated (preliminary)</w:t>
            </w:r>
          </w:p>
        </w:tc>
      </w:tr>
      <w:tr>
        <w:tc>
          <w:tcPr>
            <w:tcW w:type="dxa" w:w="720"/>
          </w:tcPr>
          <w:p>
            <w:r/>
            <w:r>
              <w:rPr>
                <w:rFonts w:ascii="Calibri" w:hAnsi="Calibri"/>
                <w:sz w:val="18"/>
              </w:rPr>
              <w:t>O5</w:t>
            </w:r>
          </w:p>
        </w:tc>
        <w:tc>
          <w:tcPr>
            <w:tcW w:type="dxa" w:w="6048"/>
          </w:tcPr>
          <w:p>
            <w:r/>
            <w:r>
              <w:rPr>
                <w:rFonts w:ascii="Calibri" w:hAnsi="Calibri"/>
                <w:sz w:val="18"/>
              </w:rPr>
              <w:t>Extend the physics: non-Boussinesq continuity, multi-ion chemistry, higher-order numerics</w:t>
            </w:r>
          </w:p>
        </w:tc>
        <w:tc>
          <w:tcPr>
            <w:tcW w:type="dxa" w:w="2592"/>
          </w:tcPr>
          <w:p>
            <w:r/>
            <w:r>
              <w:rPr>
                <w:rFonts w:ascii="Calibri" w:hAnsi="Calibri"/>
                <w:sz w:val="18"/>
              </w:rPr>
              <w:t>Proposed (WP2)</w:t>
            </w:r>
          </w:p>
        </w:tc>
      </w:tr>
      <w:tr>
        <w:tc>
          <w:tcPr>
            <w:tcW w:type="dxa" w:w="720"/>
          </w:tcPr>
          <w:p>
            <w:r/>
            <w:r>
              <w:rPr>
                <w:rFonts w:ascii="Calibri" w:hAnsi="Calibri"/>
                <w:sz w:val="18"/>
              </w:rPr>
              <w:t>O6</w:t>
            </w:r>
          </w:p>
        </w:tc>
        <w:tc>
          <w:tcPr>
            <w:tcW w:type="dxa" w:w="6048"/>
          </w:tcPr>
          <w:p>
            <w:r/>
            <w:r>
              <w:rPr>
                <w:rFonts w:ascii="Calibri" w:hAnsi="Calibri"/>
                <w:sz w:val="18"/>
              </w:rPr>
              <w:t>Field-validate the far field against CTD/ADCP surveys at an operating outfall</w:t>
            </w:r>
          </w:p>
        </w:tc>
        <w:tc>
          <w:tcPr>
            <w:tcW w:type="dxa" w:w="2592"/>
          </w:tcPr>
          <w:p>
            <w:r/>
            <w:r>
              <w:rPr>
                <w:rFonts w:ascii="Calibri" w:hAnsi="Calibri"/>
                <w:sz w:val="18"/>
              </w:rPr>
              <w:t>Proposed (WP3)</w:t>
            </w:r>
          </w:p>
        </w:tc>
      </w:tr>
      <w:tr>
        <w:tc>
          <w:tcPr>
            <w:tcW w:type="dxa" w:w="720"/>
          </w:tcPr>
          <w:p>
            <w:r/>
            <w:r>
              <w:rPr>
                <w:rFonts w:ascii="Calibri" w:hAnsi="Calibri"/>
                <w:sz w:val="18"/>
              </w:rPr>
              <w:t>O7</w:t>
            </w:r>
          </w:p>
        </w:tc>
        <w:tc>
          <w:tcPr>
            <w:tcW w:type="dxa" w:w="6048"/>
          </w:tcPr>
          <w:p>
            <w:r/>
            <w:r>
              <w:rPr>
                <w:rFonts w:ascii="Calibri" w:hAnsi="Calibri"/>
                <w:sz w:val="18"/>
              </w:rPr>
              <w:t>Develop a machine-learning surrogate for rapid probabilistic screening</w:t>
            </w:r>
          </w:p>
        </w:tc>
        <w:tc>
          <w:tcPr>
            <w:tcW w:type="dxa" w:w="2592"/>
          </w:tcPr>
          <w:p>
            <w:r/>
            <w:r>
              <w:rPr>
                <w:rFonts w:ascii="Calibri" w:hAnsi="Calibri"/>
                <w:sz w:val="18"/>
              </w:rPr>
              <w:t>Proposed (WP4)</w:t>
            </w:r>
          </w:p>
        </w:tc>
      </w:tr>
      <w:tr>
        <w:tc>
          <w:tcPr>
            <w:tcW w:type="dxa" w:w="720"/>
          </w:tcPr>
          <w:p>
            <w:r/>
            <w:r>
              <w:rPr>
                <w:rFonts w:ascii="Calibri" w:hAnsi="Calibri"/>
                <w:sz w:val="18"/>
              </w:rPr>
              <w:t>O8</w:t>
            </w:r>
          </w:p>
        </w:tc>
        <w:tc>
          <w:tcPr>
            <w:tcW w:type="dxa" w:w="6048"/>
          </w:tcPr>
          <w:p>
            <w:r/>
            <w:r>
              <w:rPr>
                <w:rFonts w:ascii="Calibri" w:hAnsi="Calibri"/>
                <w:sz w:val="18"/>
              </w:rPr>
              <w:t>Apply to design/consenting case studies and release an open decision-support tool</w:t>
            </w:r>
          </w:p>
        </w:tc>
        <w:tc>
          <w:tcPr>
            <w:tcW w:type="dxa" w:w="2592"/>
          </w:tcPr>
          <w:p>
            <w:r/>
            <w:r>
              <w:rPr>
                <w:rFonts w:ascii="Calibri" w:hAnsi="Calibri"/>
                <w:sz w:val="18"/>
              </w:rPr>
              <w:t>Proposed (WP5)</w:t>
            </w:r>
          </w:p>
        </w:tc>
      </w:tr>
    </w:tbl>
    <w:p>
      <w:pPr>
        <w:pStyle w:val="Heading1"/>
      </w:pPr>
      <w:r>
        <w:t>5. Originality and Intended Contribution</w:t>
      </w:r>
    </w:p>
    <w:p>
      <w:pPr>
        <w:spacing w:after="120"/>
      </w:pPr>
      <w:r>
        <w:rPr>
          <w:rFonts w:ascii="Calibri" w:hAnsi="Calibri"/>
          <w:b w:val="0"/>
          <w:i w:val="0"/>
          <w:sz w:val="22"/>
        </w:rPr>
        <w:t>The work is original in combining, in one self-consistent and validated framework, elements not previously brought together for brine dispersion:</w:t>
      </w:r>
    </w:p>
    <w:p>
      <w:pPr>
        <w:pStyle w:val="ListBullet"/>
        <w:spacing w:after="40"/>
      </w:pPr>
      <w:r>
        <w:rPr>
          <w:rFonts w:ascii="Calibri" w:hAnsi="Calibri"/>
          <w:sz w:val="22"/>
        </w:rPr>
        <w:t>Osmotic / reverse-osmosis coupling: the osmotic-pressure gradient of the hyper-saline reject enters the salt flux as a thermodynamically consistent term, absent from conventional plume models.</w:t>
      </w:r>
    </w:p>
    <w:p>
      <w:pPr>
        <w:pStyle w:val="ListBullet"/>
        <w:spacing w:after="40"/>
      </w:pPr>
      <w:r>
        <w:rPr>
          <w:rFonts w:ascii="Calibri" w:hAnsi="Calibri"/>
          <w:sz w:val="22"/>
        </w:rPr>
        <w:t>Intrinsic stochastic forcing: currents, tides, wind and turbulence are Ornstein–Uhlenbeck colored-noise fields, so the model is a genuine stochastic PDE returning the probability density of salinity — a mean plume plus a quantified confidence envelope.</w:t>
      </w:r>
    </w:p>
    <w:p>
      <w:pPr>
        <w:pStyle w:val="ListBullet"/>
        <w:spacing w:after="40"/>
      </w:pPr>
      <w:r>
        <w:rPr>
          <w:rFonts w:ascii="Calibri" w:hAnsi="Calibri"/>
          <w:sz w:val="22"/>
        </w:rPr>
        <w:t>Non-Boussinesq buoyancy with a nonlinear equation of state, valid for the large brine/ambient density contrast.</w:t>
      </w:r>
    </w:p>
    <w:p>
      <w:pPr>
        <w:pStyle w:val="ListBullet"/>
        <w:spacing w:after="40"/>
      </w:pPr>
      <w:r>
        <w:rPr>
          <w:rFonts w:ascii="Calibri" w:hAnsi="Calibri"/>
          <w:sz w:val="22"/>
        </w:rPr>
        <w:t>Onsager (Soret/Dufour) cross-diffusion and a full anisotropic, state-dependent dispersion tensor.</w:t>
      </w:r>
    </w:p>
    <w:p>
      <w:pPr>
        <w:pStyle w:val="ListBullet"/>
        <w:spacing w:after="40"/>
      </w:pPr>
      <w:r>
        <w:rPr>
          <w:rFonts w:ascii="Calibri" w:hAnsi="Calibri"/>
          <w:sz w:val="22"/>
        </w:rPr>
        <w:t>A near-field/far-field coupling that combines lab-validated calibrated jet correlations with a grid-converged stochastic 3-D far field; the first field validation of such a coupled framework is a proposed contribution (the near field is lab-validated, while field validation of the far field remains a core objective requiring in-class CTD/ADCP survey data).</w:t>
      </w:r>
    </w:p>
    <w:p>
      <w:r>
        <w:br w:type="page"/>
      </w:r>
    </w:p>
    <w:p>
      <w:pPr>
        <w:pStyle w:val="Heading1"/>
      </w:pPr>
      <w:r>
        <w:t>6. Methodology</w:t>
      </w:r>
    </w:p>
    <w:p>
      <w:pPr>
        <w:pStyle w:val="Heading2"/>
      </w:pPr>
      <w:r>
        <w:t>6.1 The coupled stochastic PDE model</w:t>
      </w:r>
    </w:p>
    <w:p>
      <w:pPr>
        <w:spacing w:after="120"/>
      </w:pPr>
      <w:r>
        <w:rPr>
          <w:rFonts w:ascii="Calibri" w:hAnsi="Calibri"/>
          <w:b w:val="0"/>
          <w:i w:val="0"/>
          <w:sz w:val="22"/>
        </w:rPr>
        <w:t>NEREID-B solves the coupled state vector q = (ρ, u, p, S, T, k, ε, η). The governing balances are:</w:t>
      </w:r>
    </w:p>
    <w:p>
      <w:pPr>
        <w:spacing w:after="120"/>
        <w:jc w:val="center"/>
      </w:pPr>
      <w:r>
        <w:rPr>
          <w:rFonts w:ascii="Cambria Math" w:hAnsi="Cambria Math"/>
          <w:sz w:val="24"/>
        </w:rPr>
        <w:t>∂ρ/∂t + ∇·(ρu) = 0</w:t>
      </w:r>
    </w:p>
    <w:p>
      <w:pPr>
        <w:spacing w:after="120"/>
        <w:jc w:val="center"/>
      </w:pPr>
      <w:r>
        <w:rPr>
          <w:rFonts w:ascii="Cambria Math" w:hAnsi="Cambria Math"/>
          <w:sz w:val="24"/>
        </w:rPr>
        <w:t>∂(ρu)/∂t + ∇·(ρu⊗u) = −∇p + ∇·τ + ρg − 2ρΩ×u + F_wave + F_osm + F_stoch</w:t>
      </w:r>
    </w:p>
    <w:p>
      <w:pPr>
        <w:spacing w:after="120"/>
        <w:jc w:val="center"/>
      </w:pPr>
      <w:r>
        <w:rPr>
          <w:rFonts w:ascii="Cambria Math" w:hAnsi="Cambria Math"/>
          <w:sz w:val="24"/>
        </w:rPr>
        <w:t>∂S/∂t + u·∇S = −(1/ρ)∇·J_S + R_S + ξ_S</w:t>
      </w:r>
    </w:p>
    <w:p>
      <w:pPr>
        <w:spacing w:after="120"/>
        <w:jc w:val="center"/>
      </w:pPr>
      <w:r>
        <w:rPr>
          <w:rFonts w:ascii="Cambria Math" w:hAnsi="Cambria Math"/>
          <w:sz w:val="24"/>
        </w:rPr>
        <w:t>∂T/∂t + u·∇T = −(1/ρc_p)∇·J_Q + Q_rad/(ρc_p) + ξ_T</w:t>
      </w:r>
    </w:p>
    <w:p>
      <w:pPr>
        <w:spacing w:after="120"/>
        <w:jc w:val="center"/>
      </w:pPr>
      <w:r>
        <w:rPr>
          <w:rFonts w:ascii="Cambria Math" w:hAnsi="Cambria Math"/>
          <w:sz w:val="24"/>
        </w:rPr>
        <w:t>ρ = ρ_EOS(S,T,p)   (nonlinear, TEOS-10)</w:t>
      </w:r>
    </w:p>
    <w:p>
      <w:pPr>
        <w:spacing w:after="120"/>
        <w:jc w:val="center"/>
      </w:pPr>
      <w:r>
        <w:rPr>
          <w:rFonts w:ascii="Cambria Math" w:hAnsi="Cambria Math"/>
          <w:sz w:val="24"/>
        </w:rPr>
        <w:t>∂ζ_m/∂t = −ζ_m/τ_m + σ_m 𝓛_m^{1/2} Ẇ_m   (stochastic forcing)</w:t>
      </w:r>
    </w:p>
    <w:p>
      <w:pPr>
        <w:spacing w:after="120"/>
      </w:pPr>
      <w:r>
        <w:rPr>
          <w:rFonts w:ascii="Calibri" w:hAnsi="Calibri"/>
          <w:b w:val="0"/>
          <w:i w:val="0"/>
          <w:sz w:val="22"/>
        </w:rPr>
        <w:t>with the salt flux J_S = −ρ D_S·∇S − ρ D_ST ∇T − (ρ D_S L_p/R_gT) ∇Π fusing anisotropic dispersion, Soret cross-diffusion and the osmotic flux, and a buoyancy-modified k–ε closure for turbulence. Solving the ensemble of stochastic realisations yields P[S(x,t)].</w:t>
      </w:r>
    </w:p>
    <w:p>
      <w:pPr>
        <w:pStyle w:val="Heading2"/>
      </w:pPr>
      <w:r>
        <w:t>6.2 Numerical solver and near-field/far-field coupling</w:t>
      </w:r>
    </w:p>
    <w:p>
      <w:pPr>
        <w:spacing w:after="120"/>
      </w:pPr>
      <w:r>
        <w:rPr>
          <w:rFonts w:ascii="Calibri" w:hAnsi="Calibri"/>
          <w:b w:val="0"/>
          <w:i w:val="0"/>
          <w:sz w:val="22"/>
        </w:rPr>
        <w:t>The system is discretised by a MAC-consistent fractional-step projection on a terrain-following finite-volume grid with partial-cell bathymetry and an implicit free surface; scalars use a monotone TVD scheme. The unresolvable diffuser nozzle is represented by validated empirical dense-jet correlations, and the 3-D far field is seeded with the diluted return plume — a CORMIX/VISJET-class coupling that is accurate where each paradigm is valid.</w:t>
      </w:r>
    </w:p>
    <w:p>
      <w:pPr>
        <w:pStyle w:val="Heading2"/>
      </w:pPr>
      <w:r>
        <w:t>6.3 Validation strategy</w:t>
      </w:r>
    </w:p>
    <w:p>
      <w:pPr>
        <w:pStyle w:val="ListBullet"/>
        <w:spacing w:after="40"/>
      </w:pPr>
      <w:r>
        <w:rPr>
          <w:rFonts w:ascii="Calibri" w:hAnsi="Calibri"/>
          <w:sz w:val="22"/>
        </w:rPr>
        <w:t>Verification: automated invariant tests (conservation, boundedness, divergence control, monotonicity, bitwise-exact restart).</w:t>
      </w:r>
    </w:p>
    <w:p>
      <w:pPr>
        <w:pStyle w:val="ListBullet"/>
        <w:spacing w:after="40"/>
      </w:pPr>
      <w:r>
        <w:rPr>
          <w:rFonts w:ascii="Calibri" w:hAnsi="Calibri"/>
          <w:sz w:val="22"/>
        </w:rPr>
        <w:t>Near-field validation: reproduction of published laboratory scaling for inclined dense jets (terminal rise, return-point dilution).</w:t>
      </w:r>
    </w:p>
    <w:p>
      <w:pPr>
        <w:pStyle w:val="ListBullet"/>
        <w:spacing w:after="40"/>
      </w:pPr>
      <w:r>
        <w:rPr>
          <w:rFonts w:ascii="Calibri" w:hAnsi="Calibri"/>
          <w:sz w:val="22"/>
        </w:rPr>
        <w:t>Grid-convergence: systematic far-field mesh-refinement study.</w:t>
      </w:r>
    </w:p>
    <w:p>
      <w:pPr>
        <w:pStyle w:val="ListBullet"/>
        <w:spacing w:after="40"/>
      </w:pPr>
      <w:r>
        <w:rPr>
          <w:rFonts w:ascii="Calibri" w:hAnsi="Calibri"/>
          <w:sz w:val="22"/>
        </w:rPr>
        <w:t>FIELD VALIDATION (proposed core contribution): CTD/ADCP/towed-sensor surveys at an operating SWRO outfall; comparison of predicted vs measured salinity profiles, footprint and dilution, with the predicted probability envelope tested for coverage.</w:t>
      </w:r>
    </w:p>
    <w:p>
      <w:pPr>
        <w:pStyle w:val="Heading2"/>
      </w:pPr>
      <w:r>
        <w:t>6.4 Case studies and uncertainty quantification</w:t>
      </w:r>
    </w:p>
    <w:p>
      <w:pPr>
        <w:spacing w:after="120"/>
      </w:pPr>
      <w:r>
        <w:rPr>
          <w:rFonts w:ascii="Calibri" w:hAnsi="Calibri"/>
          <w:b w:val="0"/>
          <w:i w:val="0"/>
          <w:sz w:val="22"/>
        </w:rPr>
        <w:t>Idealised and real-site cases will exercise the framework across discharge configurations (single-port, multiport with jet merging), sea states and bathymetries. Predictive uncertainty will be quantified by Monte-Carlo stochastic ensembles and, in WP4, by a polynomial-chaos / machine-learning surrogate for rapid probabilistic screening.</w:t>
      </w:r>
    </w:p>
    <w:p>
      <w:pPr>
        <w:pStyle w:val="Heading1"/>
      </w:pPr>
      <w:r>
        <w:t>7. Preliminary Results (Proof of Concept)</w:t>
      </w:r>
    </w:p>
    <w:p>
      <w:pPr>
        <w:spacing w:after="120"/>
      </w:pPr>
      <w:r>
        <w:rPr>
          <w:rFonts w:ascii="Calibri" w:hAnsi="Calibri"/>
          <w:b w:val="0"/>
          <w:i w:val="0"/>
          <w:sz w:val="22"/>
        </w:rPr>
        <w:t>Substantial preliminary work already establishes feasibility:</w:t>
      </w:r>
    </w:p>
    <w:p>
      <w:pPr>
        <w:pStyle w:val="ListBullet"/>
        <w:spacing w:after="40"/>
      </w:pPr>
      <w:r>
        <w:rPr>
          <w:rFonts w:ascii="Calibri" w:hAnsi="Calibri"/>
          <w:sz w:val="22"/>
        </w:rPr>
        <w:t>Model and solver implemented and made numerically robust (passes a 6-check automated self-test, including machine-level divergence control and bitwise-exact checkpoint/restart).</w:t>
      </w:r>
    </w:p>
    <w:p>
      <w:pPr>
        <w:pStyle w:val="ListBullet"/>
        <w:spacing w:after="40"/>
      </w:pPr>
      <w:r>
        <w:rPr>
          <w:rFonts w:ascii="Calibri" w:hAnsi="Calibri"/>
          <w:sz w:val="22"/>
        </w:rPr>
        <w:t>Near field validated: the modelled 60° dense-jet rise z_t/(D·Fr) = 2.20 lies squarely within the published laboratory band 2.1–2.8, with return-point dilution following the established S_r ≈ 1.6 Fr scaling.</w:t>
      </w:r>
    </w:p>
    <w:p>
      <w:pPr>
        <w:pStyle w:val="ListBullet"/>
        <w:spacing w:after="40"/>
      </w:pPr>
      <w:r>
        <w:rPr>
          <w:rFonts w:ascii="Calibri" w:hAnsi="Calibri"/>
          <w:sz w:val="22"/>
        </w:rPr>
        <w:t>Far field shown grid-converged: peak excess salinity changes by 0 % between the medium and fine meshes (4.44 → 4.45 g kg⁻¹ across a 4× cell-count range), and an independent lock-exchange benchmark gives a front Froude number Fr_f ≈ 0.40, near the textbook ~0.5.</w:t>
      </w:r>
    </w:p>
    <w:p>
      <w:pPr>
        <w:pStyle w:val="ListBullet"/>
        <w:spacing w:after="40"/>
      </w:pPr>
      <w:r>
        <w:rPr>
          <w:rFonts w:ascii="Calibri" w:hAnsi="Calibri"/>
          <w:sz w:val="22"/>
        </w:rPr>
        <w:t>Far field NOT yet field-validated: with the corrected buoyancy-modified k–ε closure (stratification now correctly damps turbulence), the model predicts ~35:1 dilution at 50 m for a Perth-class outfall, about 22 % below the documented field value of ~45:1 — i.e. it under-predicts dilution and so over-predicts impact, a conservative (safe) error. These far-field numbers are indicative and conservative; quantitative field validation is a remaining objective (WP3) requiring an in-class multi-point CTD/ADCP transect.</w:t>
      </w:r>
    </w:p>
    <w:p>
      <w:pPr>
        <w:pStyle w:val="ListBullet"/>
        <w:spacing w:after="40"/>
      </w:pPr>
      <w:r>
        <w:rPr>
          <w:rFonts w:ascii="Calibri" w:hAnsi="Calibri"/>
          <w:sz w:val="22"/>
        </w:rPr>
        <w:t>Stochastic ensembles demonstrated, returning mean, spread and exceedance-probability maps of the salinity field.</w:t>
      </w:r>
    </w:p>
    <w:p>
      <w:pPr>
        <w:spacing w:after="120"/>
      </w:pPr>
      <w:r>
        <w:rPr>
          <w:rFonts w:ascii="Calibri" w:hAnsi="Calibri"/>
          <w:b w:val="0"/>
          <w:i w:val="0"/>
          <w:sz w:val="22"/>
        </w:rPr>
        <w:t>A 150,000 m³/day SWRO outfall case was simulated in two diffuser configurations. Key preliminary findings (Table 2) show that diffuser port spacing — through jet merging — is a first-order control on environmental impact: closely-spaced ports cut near-field dilution from ~19× to ~8×, more than doubling the far-field peak excess and turning an essentially-compliant discharge into one with a ~17,800 m² regulatory mixing zone.</w:t>
      </w:r>
    </w:p>
    <w:p>
      <w:pPr>
        <w:spacing w:after="120"/>
      </w:pPr>
      <w:r>
        <w:rPr>
          <w:rFonts w:ascii="Calibri" w:hAnsi="Calibri"/>
          <w:b w:val="0"/>
          <w:i/>
          <w:sz w:val="22"/>
        </w:rPr>
        <w:t>Table 2 — Preliminary case results (single-port vs merged multiport diffuser)</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val="clear" w:color="auto" w:fill="1F4E79"/>
          </w:tcPr>
          <w:p>
            <w:r/>
            <w:r>
              <w:rPr>
                <w:rFonts w:ascii="Calibri" w:hAnsi="Calibri"/>
                <w:b/>
                <w:color w:val="FFFFFF"/>
                <w:sz w:val="18"/>
              </w:rPr>
              <w:t>Quantity</w:t>
            </w:r>
          </w:p>
        </w:tc>
        <w:tc>
          <w:tcPr>
            <w:tcW w:type="dxa" w:w="2448"/>
            <w:shd w:val="clear" w:color="auto" w:fill="1F4E79"/>
          </w:tcPr>
          <w:p>
            <w:r/>
            <w:r>
              <w:rPr>
                <w:rFonts w:ascii="Calibri" w:hAnsi="Calibri"/>
                <w:b/>
                <w:color w:val="FFFFFF"/>
                <w:sz w:val="18"/>
              </w:rPr>
              <w:t>Single-port</w:t>
            </w:r>
          </w:p>
        </w:tc>
        <w:tc>
          <w:tcPr>
            <w:tcW w:type="dxa" w:w="2736"/>
            <w:shd w:val="clear" w:color="auto" w:fill="1F4E79"/>
          </w:tcPr>
          <w:p>
            <w:r/>
            <w:r>
              <w:rPr>
                <w:rFonts w:ascii="Calibri" w:hAnsi="Calibri"/>
                <w:b/>
                <w:color w:val="FFFFFF"/>
                <w:sz w:val="18"/>
              </w:rPr>
              <w:t>Merged multiport</w:t>
            </w:r>
          </w:p>
        </w:tc>
      </w:tr>
      <w:tr>
        <w:tc>
          <w:tcPr>
            <w:tcW w:type="dxa" w:w="3744"/>
          </w:tcPr>
          <w:p>
            <w:r/>
            <w:r>
              <w:rPr>
                <w:rFonts w:ascii="Calibri" w:hAnsi="Calibri"/>
                <w:sz w:val="18"/>
              </w:rPr>
              <w:t>Near-field dilution</w:t>
            </w:r>
          </w:p>
        </w:tc>
        <w:tc>
          <w:tcPr>
            <w:tcW w:type="dxa" w:w="2448"/>
          </w:tcPr>
          <w:p>
            <w:r/>
            <w:r>
              <w:rPr>
                <w:rFonts w:ascii="Calibri" w:hAnsi="Calibri"/>
                <w:sz w:val="18"/>
              </w:rPr>
              <w:t>19 ×</w:t>
            </w:r>
          </w:p>
        </w:tc>
        <w:tc>
          <w:tcPr>
            <w:tcW w:type="dxa" w:w="2736"/>
          </w:tcPr>
          <w:p>
            <w:r/>
            <w:r>
              <w:rPr>
                <w:rFonts w:ascii="Calibri" w:hAnsi="Calibri"/>
                <w:sz w:val="18"/>
              </w:rPr>
              <w:t>8 ×</w:t>
            </w:r>
          </w:p>
        </w:tc>
      </w:tr>
      <w:tr>
        <w:tc>
          <w:tcPr>
            <w:tcW w:type="dxa" w:w="3744"/>
          </w:tcPr>
          <w:p>
            <w:r/>
            <w:r>
              <w:rPr>
                <w:rFonts w:ascii="Calibri" w:hAnsi="Calibri"/>
                <w:sz w:val="18"/>
              </w:rPr>
              <w:t>Excess ΔS at seabed return</w:t>
            </w:r>
          </w:p>
        </w:tc>
        <w:tc>
          <w:tcPr>
            <w:tcW w:type="dxa" w:w="2448"/>
          </w:tcPr>
          <w:p>
            <w:r/>
            <w:r>
              <w:rPr>
                <w:rFonts w:ascii="Calibri" w:hAnsi="Calibri"/>
                <w:sz w:val="18"/>
              </w:rPr>
              <w:t>1.5 g/kg</w:t>
            </w:r>
          </w:p>
        </w:tc>
        <w:tc>
          <w:tcPr>
            <w:tcW w:type="dxa" w:w="2736"/>
          </w:tcPr>
          <w:p>
            <w:r/>
            <w:r>
              <w:rPr>
                <w:rFonts w:ascii="Calibri" w:hAnsi="Calibri"/>
                <w:sz w:val="18"/>
              </w:rPr>
              <w:t>3.7 g/kg</w:t>
            </w:r>
          </w:p>
        </w:tc>
      </w:tr>
      <w:tr>
        <w:tc>
          <w:tcPr>
            <w:tcW w:type="dxa" w:w="3744"/>
          </w:tcPr>
          <w:p>
            <w:r/>
            <w:r>
              <w:rPr>
                <w:rFonts w:ascii="Calibri" w:hAnsi="Calibri"/>
                <w:sz w:val="18"/>
              </w:rPr>
              <w:t>Far-field peak excess</w:t>
            </w:r>
          </w:p>
        </w:tc>
        <w:tc>
          <w:tcPr>
            <w:tcW w:type="dxa" w:w="2448"/>
          </w:tcPr>
          <w:p>
            <w:r/>
            <w:r>
              <w:rPr>
                <w:rFonts w:ascii="Calibri" w:hAnsi="Calibri"/>
                <w:sz w:val="18"/>
              </w:rPr>
              <w:t>2.13 g/kg</w:t>
            </w:r>
          </w:p>
        </w:tc>
        <w:tc>
          <w:tcPr>
            <w:tcW w:type="dxa" w:w="2736"/>
          </w:tcPr>
          <w:p>
            <w:r/>
            <w:r>
              <w:rPr>
                <w:rFonts w:ascii="Calibri" w:hAnsi="Calibri"/>
                <w:sz w:val="18"/>
              </w:rPr>
              <w:t>4.45 g/kg</w:t>
            </w:r>
          </w:p>
        </w:tc>
      </w:tr>
      <w:tr>
        <w:tc>
          <w:tcPr>
            <w:tcW w:type="dxa" w:w="3744"/>
          </w:tcPr>
          <w:p>
            <w:r/>
            <w:r>
              <w:rPr>
                <w:rFonts w:ascii="Calibri" w:hAnsi="Calibri"/>
                <w:sz w:val="18"/>
              </w:rPr>
              <w:t>Exceedance footprint (&gt;2 g/kg)</w:t>
            </w:r>
          </w:p>
        </w:tc>
        <w:tc>
          <w:tcPr>
            <w:tcW w:type="dxa" w:w="2448"/>
          </w:tcPr>
          <w:p>
            <w:r/>
            <w:r>
              <w:rPr>
                <w:rFonts w:ascii="Calibri" w:hAnsi="Calibri"/>
                <w:sz w:val="18"/>
              </w:rPr>
              <w:t>≈ 0 m²</w:t>
            </w:r>
          </w:p>
        </w:tc>
        <w:tc>
          <w:tcPr>
            <w:tcW w:type="dxa" w:w="2736"/>
          </w:tcPr>
          <w:p>
            <w:r/>
            <w:r>
              <w:rPr>
                <w:rFonts w:ascii="Calibri" w:hAnsi="Calibri"/>
                <w:sz w:val="18"/>
              </w:rPr>
              <w:t>17,812 m²</w:t>
            </w:r>
          </w:p>
        </w:tc>
      </w:tr>
      <w:tr>
        <w:tc>
          <w:tcPr>
            <w:tcW w:type="dxa" w:w="3744"/>
          </w:tcPr>
          <w:p>
            <w:r/>
            <w:r>
              <w:rPr>
                <w:rFonts w:ascii="Calibri" w:hAnsi="Calibri"/>
                <w:sz w:val="18"/>
              </w:rPr>
              <w:t>Maximum reach</w:t>
            </w:r>
          </w:p>
        </w:tc>
        <w:tc>
          <w:tcPr>
            <w:tcW w:type="dxa" w:w="2448"/>
          </w:tcPr>
          <w:p>
            <w:r/>
            <w:r>
              <w:rPr>
                <w:rFonts w:ascii="Calibri" w:hAnsi="Calibri"/>
                <w:sz w:val="18"/>
              </w:rPr>
              <w:t>45 m</w:t>
            </w:r>
          </w:p>
        </w:tc>
        <w:tc>
          <w:tcPr>
            <w:tcW w:type="dxa" w:w="2736"/>
          </w:tcPr>
          <w:p>
            <w:r/>
            <w:r>
              <w:rPr>
                <w:rFonts w:ascii="Calibri" w:hAnsi="Calibri"/>
                <w:sz w:val="18"/>
              </w:rPr>
              <w:t>167 m</w:t>
            </w:r>
          </w:p>
        </w:tc>
      </w:tr>
      <w:tr>
        <w:tc>
          <w:tcPr>
            <w:tcW w:type="dxa" w:w="3744"/>
          </w:tcPr>
          <w:p>
            <w:r/>
            <w:r>
              <w:rPr>
                <w:rFonts w:ascii="Calibri" w:hAnsi="Calibri"/>
                <w:sz w:val="18"/>
              </w:rPr>
              <w:t>Far-field compliance</w:t>
            </w:r>
          </w:p>
        </w:tc>
        <w:tc>
          <w:tcPr>
            <w:tcW w:type="dxa" w:w="2448"/>
          </w:tcPr>
          <w:p>
            <w:r/>
            <w:r>
              <w:rPr>
                <w:rFonts w:ascii="Calibri" w:hAnsi="Calibri"/>
                <w:sz w:val="18"/>
              </w:rPr>
              <w:t>compliant</w:t>
            </w:r>
          </w:p>
        </w:tc>
        <w:tc>
          <w:tcPr>
            <w:tcW w:type="dxa" w:w="2736"/>
          </w:tcPr>
          <w:p>
            <w:r/>
            <w:r>
              <w:rPr>
                <w:rFonts w:ascii="Calibri" w:hAnsi="Calibri"/>
                <w:sz w:val="18"/>
              </w:rPr>
              <w:t>defined mixing zone</w:t>
            </w:r>
          </w:p>
        </w:tc>
      </w:tr>
    </w:tbl>
    <w:p>
      <w:pPr>
        <w:jc w:val="center"/>
      </w:pPr>
      <w:r>
        <w:drawing>
          <wp:inline xmlns:a="http://schemas.openxmlformats.org/drawingml/2006/main" xmlns:pic="http://schemas.openxmlformats.org/drawingml/2006/picture">
            <wp:extent cx="5120640" cy="2867558"/>
            <wp:docPr id="1" name="Picture 1"/>
            <wp:cNvGraphicFramePr>
              <a:graphicFrameLocks noChangeAspect="1"/>
            </wp:cNvGraphicFramePr>
            <a:graphic>
              <a:graphicData uri="http://schemas.openxmlformats.org/drawingml/2006/picture">
                <pic:pic>
                  <pic:nvPicPr>
                    <pic:cNvPr id="0" name="fig_nearfield_trajectory.png"/>
                    <pic:cNvPicPr/>
                  </pic:nvPicPr>
                  <pic:blipFill>
                    <a:blip r:embed="rId9"/>
                    <a:stretch>
                      <a:fillRect/>
                    </a:stretch>
                  </pic:blipFill>
                  <pic:spPr>
                    <a:xfrm>
                      <a:off x="0" y="0"/>
                      <a:ext cx="5120640" cy="2867558"/>
                    </a:xfrm>
                    <a:prstGeom prst="rect"/>
                  </pic:spPr>
                </pic:pic>
              </a:graphicData>
            </a:graphic>
          </wp:inline>
        </w:drawing>
      </w:r>
    </w:p>
    <w:p>
      <w:pPr>
        <w:spacing w:after="200"/>
        <w:jc w:val="center"/>
      </w:pPr>
      <w:r>
        <w:rPr>
          <w:rFonts w:ascii="Calibri" w:hAnsi="Calibri"/>
          <w:i/>
          <w:sz w:val="19"/>
        </w:rPr>
        <w:t>Figure 1 (preliminary). Validated near-field inclined dense-jet trajectory; modelled rise and dilution match laboratory scaling.</w:t>
      </w:r>
    </w:p>
    <w:p>
      <w:pPr>
        <w:jc w:val="center"/>
      </w:pPr>
      <w:r>
        <w:drawing>
          <wp:inline xmlns:a="http://schemas.openxmlformats.org/drawingml/2006/main" xmlns:pic="http://schemas.openxmlformats.org/drawingml/2006/picture">
            <wp:extent cx="5120640" cy="2867558"/>
            <wp:docPr id="2" name="Picture 2"/>
            <wp:cNvGraphicFramePr>
              <a:graphicFrameLocks noChangeAspect="1"/>
            </wp:cNvGraphicFramePr>
            <a:graphic>
              <a:graphicData uri="http://schemas.openxmlformats.org/drawingml/2006/picture">
                <pic:pic>
                  <pic:nvPicPr>
                    <pic:cNvPr id="0" name="fig_seabed_excess_map.png"/>
                    <pic:cNvPicPr/>
                  </pic:nvPicPr>
                  <pic:blipFill>
                    <a:blip r:embed="rId10"/>
                    <a:stretch>
                      <a:fillRect/>
                    </a:stretch>
                  </pic:blipFill>
                  <pic:spPr>
                    <a:xfrm>
                      <a:off x="0" y="0"/>
                      <a:ext cx="5120640" cy="2867558"/>
                    </a:xfrm>
                    <a:prstGeom prst="rect"/>
                  </pic:spPr>
                </pic:pic>
              </a:graphicData>
            </a:graphic>
          </wp:inline>
        </w:drawing>
      </w:r>
    </w:p>
    <w:p>
      <w:pPr>
        <w:spacing w:after="200"/>
        <w:jc w:val="center"/>
      </w:pPr>
      <w:r>
        <w:rPr>
          <w:rFonts w:ascii="Calibri" w:hAnsi="Calibri"/>
          <w:i/>
          <w:sz w:val="19"/>
        </w:rPr>
        <w:t>Figure 2 (preliminary). Predicted seabed excess-salinity footprint for the merged multiport diffuser, with the regulatory mixing-zone contour.</w:t>
      </w:r>
    </w:p>
    <w:p>
      <w:r>
        <w:br w:type="page"/>
      </w:r>
    </w:p>
    <w:p>
      <w:pPr>
        <w:pStyle w:val="Heading1"/>
      </w:pPr>
      <w:r>
        <w:t>8. Research Programme and Work Plan</w:t>
      </w:r>
    </w:p>
    <w:p>
      <w:pPr>
        <w:spacing w:after="120"/>
      </w:pPr>
      <w:r>
        <w:rPr>
          <w:rFonts w:ascii="Calibri" w:hAnsi="Calibri"/>
          <w:b w:val="0"/>
          <w:i w:val="0"/>
          <w:sz w:val="22"/>
        </w:rPr>
        <w:t>The programme is organised into six work packages (WP) over 3.5 years.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shd w:val="clear" w:color="auto" w:fill="1F4E79"/>
          </w:tcPr>
          <w:p>
            <w:r/>
            <w:r>
              <w:rPr>
                <w:rFonts w:ascii="Calibri" w:hAnsi="Calibri"/>
                <w:b/>
                <w:color w:val="FFFFFF"/>
                <w:sz w:val="17"/>
              </w:rPr>
              <w:t>WP</w:t>
            </w:r>
          </w:p>
        </w:tc>
        <w:tc>
          <w:tcPr>
            <w:tcW w:type="dxa" w:w="2160"/>
            <w:shd w:val="clear" w:color="auto" w:fill="1F4E79"/>
          </w:tcPr>
          <w:p>
            <w:r/>
            <w:r>
              <w:rPr>
                <w:rFonts w:ascii="Calibri" w:hAnsi="Calibri"/>
                <w:b/>
                <w:color w:val="FFFFFF"/>
                <w:sz w:val="17"/>
              </w:rPr>
              <w:t>Title</w:t>
            </w:r>
          </w:p>
        </w:tc>
        <w:tc>
          <w:tcPr>
            <w:tcW w:type="dxa" w:w="4320"/>
            <w:shd w:val="clear" w:color="auto" w:fill="1F4E79"/>
          </w:tcPr>
          <w:p>
            <w:r/>
            <w:r>
              <w:rPr>
                <w:rFonts w:ascii="Calibri" w:hAnsi="Calibri"/>
                <w:b/>
                <w:color w:val="FFFFFF"/>
                <w:sz w:val="17"/>
              </w:rPr>
              <w:t>Key activities</w:t>
            </w:r>
          </w:p>
        </w:tc>
        <w:tc>
          <w:tcPr>
            <w:tcW w:type="dxa" w:w="2160"/>
            <w:shd w:val="clear" w:color="auto" w:fill="1F4E79"/>
          </w:tcPr>
          <w:p>
            <w:r/>
            <w:r>
              <w:rPr>
                <w:rFonts w:ascii="Calibri" w:hAnsi="Calibri"/>
                <w:b/>
                <w:color w:val="FFFFFF"/>
                <w:sz w:val="17"/>
              </w:rPr>
              <w:t>Output</w:t>
            </w:r>
          </w:p>
        </w:tc>
      </w:tr>
      <w:tr>
        <w:tc>
          <w:tcPr>
            <w:tcW w:type="dxa" w:w="720"/>
          </w:tcPr>
          <w:p>
            <w:r/>
            <w:r>
              <w:rPr>
                <w:rFonts w:ascii="Calibri" w:hAnsi="Calibri"/>
                <w:sz w:val="17"/>
              </w:rPr>
              <w:t>WP1</w:t>
            </w:r>
          </w:p>
        </w:tc>
        <w:tc>
          <w:tcPr>
            <w:tcW w:type="dxa" w:w="2160"/>
          </w:tcPr>
          <w:p>
            <w:r/>
            <w:r>
              <w:rPr>
                <w:rFonts w:ascii="Calibri" w:hAnsi="Calibri"/>
                <w:sz w:val="17"/>
              </w:rPr>
              <w:t>Consolidation &amp; literature synthesis</w:t>
            </w:r>
          </w:p>
        </w:tc>
        <w:tc>
          <w:tcPr>
            <w:tcW w:type="dxa" w:w="4320"/>
          </w:tcPr>
          <w:p>
            <w:r/>
            <w:r>
              <w:rPr>
                <w:rFonts w:ascii="Calibri" w:hAnsi="Calibri"/>
                <w:sz w:val="17"/>
              </w:rPr>
              <w:t>Critical review; benchmark against CORMIX/VISJET; refine model formulation and self-test suite</w:t>
            </w:r>
          </w:p>
        </w:tc>
        <w:tc>
          <w:tcPr>
            <w:tcW w:type="dxa" w:w="2160"/>
          </w:tcPr>
          <w:p>
            <w:r/>
            <w:r>
              <w:rPr>
                <w:rFonts w:ascii="Calibri" w:hAnsi="Calibri"/>
                <w:sz w:val="17"/>
              </w:rPr>
              <w:t>Review paper; verified baseline</w:t>
            </w:r>
          </w:p>
        </w:tc>
      </w:tr>
      <w:tr>
        <w:tc>
          <w:tcPr>
            <w:tcW w:type="dxa" w:w="720"/>
          </w:tcPr>
          <w:p>
            <w:r/>
            <w:r>
              <w:rPr>
                <w:rFonts w:ascii="Calibri" w:hAnsi="Calibri"/>
                <w:sz w:val="17"/>
              </w:rPr>
              <w:t>WP2</w:t>
            </w:r>
          </w:p>
        </w:tc>
        <w:tc>
          <w:tcPr>
            <w:tcW w:type="dxa" w:w="2160"/>
          </w:tcPr>
          <w:p>
            <w:r/>
            <w:r>
              <w:rPr>
                <w:rFonts w:ascii="Calibri" w:hAnsi="Calibri"/>
                <w:sz w:val="17"/>
              </w:rPr>
              <w:t>Physics extension</w:t>
            </w:r>
          </w:p>
        </w:tc>
        <w:tc>
          <w:tcPr>
            <w:tcW w:type="dxa" w:w="4320"/>
          </w:tcPr>
          <w:p>
            <w:r/>
            <w:r>
              <w:rPr>
                <w:rFonts w:ascii="Calibri" w:hAnsi="Calibri"/>
                <w:sz w:val="17"/>
              </w:rPr>
              <w:t>Non-Boussinesq variable-density projection; multi-ion (Maxwell–Stefan) chemistry; 2nd-order time integration; conservative free surface</w:t>
            </w:r>
          </w:p>
        </w:tc>
        <w:tc>
          <w:tcPr>
            <w:tcW w:type="dxa" w:w="2160"/>
          </w:tcPr>
          <w:p>
            <w:r/>
            <w:r>
              <w:rPr>
                <w:rFonts w:ascii="Calibri" w:hAnsi="Calibri"/>
                <w:sz w:val="17"/>
              </w:rPr>
              <w:t>Extended solver; methods paper</w:t>
            </w:r>
          </w:p>
        </w:tc>
      </w:tr>
      <w:tr>
        <w:tc>
          <w:tcPr>
            <w:tcW w:type="dxa" w:w="720"/>
          </w:tcPr>
          <w:p>
            <w:r/>
            <w:r>
              <w:rPr>
                <w:rFonts w:ascii="Calibri" w:hAnsi="Calibri"/>
                <w:sz w:val="17"/>
              </w:rPr>
              <w:t>WP3</w:t>
            </w:r>
          </w:p>
        </w:tc>
        <w:tc>
          <w:tcPr>
            <w:tcW w:type="dxa" w:w="2160"/>
          </w:tcPr>
          <w:p>
            <w:r/>
            <w:r>
              <w:rPr>
                <w:rFonts w:ascii="Calibri" w:hAnsi="Calibri"/>
                <w:sz w:val="17"/>
              </w:rPr>
              <w:t>Field validation (core)</w:t>
            </w:r>
          </w:p>
        </w:tc>
        <w:tc>
          <w:tcPr>
            <w:tcW w:type="dxa" w:w="4320"/>
          </w:tcPr>
          <w:p>
            <w:r/>
            <w:r>
              <w:rPr>
                <w:rFonts w:ascii="Calibri" w:hAnsi="Calibri"/>
                <w:sz w:val="17"/>
              </w:rPr>
              <w:t>Design &amp; execute CTD/ADCP/towed-sensor survey at an operating outfall; calibrate; validate near &amp; far field and the uncertainty envelope</w:t>
            </w:r>
          </w:p>
        </w:tc>
        <w:tc>
          <w:tcPr>
            <w:tcW w:type="dxa" w:w="2160"/>
          </w:tcPr>
          <w:p>
            <w:r/>
            <w:r>
              <w:rPr>
                <w:rFonts w:ascii="Calibri" w:hAnsi="Calibri"/>
                <w:sz w:val="17"/>
              </w:rPr>
              <w:t>Validation dataset; key paper</w:t>
            </w:r>
          </w:p>
        </w:tc>
      </w:tr>
      <w:tr>
        <w:tc>
          <w:tcPr>
            <w:tcW w:type="dxa" w:w="720"/>
          </w:tcPr>
          <w:p>
            <w:r/>
            <w:r>
              <w:rPr>
                <w:rFonts w:ascii="Calibri" w:hAnsi="Calibri"/>
                <w:sz w:val="17"/>
              </w:rPr>
              <w:t>WP4</w:t>
            </w:r>
          </w:p>
        </w:tc>
        <w:tc>
          <w:tcPr>
            <w:tcW w:type="dxa" w:w="2160"/>
          </w:tcPr>
          <w:p>
            <w:r/>
            <w:r>
              <w:rPr>
                <w:rFonts w:ascii="Calibri" w:hAnsi="Calibri"/>
                <w:sz w:val="17"/>
              </w:rPr>
              <w:t>Uncertainty &amp; ML surrogate</w:t>
            </w:r>
          </w:p>
        </w:tc>
        <w:tc>
          <w:tcPr>
            <w:tcW w:type="dxa" w:w="4320"/>
          </w:tcPr>
          <w:p>
            <w:r/>
            <w:r>
              <w:rPr>
                <w:rFonts w:ascii="Calibri" w:hAnsi="Calibri"/>
                <w:sz w:val="17"/>
              </w:rPr>
              <w:t>Polynomial-chaos / neural surrogate for rapid probabilistic screening; sensitivity (Sobol) analysis</w:t>
            </w:r>
          </w:p>
        </w:tc>
        <w:tc>
          <w:tcPr>
            <w:tcW w:type="dxa" w:w="2160"/>
          </w:tcPr>
          <w:p>
            <w:r/>
            <w:r>
              <w:rPr>
                <w:rFonts w:ascii="Calibri" w:hAnsi="Calibri"/>
                <w:sz w:val="17"/>
              </w:rPr>
              <w:t>Surrogate tool; UQ paper</w:t>
            </w:r>
          </w:p>
        </w:tc>
      </w:tr>
      <w:tr>
        <w:tc>
          <w:tcPr>
            <w:tcW w:type="dxa" w:w="720"/>
          </w:tcPr>
          <w:p>
            <w:r/>
            <w:r>
              <w:rPr>
                <w:rFonts w:ascii="Calibri" w:hAnsi="Calibri"/>
                <w:sz w:val="17"/>
              </w:rPr>
              <w:t>WP5</w:t>
            </w:r>
          </w:p>
        </w:tc>
        <w:tc>
          <w:tcPr>
            <w:tcW w:type="dxa" w:w="2160"/>
          </w:tcPr>
          <w:p>
            <w:r/>
            <w:r>
              <w:rPr>
                <w:rFonts w:ascii="Calibri" w:hAnsi="Calibri"/>
                <w:sz w:val="17"/>
              </w:rPr>
              <w:t>Application &amp; tool release</w:t>
            </w:r>
          </w:p>
        </w:tc>
        <w:tc>
          <w:tcPr>
            <w:tcW w:type="dxa" w:w="4320"/>
          </w:tcPr>
          <w:p>
            <w:r/>
            <w:r>
              <w:rPr>
                <w:rFonts w:ascii="Calibri" w:hAnsi="Calibri"/>
                <w:sz w:val="17"/>
              </w:rPr>
              <w:t>Design/consenting case studies (multiport, stratified, energetic sites); open decision-support release; guidance</w:t>
            </w:r>
          </w:p>
        </w:tc>
        <w:tc>
          <w:tcPr>
            <w:tcW w:type="dxa" w:w="2160"/>
          </w:tcPr>
          <w:p>
            <w:r/>
            <w:r>
              <w:rPr>
                <w:rFonts w:ascii="Calibri" w:hAnsi="Calibri"/>
                <w:sz w:val="17"/>
              </w:rPr>
              <w:t>Software; case papers</w:t>
            </w:r>
          </w:p>
        </w:tc>
      </w:tr>
      <w:tr>
        <w:tc>
          <w:tcPr>
            <w:tcW w:type="dxa" w:w="720"/>
          </w:tcPr>
          <w:p>
            <w:r/>
            <w:r>
              <w:rPr>
                <w:rFonts w:ascii="Calibri" w:hAnsi="Calibri"/>
                <w:sz w:val="17"/>
              </w:rPr>
              <w:t>WP6</w:t>
            </w:r>
          </w:p>
        </w:tc>
        <w:tc>
          <w:tcPr>
            <w:tcW w:type="dxa" w:w="2160"/>
          </w:tcPr>
          <w:p>
            <w:r/>
            <w:r>
              <w:rPr>
                <w:rFonts w:ascii="Calibri" w:hAnsi="Calibri"/>
                <w:sz w:val="17"/>
              </w:rPr>
              <w:t>Synthesis &amp; thesis</w:t>
            </w:r>
          </w:p>
        </w:tc>
        <w:tc>
          <w:tcPr>
            <w:tcW w:type="dxa" w:w="4320"/>
          </w:tcPr>
          <w:p>
            <w:r/>
            <w:r>
              <w:rPr>
                <w:rFonts w:ascii="Calibri" w:hAnsi="Calibri"/>
                <w:sz w:val="17"/>
              </w:rPr>
              <w:t>Integration, dissemination, thesis writing</w:t>
            </w:r>
          </w:p>
        </w:tc>
        <w:tc>
          <w:tcPr>
            <w:tcW w:type="dxa" w:w="2160"/>
          </w:tcPr>
          <w:p>
            <w:r/>
            <w:r>
              <w:rPr>
                <w:rFonts w:ascii="Calibri" w:hAnsi="Calibri"/>
                <w:sz w:val="17"/>
              </w:rPr>
              <w:t>PhD thesis; 4–6 papers</w:t>
            </w:r>
          </w:p>
        </w:tc>
      </w:tr>
    </w:tbl>
    <w:p>
      <w:pPr>
        <w:spacing w:after="80"/>
      </w:pPr>
      <w:r>
        <w:rPr>
          <w:rFonts w:ascii="Calibri" w:hAnsi="Calibri"/>
          <w:b w:val="0"/>
          <w:i w:val="0"/>
          <w:sz w:val="22"/>
        </w:rPr>
        <w:t>Indicative timeline (●= active):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3168"/>
            <w:shd w:val="clear" w:color="auto" w:fill="1F4E79"/>
          </w:tcPr>
          <w:p>
            <w:r/>
            <w:r>
              <w:rPr>
                <w:rFonts w:ascii="Calibri" w:hAnsi="Calibri"/>
                <w:b/>
                <w:color w:val="FFFFFF"/>
                <w:sz w:val="17"/>
              </w:rPr>
              <w:t>Work package</w:t>
            </w:r>
          </w:p>
        </w:tc>
        <w:tc>
          <w:tcPr>
            <w:tcW w:type="dxa" w:w="864"/>
            <w:shd w:val="clear" w:color="auto" w:fill="1F4E79"/>
          </w:tcPr>
          <w:p>
            <w:r/>
            <w:r>
              <w:rPr>
                <w:rFonts w:ascii="Calibri" w:hAnsi="Calibri"/>
                <w:b/>
                <w:color w:val="FFFFFF"/>
                <w:sz w:val="17"/>
              </w:rPr>
              <w:t>Y1 H1</w:t>
            </w:r>
          </w:p>
        </w:tc>
        <w:tc>
          <w:tcPr>
            <w:tcW w:type="dxa" w:w="864"/>
            <w:shd w:val="clear" w:color="auto" w:fill="1F4E79"/>
          </w:tcPr>
          <w:p>
            <w:r/>
            <w:r>
              <w:rPr>
                <w:rFonts w:ascii="Calibri" w:hAnsi="Calibri"/>
                <w:b/>
                <w:color w:val="FFFFFF"/>
                <w:sz w:val="17"/>
              </w:rPr>
              <w:t>Y1 H2</w:t>
            </w:r>
          </w:p>
        </w:tc>
        <w:tc>
          <w:tcPr>
            <w:tcW w:type="dxa" w:w="864"/>
            <w:shd w:val="clear" w:color="auto" w:fill="1F4E79"/>
          </w:tcPr>
          <w:p>
            <w:r/>
            <w:r>
              <w:rPr>
                <w:rFonts w:ascii="Calibri" w:hAnsi="Calibri"/>
                <w:b/>
                <w:color w:val="FFFFFF"/>
                <w:sz w:val="17"/>
              </w:rPr>
              <w:t>Y2 H1</w:t>
            </w:r>
          </w:p>
        </w:tc>
        <w:tc>
          <w:tcPr>
            <w:tcW w:type="dxa" w:w="864"/>
            <w:shd w:val="clear" w:color="auto" w:fill="1F4E79"/>
          </w:tcPr>
          <w:p>
            <w:r/>
            <w:r>
              <w:rPr>
                <w:rFonts w:ascii="Calibri" w:hAnsi="Calibri"/>
                <w:b/>
                <w:color w:val="FFFFFF"/>
                <w:sz w:val="17"/>
              </w:rPr>
              <w:t>Y2 H2</w:t>
            </w:r>
          </w:p>
        </w:tc>
        <w:tc>
          <w:tcPr>
            <w:tcW w:type="dxa" w:w="864"/>
            <w:shd w:val="clear" w:color="auto" w:fill="1F4E79"/>
          </w:tcPr>
          <w:p>
            <w:r/>
            <w:r>
              <w:rPr>
                <w:rFonts w:ascii="Calibri" w:hAnsi="Calibri"/>
                <w:b/>
                <w:color w:val="FFFFFF"/>
                <w:sz w:val="17"/>
              </w:rPr>
              <w:t>Y3 H1</w:t>
            </w:r>
          </w:p>
        </w:tc>
        <w:tc>
          <w:tcPr>
            <w:tcW w:type="dxa" w:w="864"/>
            <w:shd w:val="clear" w:color="auto" w:fill="1F4E79"/>
          </w:tcPr>
          <w:p>
            <w:r/>
            <w:r>
              <w:rPr>
                <w:rFonts w:ascii="Calibri" w:hAnsi="Calibri"/>
                <w:b/>
                <w:color w:val="FFFFFF"/>
                <w:sz w:val="17"/>
              </w:rPr>
              <w:t>Y3 H2</w:t>
            </w:r>
          </w:p>
        </w:tc>
        <w:tc>
          <w:tcPr>
            <w:tcW w:type="dxa" w:w="864"/>
            <w:shd w:val="clear" w:color="auto" w:fill="1F4E79"/>
          </w:tcPr>
          <w:p>
            <w:r/>
            <w:r>
              <w:rPr>
                <w:rFonts w:ascii="Calibri" w:hAnsi="Calibri"/>
                <w:b/>
                <w:color w:val="FFFFFF"/>
                <w:sz w:val="17"/>
              </w:rPr>
              <w:t>Y4 H1</w:t>
            </w:r>
          </w:p>
        </w:tc>
      </w:tr>
      <w:tr>
        <w:tc>
          <w:tcPr>
            <w:tcW w:type="dxa" w:w="3168"/>
          </w:tcPr>
          <w:p>
            <w:r/>
            <w:r>
              <w:rPr>
                <w:rFonts w:ascii="Calibri" w:hAnsi="Calibri"/>
                <w:sz w:val="17"/>
              </w:rPr>
              <w:t>WP1 Consolidation</w:t>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r>
      <w:tr>
        <w:tc>
          <w:tcPr>
            <w:tcW w:type="dxa" w:w="3168"/>
          </w:tcPr>
          <w:p>
            <w:r/>
            <w:r>
              <w:rPr>
                <w:rFonts w:ascii="Calibri" w:hAnsi="Calibri"/>
                <w:sz w:val="17"/>
              </w:rPr>
              <w:t>WP2 Physics extension</w:t>
            </w:r>
          </w:p>
        </w:tc>
        <w:tc>
          <w:tcPr>
            <w:tcW w:type="dxa" w:w="864"/>
          </w:tcPr>
          <w:p>
            <w:r/>
            <w:r>
              <w:rPr>
                <w:rFonts w:ascii="Calibri" w:hAnsi="Calibri"/>
                <w:sz w:val="17"/>
              </w:rPr>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r>
      <w:tr>
        <w:tc>
          <w:tcPr>
            <w:tcW w:type="dxa" w:w="3168"/>
          </w:tcPr>
          <w:p>
            <w:r/>
            <w:r>
              <w:rPr>
                <w:rFonts w:ascii="Calibri" w:hAnsi="Calibri"/>
                <w:sz w:val="17"/>
              </w:rPr>
              <w:t>WP3 Field validation</w:t>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r>
          </w:p>
        </w:tc>
        <w:tc>
          <w:tcPr>
            <w:tcW w:type="dxa" w:w="864"/>
          </w:tcPr>
          <w:p>
            <w:r/>
            <w:r>
              <w:rPr>
                <w:rFonts w:ascii="Calibri" w:hAnsi="Calibri"/>
                <w:sz w:val="17"/>
              </w:rPr>
            </w:r>
          </w:p>
        </w:tc>
      </w:tr>
      <w:tr>
        <w:tc>
          <w:tcPr>
            <w:tcW w:type="dxa" w:w="3168"/>
          </w:tcPr>
          <w:p>
            <w:r/>
            <w:r>
              <w:rPr>
                <w:rFonts w:ascii="Calibri" w:hAnsi="Calibri"/>
                <w:sz w:val="17"/>
              </w:rPr>
              <w:t>WP4 UQ &amp; surrogate</w:t>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r>
          </w:p>
        </w:tc>
      </w:tr>
      <w:tr>
        <w:tc>
          <w:tcPr>
            <w:tcW w:type="dxa" w:w="3168"/>
          </w:tcPr>
          <w:p>
            <w:r/>
            <w:r>
              <w:rPr>
                <w:rFonts w:ascii="Calibri" w:hAnsi="Calibri"/>
                <w:sz w:val="17"/>
              </w:rPr>
              <w:t>WP5 Application &amp; tool</w:t>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t>●</w:t>
            </w:r>
          </w:p>
        </w:tc>
        <w:tc>
          <w:tcPr>
            <w:tcW w:type="dxa" w:w="864"/>
          </w:tcPr>
          <w:p>
            <w:r/>
            <w:r>
              <w:rPr>
                <w:rFonts w:ascii="Calibri" w:hAnsi="Calibri"/>
                <w:sz w:val="17"/>
              </w:rPr>
              <w:t>●</w:t>
            </w:r>
          </w:p>
        </w:tc>
        <w:tc>
          <w:tcPr>
            <w:tcW w:type="dxa" w:w="864"/>
          </w:tcPr>
          <w:p>
            <w:r/>
            <w:r>
              <w:rPr>
                <w:rFonts w:ascii="Calibri" w:hAnsi="Calibri"/>
                <w:sz w:val="17"/>
              </w:rPr>
              <w:t>●</w:t>
            </w:r>
          </w:p>
        </w:tc>
      </w:tr>
      <w:tr>
        <w:tc>
          <w:tcPr>
            <w:tcW w:type="dxa" w:w="3168"/>
          </w:tcPr>
          <w:p>
            <w:r/>
            <w:r>
              <w:rPr>
                <w:rFonts w:ascii="Calibri" w:hAnsi="Calibri"/>
                <w:sz w:val="17"/>
              </w:rPr>
              <w:t>WP6 Synthesis &amp; thesis</w:t>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r>
          </w:p>
        </w:tc>
        <w:tc>
          <w:tcPr>
            <w:tcW w:type="dxa" w:w="864"/>
          </w:tcPr>
          <w:p>
            <w:r/>
            <w:r>
              <w:rPr>
                <w:rFonts w:ascii="Calibri" w:hAnsi="Calibri"/>
                <w:sz w:val="17"/>
              </w:rPr>
              <w:t>●</w:t>
            </w:r>
          </w:p>
        </w:tc>
        <w:tc>
          <w:tcPr>
            <w:tcW w:type="dxa" w:w="864"/>
          </w:tcPr>
          <w:p>
            <w:r/>
            <w:r>
              <w:rPr>
                <w:rFonts w:ascii="Calibri" w:hAnsi="Calibri"/>
                <w:sz w:val="17"/>
              </w:rPr>
              <w:t>●</w:t>
            </w:r>
          </w:p>
        </w:tc>
      </w:tr>
    </w:tbl>
    <w:p>
      <w:pPr>
        <w:pStyle w:val="Heading1"/>
      </w:pPr>
      <w:r>
        <w:t>9. Expected Outcomes, Deliverables and Publications</w:t>
      </w:r>
    </w:p>
    <w:p>
      <w:pPr>
        <w:pStyle w:val="ListBullet"/>
        <w:spacing w:after="40"/>
      </w:pPr>
      <w:r>
        <w:rPr>
          <w:rFonts w:ascii="Calibri" w:hAnsi="Calibri"/>
          <w:sz w:val="22"/>
        </w:rPr>
        <w:t>A validated, uncertainty-aware coupled-PDE framework for brine-outfall salinity prediction, with an extended (non-Boussinesq, multi-ion) physics core.</w:t>
      </w:r>
    </w:p>
    <w:p>
      <w:pPr>
        <w:pStyle w:val="ListBullet"/>
        <w:spacing w:after="40"/>
      </w:pPr>
      <w:r>
        <w:rPr>
          <w:rFonts w:ascii="Calibri" w:hAnsi="Calibri"/>
          <w:sz w:val="22"/>
        </w:rPr>
        <w:t>The first field-validated near-field/far-field stochastic coupling for dense effluent dispersion, with a published validation dataset.</w:t>
      </w:r>
    </w:p>
    <w:p>
      <w:pPr>
        <w:pStyle w:val="ListBullet"/>
        <w:spacing w:after="40"/>
      </w:pPr>
      <w:r>
        <w:rPr>
          <w:rFonts w:ascii="Calibri" w:hAnsi="Calibri"/>
          <w:sz w:val="22"/>
        </w:rPr>
        <w:t>A fast machine-learning surrogate enabling probabilistic compliance screening in design workflows.</w:t>
      </w:r>
    </w:p>
    <w:p>
      <w:pPr>
        <w:pStyle w:val="ListBullet"/>
        <w:spacing w:after="40"/>
      </w:pPr>
      <w:r>
        <w:rPr>
          <w:rFonts w:ascii="Calibri" w:hAnsi="Calibri"/>
          <w:sz w:val="22"/>
        </w:rPr>
        <w:t>An open, documented decision-support tool and design guidance on diffuser configuration (notably port spacing and jet merging).</w:t>
      </w:r>
    </w:p>
    <w:p>
      <w:pPr>
        <w:pStyle w:val="ListBullet"/>
        <w:spacing w:after="40"/>
      </w:pPr>
      <w:r>
        <w:rPr>
          <w:rFonts w:ascii="Calibri" w:hAnsi="Calibri"/>
          <w:sz w:val="22"/>
        </w:rPr>
        <w:t>4–6 peer-reviewed journal papers and a PhD thesis.</w:t>
      </w:r>
    </w:p>
    <w:p>
      <w:pPr>
        <w:pStyle w:val="Heading1"/>
      </w:pPr>
      <w:r>
        <w:t>10. Significance and Impact</w:t>
      </w:r>
    </w:p>
    <w:p>
      <w:pPr>
        <w:spacing w:after="120"/>
      </w:pPr>
      <w:r>
        <w:rPr>
          <w:rFonts w:ascii="Calibri" w:hAnsi="Calibri"/>
          <w:b w:val="0"/>
          <w:i w:val="0"/>
          <w:sz w:val="22"/>
        </w:rPr>
        <w:t>Scientifically, the project advances environmental fluid mechanics by delivering a validated coupled stochastic-PDE treatment of dense effluent dispersion with quantified uncertainty. Practically, it equips desalination engineers and marine regulators with a more complete, risk-based predictive capability — supporting outfall design that minimises ecological impact and evidence-based consenting. Given the rapid global growth of desalination and tightening marine-protection regimes, the impact is timely and international.</w:t>
      </w:r>
    </w:p>
    <w:p>
      <w:pPr>
        <w:pStyle w:val="Heading1"/>
      </w:pPr>
      <w:r>
        <w:t>11. Risk Management and Contingency</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color="auto" w:fill="1F4E79"/>
          </w:tcPr>
          <w:p>
            <w:r/>
            <w:r>
              <w:rPr>
                <w:rFonts w:ascii="Calibri" w:hAnsi="Calibri"/>
                <w:b/>
                <w:color w:val="FFFFFF"/>
                <w:sz w:val="17"/>
              </w:rPr>
              <w:t>Risk</w:t>
            </w:r>
          </w:p>
        </w:tc>
        <w:tc>
          <w:tcPr>
            <w:tcW w:type="dxa" w:w="1872"/>
            <w:shd w:val="clear" w:color="auto" w:fill="1F4E79"/>
          </w:tcPr>
          <w:p>
            <w:r/>
            <w:r>
              <w:rPr>
                <w:rFonts w:ascii="Calibri" w:hAnsi="Calibri"/>
                <w:b/>
                <w:color w:val="FFFFFF"/>
                <w:sz w:val="17"/>
              </w:rPr>
              <w:t>Likelihood / impact</w:t>
            </w:r>
          </w:p>
        </w:tc>
        <w:tc>
          <w:tcPr>
            <w:tcW w:type="dxa" w:w="3888"/>
            <w:shd w:val="clear" w:color="auto" w:fill="1F4E79"/>
          </w:tcPr>
          <w:p>
            <w:r/>
            <w:r>
              <w:rPr>
                <w:rFonts w:ascii="Calibri" w:hAnsi="Calibri"/>
                <w:b/>
                <w:color w:val="FFFFFF"/>
                <w:sz w:val="17"/>
              </w:rPr>
              <w:t>Mitigation</w:t>
            </w:r>
          </w:p>
        </w:tc>
      </w:tr>
      <w:tr>
        <w:tc>
          <w:tcPr>
            <w:tcW w:type="dxa" w:w="3168"/>
          </w:tcPr>
          <w:p>
            <w:r/>
            <w:r>
              <w:rPr>
                <w:rFonts w:ascii="Calibri" w:hAnsi="Calibri"/>
                <w:sz w:val="17"/>
              </w:rPr>
              <w:t>Field-survey access or weather constraints (WP3)</w:t>
            </w:r>
          </w:p>
        </w:tc>
        <w:tc>
          <w:tcPr>
            <w:tcW w:type="dxa" w:w="1872"/>
          </w:tcPr>
          <w:p>
            <w:r/>
            <w:r>
              <w:rPr>
                <w:rFonts w:ascii="Calibri" w:hAnsi="Calibri"/>
                <w:sz w:val="17"/>
              </w:rPr>
              <w:t>Med / High</w:t>
            </w:r>
          </w:p>
        </w:tc>
        <w:tc>
          <w:tcPr>
            <w:tcW w:type="dxa" w:w="3888"/>
          </w:tcPr>
          <w:p>
            <w:r/>
            <w:r>
              <w:rPr>
                <w:rFonts w:ascii="Calibri" w:hAnsi="Calibri"/>
                <w:sz w:val="17"/>
              </w:rPr>
              <w:t>Multiple candidate sites; partner with plant operators early; use existing monitoring datasets as fallback</w:t>
            </w:r>
          </w:p>
        </w:tc>
      </w:tr>
      <w:tr>
        <w:tc>
          <w:tcPr>
            <w:tcW w:type="dxa" w:w="3168"/>
          </w:tcPr>
          <w:p>
            <w:r/>
            <w:r>
              <w:rPr>
                <w:rFonts w:ascii="Calibri" w:hAnsi="Calibri"/>
                <w:sz w:val="17"/>
              </w:rPr>
              <w:t>Non-Boussinesq solver instability (WP2)</w:t>
            </w:r>
          </w:p>
        </w:tc>
        <w:tc>
          <w:tcPr>
            <w:tcW w:type="dxa" w:w="1872"/>
          </w:tcPr>
          <w:p>
            <w:r/>
            <w:r>
              <w:rPr>
                <w:rFonts w:ascii="Calibri" w:hAnsi="Calibri"/>
                <w:sz w:val="17"/>
              </w:rPr>
              <w:t>Med / Med</w:t>
            </w:r>
          </w:p>
        </w:tc>
        <w:tc>
          <w:tcPr>
            <w:tcW w:type="dxa" w:w="3888"/>
          </w:tcPr>
          <w:p>
            <w:r/>
            <w:r>
              <w:rPr>
                <w:rFonts w:ascii="Calibri" w:hAnsi="Calibri"/>
                <w:sz w:val="17"/>
              </w:rPr>
              <w:t>Incremental development behind the verified baseline; retain stable Boussinesq-buoyancy default</w:t>
            </w:r>
          </w:p>
        </w:tc>
      </w:tr>
      <w:tr>
        <w:tc>
          <w:tcPr>
            <w:tcW w:type="dxa" w:w="3168"/>
          </w:tcPr>
          <w:p>
            <w:r/>
            <w:r>
              <w:rPr>
                <w:rFonts w:ascii="Calibri" w:hAnsi="Calibri"/>
                <w:sz w:val="17"/>
              </w:rPr>
              <w:t>Computational cost of ensembles</w:t>
            </w:r>
          </w:p>
        </w:tc>
        <w:tc>
          <w:tcPr>
            <w:tcW w:type="dxa" w:w="1872"/>
          </w:tcPr>
          <w:p>
            <w:r/>
            <w:r>
              <w:rPr>
                <w:rFonts w:ascii="Calibri" w:hAnsi="Calibri"/>
                <w:sz w:val="17"/>
              </w:rPr>
              <w:t>Med / Med</w:t>
            </w:r>
          </w:p>
        </w:tc>
        <w:tc>
          <w:tcPr>
            <w:tcW w:type="dxa" w:w="3888"/>
          </w:tcPr>
          <w:p>
            <w:r/>
            <w:r>
              <w:rPr>
                <w:rFonts w:ascii="Calibri" w:hAnsi="Calibri"/>
                <w:sz w:val="17"/>
              </w:rPr>
              <w:t>ML surrogate (WP4); parallelisation; reduced-order screening</w:t>
            </w:r>
          </w:p>
        </w:tc>
      </w:tr>
      <w:tr>
        <w:tc>
          <w:tcPr>
            <w:tcW w:type="dxa" w:w="3168"/>
          </w:tcPr>
          <w:p>
            <w:r/>
            <w:r>
              <w:rPr>
                <w:rFonts w:ascii="Calibri" w:hAnsi="Calibri"/>
                <w:sz w:val="17"/>
              </w:rPr>
              <w:t>Merging-factor / closure uncertainty</w:t>
            </w:r>
          </w:p>
        </w:tc>
        <w:tc>
          <w:tcPr>
            <w:tcW w:type="dxa" w:w="1872"/>
          </w:tcPr>
          <w:p>
            <w:r/>
            <w:r>
              <w:rPr>
                <w:rFonts w:ascii="Calibri" w:hAnsi="Calibri"/>
                <w:sz w:val="17"/>
              </w:rPr>
              <w:t>Med / Med</w:t>
            </w:r>
          </w:p>
        </w:tc>
        <w:tc>
          <w:tcPr>
            <w:tcW w:type="dxa" w:w="3888"/>
          </w:tcPr>
          <w:p>
            <w:r/>
            <w:r>
              <w:rPr>
                <w:rFonts w:ascii="Calibri" w:hAnsi="Calibri"/>
                <w:sz w:val="17"/>
              </w:rPr>
              <w:t>Calibrate against lab and field data; report as bounded estimate</w:t>
            </w:r>
          </w:p>
        </w:tc>
      </w:tr>
    </w:tbl>
    <w:p>
      <w:pPr>
        <w:pStyle w:val="Heading1"/>
      </w:pPr>
      <w:r>
        <w:t>12. Resources, Facilities and Ethical Considerations</w:t>
      </w:r>
    </w:p>
    <w:p>
      <w:pPr>
        <w:spacing w:after="120"/>
      </w:pPr>
      <w:r>
        <w:rPr>
          <w:rFonts w:ascii="Calibri" w:hAnsi="Calibri"/>
          <w:b w:val="0"/>
          <w:i w:val="0"/>
          <w:sz w:val="22"/>
        </w:rPr>
        <w:t>Resources required: HPC allocation for ensemble simulations; field instrumentation (CTD, ADCP, towed conductivity sensor) and vessel time for WP3; partnership with a desalination plant operator and the relevant environmental regulator. No human or animal subjects are involved; field work will follow marine-survey permitting and environmental best practice, and data-sharing agreements will govern operator-provided data. Software will be released open-source under an appropriate licence.</w:t>
      </w:r>
    </w:p>
    <w:p>
      <w:pPr>
        <w:pStyle w:val="Heading1"/>
      </w:pPr>
      <w:r>
        <w:t>13. Indicative References</w:t>
      </w:r>
    </w:p>
    <w:p>
      <w:pPr>
        <w:spacing w:after="60"/>
        <w:ind w:left="360" w:hanging="360"/>
      </w:pPr>
      <w:r>
        <w:rPr>
          <w:rFonts w:ascii="Calibri" w:hAnsi="Calibri"/>
          <w:sz w:val="19"/>
        </w:rPr>
        <w:t>Roberts, P.J.W., Ferrier, A. &amp; Daviero, G. (1997). Mixing in inclined dense jets. J. Hydraulic Engineering, 123(8), 693–699.</w:t>
      </w:r>
    </w:p>
    <w:p>
      <w:pPr>
        <w:spacing w:after="60"/>
        <w:ind w:left="360" w:hanging="360"/>
      </w:pPr>
      <w:r>
        <w:rPr>
          <w:rFonts w:ascii="Calibri" w:hAnsi="Calibri"/>
          <w:sz w:val="19"/>
        </w:rPr>
        <w:t>Cipollina, A., Brucato, A., Grisafi, F. &amp; Nicosia, S. (2005). Bench-scale investigation of inclined dense jets. J. Hydraulic Engineering, 131(11).</w:t>
      </w:r>
    </w:p>
    <w:p>
      <w:pPr>
        <w:spacing w:after="60"/>
        <w:ind w:left="360" w:hanging="360"/>
      </w:pPr>
      <w:r>
        <w:rPr>
          <w:rFonts w:ascii="Calibri" w:hAnsi="Calibri"/>
          <w:sz w:val="19"/>
        </w:rPr>
        <w:t>Lai, C.C.K. &amp; Lee, J.H.W. (2012). Mixing of inclined dense jets in stationary ambient. J. Hydro-environment Research, 6(1), 9–28.</w:t>
      </w:r>
    </w:p>
    <w:p>
      <w:pPr>
        <w:spacing w:after="60"/>
        <w:ind w:left="360" w:hanging="360"/>
      </w:pPr>
      <w:r>
        <w:rPr>
          <w:rFonts w:ascii="Calibri" w:hAnsi="Calibri"/>
          <w:sz w:val="19"/>
        </w:rPr>
        <w:t>Roberts, P.J.W. &amp; Toms, G. (1987). Inclined dense jets in flowing current. J. Hydraulic Engineering, 113(3).</w:t>
      </w:r>
    </w:p>
    <w:p>
      <w:pPr>
        <w:spacing w:after="60"/>
        <w:ind w:left="360" w:hanging="360"/>
      </w:pPr>
      <w:r>
        <w:rPr>
          <w:rFonts w:ascii="Calibri" w:hAnsi="Calibri"/>
          <w:sz w:val="19"/>
        </w:rPr>
        <w:t>Abessi, O. &amp; Roberts, P.J.W. (2015). Effect of nozzle orientation on dense jets in stagnant environments. J. Hydraulic Engineering, 141(8).</w:t>
      </w:r>
    </w:p>
    <w:p>
      <w:pPr>
        <w:spacing w:after="60"/>
        <w:ind w:left="360" w:hanging="360"/>
      </w:pPr>
      <w:r>
        <w:rPr>
          <w:rFonts w:ascii="Calibri" w:hAnsi="Calibri"/>
          <w:sz w:val="19"/>
        </w:rPr>
        <w:t>Jirka, G.H. (2004). Integral model for turbulent buoyant jets in unbounded stratified flows. Environmental Fluid Mechanics, 4, 1–56.</w:t>
      </w:r>
    </w:p>
    <w:p>
      <w:pPr>
        <w:spacing w:after="60"/>
        <w:ind w:left="360" w:hanging="360"/>
      </w:pPr>
      <w:r>
        <w:rPr>
          <w:rFonts w:ascii="Calibri" w:hAnsi="Calibri"/>
          <w:sz w:val="19"/>
        </w:rPr>
        <w:t>Bleninger, T. &amp; Jirka, G.H. (2008). Modelling and environmentally sound management of brine discharges from desalination plants. Desalination, 221.</w:t>
      </w:r>
    </w:p>
    <w:p>
      <w:pPr>
        <w:spacing w:after="60"/>
        <w:ind w:left="360" w:hanging="360"/>
      </w:pPr>
      <w:r>
        <w:rPr>
          <w:rFonts w:ascii="Calibri" w:hAnsi="Calibri"/>
          <w:sz w:val="19"/>
        </w:rPr>
        <w:t>Fischer, H.B., List, E.J., Koh, R.C.Y., Imberger, J. &amp; Brooks, N.H. (1979). Mixing in Inland and Coastal Waters. Academic Press.</w:t>
      </w:r>
    </w:p>
    <w:p>
      <w:pPr>
        <w:spacing w:after="60"/>
        <w:ind w:left="360" w:hanging="360"/>
      </w:pPr>
      <w:r>
        <w:rPr>
          <w:rFonts w:ascii="Calibri" w:hAnsi="Calibri"/>
          <w:sz w:val="19"/>
        </w:rPr>
        <w:t>Missimer, T.M. &amp; Maliva, R.G. (2018). Environmental issues in seawater reverse osmosis desalination: intakes and outfalls. Desalination, 434.</w:t>
      </w:r>
    </w:p>
    <w:p>
      <w:pPr>
        <w:spacing w:after="60"/>
        <w:ind w:left="360" w:hanging="360"/>
      </w:pPr>
      <w:r>
        <w:rPr>
          <w:rFonts w:ascii="Calibri" w:hAnsi="Calibri"/>
          <w:sz w:val="19"/>
        </w:rPr>
        <w:t>IOC, SCOR &amp; IAPSO (2010). The international thermodynamic equation of seawater – 2010 (TEOS-10). UNESCO.</w:t>
      </w:r>
    </w:p>
    <w:p>
      <w:pPr>
        <w:spacing w:after="60"/>
        <w:ind w:left="360" w:hanging="360"/>
      </w:pPr>
      <w:r>
        <w:rPr>
          <w:rFonts w:ascii="Calibri" w:hAnsi="Calibri"/>
          <w:sz w:val="19"/>
        </w:rPr>
        <w:t>Roberts, D.A. et al. (2010). Impacts of desalination plant discharges on the marine environment: A review. Water Research, 44(18).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