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against laboratory, field and analytical benchmarks. The far field is UNCALIBRATED — the dispersivity multiplier returned 1.00 against a representative (constructed, not measured) site transect, so no fitting was performed. Read §1.1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was compared against a representative site dilution transect (no fitting was required, and none was performed) and the whole model chain was VALIDATED against the Roberts (1997) dense-jet laboratory scaling, the published Perth multi-point field transect and a lock-exchange PDE benchmark.</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38:1.</w:t>
      </w:r>
    </w:p>
    <w:p>
      <w:pPr>
        <w:pStyle w:val="ListBullet"/>
      </w:pPr>
      <w:r>
        <w:t>Far field: seabed footprint above ΔS=0.5 g/kg ≈ 2510 m²; maximum excess 0.86 g/kg; affected water volume ≈ 13376 m³; horizontal reach r_max ≈ 43 m in the final ensemble-mean field, 42 ± 6 m over the steady window (NOT converged: the reach still drifts +17.9 m across the window, 42.6% of its mean — see §1.1).</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36.43 g/kg is NOT an emergent prediction: 36.4290 g/kg is exactly the prescribed source value S_source handed over by the near-field model. The minimum dilution of 36:1 sits slightly below the near-field hand-off of 38:1 for the same reason (§12.4). Both are diagnostics of the source condition.</w:t>
      </w:r>
    </w:p>
    <w:p>
      <w:pPr>
        <w:pStyle w:val="ListBullet"/>
      </w:pPr>
      <w:r>
        <w:t>Calibration: the far-field dispersivity multiplier farfield_disp_cal returned 1.00 — i.e. unity, no adjustment. The target transect is representative, not measured, so this is a consistency check rather than a calibration (§10).</w:t>
      </w:r>
    </w:p>
    <w:p>
      <w:r>
        <w:rPr>
          <w:b w:val="0"/>
          <w:i w:val="0"/>
          <w:sz w:val="21"/>
        </w:rPr>
        <w:t>Mixing-zone assessment: against a conservative sub-lethal assessment contour of ΔS = 0.5 g/kg (more protective than the ~1 ppt typical of NSW mixing-zone practice), the model predicts a seabed excess-salinity footprint of ≈ 2510 m² within roughly 43–42 m of the diffuser. The maximum excess anywhere in the domain is 0.86 g/kg, comfortably inside every applicable limit (NSW ~1 ppt; Perth 1.2 ppt at 50 m; California 2.0 ppt at 100 m), so the compliance conclusion is robust even where the footprint precision is not. Run health is exact (divergence 5.0e-16, mass imbalance 1.4e-16,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36.4290 g/kg is exactly S_source = S_amb,bed + (S₀ − S_amb,bed)/S_r for ANY blob geometry. The solver is reporting its own source condition. The same mechanism makes the minimum dilution (36.4:1) sit a little below the near-field hand-off (37.9:1), because the peak-excess cell lies a few metres above the bed where the ambient is fresher (§12.4).</w:t>
      </w:r>
    </w:p>
    <w:p>
      <w:pPr>
        <w:pStyle w:val="ListBullet"/>
      </w:pPr>
      <w:r>
        <w:t>Steady state was NOT reached. The solver's steady-state test now bounds both the relative scatter (tol = 0.20) and the linear trend across the window (tol = 0.05). On this run the following metrics still drift: r_max_m, seabed_footprint_m2, z_deepest_m. The reach drifts +17.9 m across the window (42.6% of its mean). Quote the reach as a range, not a converged value.</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The dispersivity multiplier returned unity against a transect constructed to be reproducible without tuning (§10). The independent far-field evidence is the Perth transect (~22% conservative) and the lock-exchange PDE benchmark.</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With bottom drag now enabled the horizontal reach is BOUNDED and statistically stationary — it surges then retreats and oscillates with the tidal/stochastic forcing rather than climbing monotonically — so it is reported as a central estimate, not a lower bound. The near-field validation and the headline metrics are unchanged by the limiter, which binds only in the far field.</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5.03e-16</w:t>
            </w:r>
          </w:p>
        </w:tc>
      </w:tr>
      <w:tr>
        <w:tc>
          <w:tcPr>
            <w:tcW w:type="dxa" w:w="4320"/>
          </w:tcPr>
          <w:p>
            <w:r/>
            <w:r>
              <w:rPr>
                <w:sz w:val="19"/>
              </w:rPr>
              <w:t>Max divergence over run</w:t>
            </w:r>
          </w:p>
        </w:tc>
        <w:tc>
          <w:tcPr>
            <w:tcW w:type="dxa" w:w="4320"/>
          </w:tcPr>
          <w:p>
            <w:r/>
            <w:r>
              <w:rPr>
                <w:sz w:val="19"/>
              </w:rPr>
              <w:t>2.64e-15</w:t>
            </w:r>
          </w:p>
        </w:tc>
      </w:tr>
      <w:tr>
        <w:tc>
          <w:tcPr>
            <w:tcW w:type="dxa" w:w="4320"/>
          </w:tcPr>
          <w:p>
            <w:r/>
            <w:r>
              <w:rPr>
                <w:sz w:val="19"/>
              </w:rPr>
              <w:t>Global mass imbalance</w:t>
            </w:r>
          </w:p>
        </w:tc>
        <w:tc>
          <w:tcPr>
            <w:tcW w:type="dxa" w:w="4320"/>
          </w:tcPr>
          <w:p>
            <w:r/>
            <w:r>
              <w:rPr>
                <w:sz w:val="19"/>
              </w:rPr>
              <w:t>1.44e-16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+17.9 m (42.6%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42.1 m, σ = 6.0 m and drift +17.9 m. The following metrics still fail: r_max_m, seabed_footprint_m2, z_deepest_m. S_max is stationary trivially, because it is pinned to the prescribed source value (§12.4). The divergence and mass-balance figures are sound and unaffected.</w:t>
      </w:r>
    </w:p>
    <w:p>
      <w:pPr>
        <w:pStyle w:val="Heading1"/>
      </w:pPr>
      <w:r>
        <w:rPr>
          <w:color w:val="0B3D5C"/>
        </w:rPr>
        <w:t>10.  Comparison against the representative site transect</w:t>
      </w:r>
    </w:p>
    <w:p>
      <w:r>
        <w:rPr>
          <w:b w:val="0"/>
          <w:i w:val="0"/>
          <w:sz w:val="21"/>
        </w:rPr>
        <w:t>The far-field spreading rate is governed by a single knob, farfield_disp_cal, which scales the tunable horizontal dispersivity. It was exercised against a centreline dilution transect at the mixing-zone boundary (50 m). The near-field correlations and the molecular and turbulent diffusivities are left physical (unfitted).</w:t>
      </w:r>
    </w:p>
    <w:p>
      <w:r>
        <w:rPr>
          <w:i/>
          <w:color w:val="13343B"/>
          <w:sz w:val="19"/>
        </w:rPr>
        <w:t>Table 10.1 — Representative centreline dilution transect (inputs/site_ctd_dilution_transect.csv). These values are constructed, not measured — see the provenance note below.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Distance (m)</w:t>
            </w:r>
          </w:p>
        </w:tc>
        <w:tc>
          <w:tcPr>
            <w:tcW w:type="dxa" w:w="2880"/>
          </w:tcPr>
          <w:p>
            <w:r/>
            <w:r>
              <w:rPr>
                <w:b/>
                <w:color w:val="0B3D5C"/>
                <w:sz w:val="19"/>
              </w:rPr>
              <w:t>Target dilution (representative)</w:t>
            </w:r>
          </w:p>
        </w:tc>
        <w:tc>
          <w:tcPr>
            <w:tcW w:type="dxa" w:w="2880"/>
          </w:tcPr>
          <w:p>
            <w:r/>
            <w:r>
              <w:rPr>
                <w:b/>
                <w:color w:val="0B3D5C"/>
                <w:sz w:val="19"/>
              </w:rPr>
              <w:t>Target ΔS (g/kg)</w:t>
            </w:r>
          </w:p>
        </w:tc>
      </w:tr>
      <w:tr>
        <w:tc>
          <w:tcPr>
            <w:tcW w:type="dxa" w:w="2880"/>
          </w:tcPr>
          <w:p>
            <w:r/>
            <w:r>
              <w:rPr>
                <w:sz w:val="19"/>
              </w:rPr>
              <w:t>7.0</w:t>
            </w:r>
          </w:p>
        </w:tc>
        <w:tc>
          <w:tcPr>
            <w:tcW w:type="dxa" w:w="2880"/>
          </w:tcPr>
          <w:p>
            <w:r/>
            <w:r>
              <w:rPr>
                <w:sz w:val="19"/>
              </w:rPr>
              <w:t>37.0</w:t>
            </w:r>
          </w:p>
        </w:tc>
        <w:tc>
          <w:tcPr>
            <w:tcW w:type="dxa" w:w="2880"/>
          </w:tcPr>
          <w:p>
            <w:r/>
            <w:r>
              <w:rPr>
                <w:sz w:val="19"/>
              </w:rPr>
              <w:t>0.851</w:t>
            </w:r>
          </w:p>
        </w:tc>
      </w:tr>
      <w:tr>
        <w:tc>
          <w:tcPr>
            <w:tcW w:type="dxa" w:w="2880"/>
          </w:tcPr>
          <w:p>
            <w:r/>
            <w:r>
              <w:rPr>
                <w:sz w:val="19"/>
              </w:rPr>
              <w:t>15.0</w:t>
            </w:r>
          </w:p>
        </w:tc>
        <w:tc>
          <w:tcPr>
            <w:tcW w:type="dxa" w:w="2880"/>
          </w:tcPr>
          <w:p>
            <w:r/>
            <w:r>
              <w:rPr>
                <w:sz w:val="19"/>
              </w:rPr>
              <w:t>40.0</w:t>
            </w:r>
          </w:p>
        </w:tc>
        <w:tc>
          <w:tcPr>
            <w:tcW w:type="dxa" w:w="2880"/>
          </w:tcPr>
          <w:p>
            <w:r/>
            <w:r>
              <w:rPr>
                <w:sz w:val="19"/>
              </w:rPr>
              <w:t>0.787</w:t>
            </w:r>
          </w:p>
        </w:tc>
      </w:tr>
      <w:tr>
        <w:tc>
          <w:tcPr>
            <w:tcW w:type="dxa" w:w="2880"/>
          </w:tcPr>
          <w:p>
            <w:r/>
            <w:r>
              <w:rPr>
                <w:sz w:val="19"/>
              </w:rPr>
              <w:t>25.0</w:t>
            </w:r>
          </w:p>
        </w:tc>
        <w:tc>
          <w:tcPr>
            <w:tcW w:type="dxa" w:w="2880"/>
          </w:tcPr>
          <w:p>
            <w:r/>
            <w:r>
              <w:rPr>
                <w:sz w:val="19"/>
              </w:rPr>
              <w:t>42.0</w:t>
            </w:r>
          </w:p>
        </w:tc>
        <w:tc>
          <w:tcPr>
            <w:tcW w:type="dxa" w:w="2880"/>
          </w:tcPr>
          <w:p>
            <w:r/>
            <w:r>
              <w:rPr>
                <w:sz w:val="19"/>
              </w:rPr>
              <w:t>0.750</w:t>
            </w:r>
          </w:p>
        </w:tc>
      </w:tr>
      <w:tr>
        <w:tc>
          <w:tcPr>
            <w:tcW w:type="dxa" w:w="2880"/>
          </w:tcPr>
          <w:p>
            <w:r/>
            <w:r>
              <w:rPr>
                <w:sz w:val="19"/>
              </w:rPr>
              <w:t>50.0</w:t>
            </w:r>
          </w:p>
        </w:tc>
        <w:tc>
          <w:tcPr>
            <w:tcW w:type="dxa" w:w="2880"/>
          </w:tcPr>
          <w:p>
            <w:r/>
            <w:r>
              <w:rPr>
                <w:sz w:val="19"/>
              </w:rPr>
              <w:t>44.0</w:t>
            </w:r>
          </w:p>
        </w:tc>
        <w:tc>
          <w:tcPr>
            <w:tcW w:type="dxa" w:w="2880"/>
          </w:tcPr>
          <w:p>
            <w:r/>
            <w:r>
              <w:rPr>
                <w:sz w:val="19"/>
              </w:rPr>
              <w:t>0.716</w:t>
            </w:r>
          </w:p>
        </w:tc>
      </w:tr>
    </w:tbl>
    <w:p/>
    <w:p>
      <w:r>
        <w:rPr>
          <w:b w:val="0"/>
          <w:i w:val="0"/>
          <w:color w:val="13343B"/>
          <w:sz w:val="21"/>
        </w:rPr>
        <w:t>Result: farfield_disp_cal = 1.00. The multiplier returned unity, i.e. no adjustment was made and the model reproduced the 44.0:1 target at 50.0 m without tuning. Full log: validation/ctd_calibration.log; machine-readable result: nereid_output/calibration.json.</w:t>
      </w:r>
    </w:p>
    <w:p>
      <w:r>
        <w:rPr>
          <w:b w:val="0"/>
          <w:i/>
          <w:color w:val="13343B"/>
          <w:sz w:val="21"/>
        </w:rPr>
        <w:t>Provenance — this is a consistency check, not a calibration. The transect is generated by case_study/make_site_data.py, whose source comment records that the stations were chosen to be “reproducible by the model at no tuning”. A procedure that recovers unity against a target constructed to be recoverable has demonstrated consistency, not predictive skill. The model has NOT been calibrated to measured data, and the word “calibrated” is therefore avoided throughout this report. The independent far-field evidence is the Perth transect in §11, against which the model was not fitted and is shown conservative. To convert this into a genuine calibration, either commission a site CTD/ADCP survey or adopt the measured Gold Coast Tugun transect (Baum et al. 2019) as the target.</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 Baum et al. (2019); Perth design transect — Roberts et al. (2019)</w:t>
            </w:r>
          </w:p>
        </w:tc>
        <w:tc>
          <w:tcPr>
            <w:tcW w:type="dxa" w:w="2160"/>
          </w:tcPr>
          <w:p>
            <w:r/>
            <w:r>
              <w:rPr>
                <w:sz w:val="19"/>
              </w:rPr>
              <w:t>~45–63:1 @ 50–60 m (in-class)</w:t>
            </w:r>
          </w:p>
        </w:tc>
        <w:tc>
          <w:tcPr>
            <w:tcW w:type="dxa" w:w="2160"/>
          </w:tcPr>
          <w:p>
            <w:r/>
            <w:r>
              <w:rPr>
                <w:sz w:val="19"/>
              </w:rPr>
              <w:t>Conservative (under-predicts dilution) — protective</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42–43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w:t>
            </w:r>
          </w:p>
        </w:tc>
        <w:tc>
          <w:tcPr>
            <w:tcW w:type="dxa" w:w="2160"/>
          </w:tcPr>
          <w:p>
            <w:r/>
            <w:r>
              <w:rPr>
                <w:sz w:val="19"/>
              </w:rPr>
              <w:t>Fr_f ≈ 0.47 — PASS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with the representative site transect (§10, no fitting) and shown conservative against the in-class Perth field data, which the model was never fitted to. The two genuinely independent gates are therefore the Perth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the final ensemble-mean value; with bottom drag the reach is bounded and oscillates with the forcing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38</w:t>
            </w:r>
          </w:p>
        </w:tc>
        <w:tc>
          <w:tcPr>
            <w:tcW w:type="dxa" w:w="2880"/>
          </w:tcPr>
          <w:p>
            <w:r/>
            <w:r>
              <w:rPr>
                <w:sz w:val="19"/>
              </w:rPr>
              <w:t>:1</w:t>
            </w:r>
          </w:p>
        </w:tc>
      </w:tr>
      <w:tr>
        <w:tc>
          <w:tcPr>
            <w:tcW w:type="dxa" w:w="2880"/>
          </w:tcPr>
          <w:p>
            <w:r/>
            <w:r>
              <w:rPr>
                <w:sz w:val="19"/>
              </w:rPr>
              <w:t>Peak salinity</w:t>
            </w:r>
          </w:p>
        </w:tc>
        <w:tc>
          <w:tcPr>
            <w:tcW w:type="dxa" w:w="2880"/>
          </w:tcPr>
          <w:p>
            <w:r/>
            <w:r>
              <w:rPr>
                <w:sz w:val="19"/>
              </w:rPr>
              <w:t>36.43</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0.86</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36</w:t>
            </w:r>
          </w:p>
        </w:tc>
        <w:tc>
          <w:tcPr>
            <w:tcW w:type="dxa" w:w="2880"/>
          </w:tcPr>
          <w:p>
            <w:r/>
            <w:r>
              <w:rPr>
                <w:sz w:val="19"/>
              </w:rPr>
              <w:t>:1</w:t>
            </w:r>
          </w:p>
        </w:tc>
      </w:tr>
      <w:tr>
        <w:tc>
          <w:tcPr>
            <w:tcW w:type="dxa" w:w="2880"/>
          </w:tcPr>
          <w:p>
            <w:r/>
            <w:r>
              <w:rPr>
                <w:sz w:val="19"/>
              </w:rPr>
              <w:t>Horizontal reach r_max</w:t>
            </w:r>
          </w:p>
        </w:tc>
        <w:tc>
          <w:tcPr>
            <w:tcW w:type="dxa" w:w="2880"/>
          </w:tcPr>
          <w:p>
            <w:r/>
            <w:r>
              <w:rPr>
                <w:sz w:val="19"/>
              </w:rPr>
              <w:t>43</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2510</w:t>
            </w:r>
          </w:p>
        </w:tc>
        <w:tc>
          <w:tcPr>
            <w:tcW w:type="dxa" w:w="2880"/>
          </w:tcPr>
          <w:p>
            <w:r/>
            <w:r>
              <w:rPr>
                <w:sz w:val="19"/>
              </w:rPr>
              <w:t>m²</w:t>
            </w:r>
          </w:p>
        </w:tc>
      </w:tr>
      <w:tr>
        <w:tc>
          <w:tcPr>
            <w:tcW w:type="dxa" w:w="2880"/>
          </w:tcPr>
          <w:p>
            <w:r/>
            <w:r>
              <w:rPr>
                <w:sz w:val="19"/>
              </w:rPr>
              <w:t>Affected water volume</w:t>
            </w:r>
          </w:p>
        </w:tc>
        <w:tc>
          <w:tcPr>
            <w:tcW w:type="dxa" w:w="2880"/>
          </w:tcPr>
          <w:p>
            <w:r/>
            <w:r>
              <w:rPr>
                <w:sz w:val="19"/>
              </w:rPr>
              <w:t>13376</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7939.9</w:t>
            </w:r>
          </w:p>
        </w:tc>
        <w:tc>
          <w:tcPr>
            <w:tcW w:type="dxa" w:w="2160"/>
          </w:tcPr>
          <w:p>
            <w:r/>
            <w:r>
              <w:rPr>
                <w:sz w:val="19"/>
              </w:rPr>
              <w:t>50.27</w:t>
            </w:r>
          </w:p>
        </w:tc>
        <w:tc>
          <w:tcPr>
            <w:tcW w:type="dxa" w:w="2160"/>
          </w:tcPr>
          <w:p>
            <w:r/>
            <w:r>
              <w:rPr>
                <w:sz w:val="19"/>
              </w:rPr>
              <w:t>315.0</w:t>
            </w:r>
          </w:p>
        </w:tc>
      </w:tr>
      <w:tr>
        <w:tc>
          <w:tcPr>
            <w:tcW w:type="dxa" w:w="2160"/>
          </w:tcPr>
          <w:p>
            <w:r/>
            <w:r>
              <w:rPr>
                <w:sz w:val="19"/>
              </w:rPr>
              <w:t>0.20</w:t>
            </w:r>
          </w:p>
        </w:tc>
        <w:tc>
          <w:tcPr>
            <w:tcW w:type="dxa" w:w="2160"/>
          </w:tcPr>
          <w:p>
            <w:r/>
            <w:r>
              <w:rPr>
                <w:sz w:val="19"/>
              </w:rPr>
              <w:t>5127.4</w:t>
            </w:r>
          </w:p>
        </w:tc>
        <w:tc>
          <w:tcPr>
            <w:tcW w:type="dxa" w:w="2160"/>
          </w:tcPr>
          <w:p>
            <w:r/>
            <w:r>
              <w:rPr>
                <w:sz w:val="19"/>
              </w:rPr>
              <w:t>40.40</w:t>
            </w:r>
          </w:p>
        </w:tc>
        <w:tc>
          <w:tcPr>
            <w:tcW w:type="dxa" w:w="2160"/>
          </w:tcPr>
          <w:p>
            <w:r/>
            <w:r>
              <w:rPr>
                <w:sz w:val="19"/>
              </w:rPr>
              <w:t>157.5</w:t>
            </w:r>
          </w:p>
        </w:tc>
      </w:tr>
      <w:tr>
        <w:tc>
          <w:tcPr>
            <w:tcW w:type="dxa" w:w="2160"/>
          </w:tcPr>
          <w:p>
            <w:r/>
            <w:r>
              <w:rPr>
                <w:sz w:val="19"/>
              </w:rPr>
              <w:t>0.30</w:t>
            </w:r>
          </w:p>
        </w:tc>
        <w:tc>
          <w:tcPr>
            <w:tcW w:type="dxa" w:w="2160"/>
          </w:tcPr>
          <w:p>
            <w:r/>
            <w:r>
              <w:rPr>
                <w:sz w:val="19"/>
              </w:rPr>
              <w:t>3591.3</w:t>
            </w:r>
          </w:p>
        </w:tc>
        <w:tc>
          <w:tcPr>
            <w:tcW w:type="dxa" w:w="2160"/>
          </w:tcPr>
          <w:p>
            <w:r/>
            <w:r>
              <w:rPr>
                <w:sz w:val="19"/>
              </w:rPr>
              <w:t>33.81</w:t>
            </w:r>
          </w:p>
        </w:tc>
        <w:tc>
          <w:tcPr>
            <w:tcW w:type="dxa" w:w="2160"/>
          </w:tcPr>
          <w:p>
            <w:r/>
            <w:r>
              <w:rPr>
                <w:sz w:val="19"/>
              </w:rPr>
              <w:t>105.0</w:t>
            </w:r>
          </w:p>
        </w:tc>
      </w:tr>
      <w:tr>
        <w:tc>
          <w:tcPr>
            <w:tcW w:type="dxa" w:w="2160"/>
          </w:tcPr>
          <w:p>
            <w:r/>
            <w:r>
              <w:rPr>
                <w:sz w:val="19"/>
              </w:rPr>
              <w:t>0.40</w:t>
            </w:r>
          </w:p>
        </w:tc>
        <w:tc>
          <w:tcPr>
            <w:tcW w:type="dxa" w:w="2160"/>
          </w:tcPr>
          <w:p>
            <w:r/>
            <w:r>
              <w:rPr>
                <w:sz w:val="19"/>
              </w:rPr>
              <w:t>2899.0</w:t>
            </w:r>
          </w:p>
        </w:tc>
        <w:tc>
          <w:tcPr>
            <w:tcW w:type="dxa" w:w="2160"/>
          </w:tcPr>
          <w:p>
            <w:r/>
            <w:r>
              <w:rPr>
                <w:sz w:val="19"/>
              </w:rPr>
              <w:t>30.38</w:t>
            </w:r>
          </w:p>
        </w:tc>
        <w:tc>
          <w:tcPr>
            <w:tcW w:type="dxa" w:w="2160"/>
          </w:tcPr>
          <w:p>
            <w:r/>
            <w:r>
              <w:rPr>
                <w:sz w:val="19"/>
              </w:rPr>
              <w:t>78.8</w:t>
            </w:r>
          </w:p>
        </w:tc>
      </w:tr>
      <w:tr>
        <w:tc>
          <w:tcPr>
            <w:tcW w:type="dxa" w:w="2160"/>
          </w:tcPr>
          <w:p>
            <w:r/>
            <w:r>
              <w:rPr>
                <w:sz w:val="19"/>
              </w:rPr>
              <w:t>0.50</w:t>
            </w:r>
          </w:p>
        </w:tc>
        <w:tc>
          <w:tcPr>
            <w:tcW w:type="dxa" w:w="2160"/>
          </w:tcPr>
          <w:p>
            <w:r/>
            <w:r>
              <w:rPr>
                <w:sz w:val="19"/>
              </w:rPr>
              <w:t>2488.0</w:t>
            </w:r>
          </w:p>
        </w:tc>
        <w:tc>
          <w:tcPr>
            <w:tcW w:type="dxa" w:w="2160"/>
          </w:tcPr>
          <w:p>
            <w:r/>
            <w:r>
              <w:rPr>
                <w:sz w:val="19"/>
              </w:rPr>
              <w:t>28.14</w:t>
            </w:r>
          </w:p>
        </w:tc>
        <w:tc>
          <w:tcPr>
            <w:tcW w:type="dxa" w:w="2160"/>
          </w:tcPr>
          <w:p>
            <w:r/>
            <w:r>
              <w:rPr>
                <w:sz w:val="19"/>
              </w:rPr>
              <w:t>63.0</w:t>
            </w:r>
          </w:p>
        </w:tc>
      </w:tr>
      <w:tr>
        <w:tc>
          <w:tcPr>
            <w:tcW w:type="dxa" w:w="2160"/>
          </w:tcPr>
          <w:p>
            <w:r/>
            <w:r>
              <w:rPr>
                <w:sz w:val="19"/>
              </w:rPr>
              <w:t>0.60</w:t>
            </w:r>
          </w:p>
        </w:tc>
        <w:tc>
          <w:tcPr>
            <w:tcW w:type="dxa" w:w="2160"/>
          </w:tcPr>
          <w:p>
            <w:r/>
            <w:r>
              <w:rPr>
                <w:sz w:val="19"/>
              </w:rPr>
              <w:t>2228.4</w:t>
            </w:r>
          </w:p>
        </w:tc>
        <w:tc>
          <w:tcPr>
            <w:tcW w:type="dxa" w:w="2160"/>
          </w:tcPr>
          <w:p>
            <w:r/>
            <w:r>
              <w:rPr>
                <w:sz w:val="19"/>
              </w:rPr>
              <w:t>26.63</w:t>
            </w:r>
          </w:p>
        </w:tc>
        <w:tc>
          <w:tcPr>
            <w:tcW w:type="dxa" w:w="2160"/>
          </w:tcPr>
          <w:p>
            <w:r/>
            <w:r>
              <w:rPr>
                <w:sz w:val="19"/>
              </w:rPr>
              <w:t>52.5</w:t>
            </w:r>
          </w:p>
        </w:tc>
      </w:tr>
      <w:tr>
        <w:tc>
          <w:tcPr>
            <w:tcW w:type="dxa" w:w="2160"/>
          </w:tcPr>
          <w:p>
            <w:r/>
            <w:r>
              <w:rPr>
                <w:sz w:val="19"/>
              </w:rPr>
              <w:t>0.70</w:t>
            </w:r>
          </w:p>
        </w:tc>
        <w:tc>
          <w:tcPr>
            <w:tcW w:type="dxa" w:w="2160"/>
          </w:tcPr>
          <w:p>
            <w:r/>
            <w:r>
              <w:rPr>
                <w:sz w:val="19"/>
              </w:rPr>
              <w:t>1795.7</w:t>
            </w:r>
          </w:p>
        </w:tc>
        <w:tc>
          <w:tcPr>
            <w:tcW w:type="dxa" w:w="2160"/>
          </w:tcPr>
          <w:p>
            <w:r/>
            <w:r>
              <w:rPr>
                <w:sz w:val="19"/>
              </w:rPr>
              <w:t>23.91</w:t>
            </w:r>
          </w:p>
        </w:tc>
        <w:tc>
          <w:tcPr>
            <w:tcW w:type="dxa" w:w="2160"/>
          </w:tcPr>
          <w:p>
            <w:r/>
            <w:r>
              <w:rPr>
                <w:sz w:val="19"/>
              </w:rPr>
              <w:t>45.0</w:t>
            </w:r>
          </w:p>
        </w:tc>
      </w:tr>
      <w:tr>
        <w:tc>
          <w:tcPr>
            <w:tcW w:type="dxa" w:w="2160"/>
          </w:tcPr>
          <w:p>
            <w:r/>
            <w:r>
              <w:rPr>
                <w:sz w:val="19"/>
              </w:rPr>
              <w:t>0.80</w:t>
            </w:r>
          </w:p>
        </w:tc>
        <w:tc>
          <w:tcPr>
            <w:tcW w:type="dxa" w:w="2160"/>
          </w:tcPr>
          <w:p>
            <w:r/>
            <w:r>
              <w:rPr>
                <w:sz w:val="19"/>
              </w:rPr>
              <w:t>1384.6</w:t>
            </w:r>
          </w:p>
        </w:tc>
        <w:tc>
          <w:tcPr>
            <w:tcW w:type="dxa" w:w="2160"/>
          </w:tcPr>
          <w:p>
            <w:r/>
            <w:r>
              <w:rPr>
                <w:sz w:val="19"/>
              </w:rPr>
              <w:t>20.99</w:t>
            </w:r>
          </w:p>
        </w:tc>
        <w:tc>
          <w:tcPr>
            <w:tcW w:type="dxa" w:w="2160"/>
          </w:tcPr>
          <w:p>
            <w:r/>
            <w:r>
              <w:rPr>
                <w:sz w:val="19"/>
              </w:rPr>
              <w:t>39.4</w:t>
            </w:r>
          </w:p>
        </w:tc>
      </w:tr>
      <w:tr>
        <w:tc>
          <w:tcPr>
            <w:tcW w:type="dxa" w:w="2160"/>
          </w:tcPr>
          <w:p>
            <w:r/>
            <w:r>
              <w:rPr>
                <w:sz w:val="19"/>
              </w:rPr>
              <w:t>0.90</w:t>
            </w:r>
          </w:p>
        </w:tc>
        <w:tc>
          <w:tcPr>
            <w:tcW w:type="dxa" w:w="2160"/>
          </w:tcPr>
          <w:p>
            <w:r/>
            <w:r>
              <w:rPr>
                <w:sz w:val="19"/>
              </w:rPr>
              <w:t>0.0</w:t>
            </w:r>
          </w:p>
        </w:tc>
        <w:tc>
          <w:tcPr>
            <w:tcW w:type="dxa" w:w="2160"/>
          </w:tcPr>
          <w:p>
            <w:r/>
            <w:r>
              <w:rPr>
                <w:sz w:val="19"/>
              </w:rPr>
              <w:t>0.00</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0.315 g/kg and the nominal 95th-percentile excess reaches 0.87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36.4290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36.4:1 rather than the 37.9:1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2510 m², within roughly 42–43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is robust. The maximum excess salinity anywhere in the domain is 0.86 g/kg, so the discharge sits inside every applicable concentration limit with margin — NSW ~1 ppt at the mixing-zone edge, Perth 1.2 ppt at 50 m, Gold Coast ~2 PSU at 60 m, and the binding California Ocean Plan 2.0 ppt at 100 m. That conclusion survives every caveat in §1.1.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0.47 against Benjamin's 0.50, which exercises the PDE core with the brine physics switched off; and the Perth transect, against which the model was never fitted and under-predicts dilution by ~22%, i.e. errs toward over-stating impact. The far field is NOT calibrated to measured data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2510 m² within roughly 42–43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 is validated against laboratory, field and analytical benchmarks and its numerics are sound: 13/13 self-tests, machine-precision continuity, conserved mass and no eddy-viscosity railing. Numerical soundness is not physical correctness — a perfectly-converged solution of the wrong problem carries identical diagnostics.</w:t>
      </w:r>
    </w:p>
    <w:p>
      <w:pPr>
        <w:pStyle w:val="ListBullet"/>
      </w:pPr>
      <w:r>
        <w:t>The far field is NOT calibrated. The dispersivity multiplier returned 1.00 against a transect that was constructed to be reproducible without tuning, so the procedure demonstrated consistency rather than predictive skill.</w:t>
      </w:r>
    </w:p>
    <w:p>
      <w:pPr>
        <w:pStyle w:val="ListBullet"/>
      </w:pPr>
      <w:r>
        <w:t>Peak salinity (36.43 g/kg) and, to a lesser degree, minimum dilution (36.4:1) are diagnostics of the prescribed source condition rather than predictions, and no change of source-blob geometry can alter that (§12.4).</w:t>
      </w:r>
    </w:p>
    <w:p>
      <w:pPr>
        <w:pStyle w:val="ListBullet"/>
      </w:pPr>
      <w:r>
        <w:t>Steady state was not reached: r_max_m, seabed_footprint_m2, z_deepest_m still drift across the trailing window (the reach by +17.9 m, 42.6% of its mean). Quote the reach as a range.</w:t>
      </w:r>
    </w:p>
    <w:p>
      <w:pPr>
        <w:pStyle w:val="ListBullet"/>
      </w:pPr>
      <w:r>
        <w:t>Recommendation (i): commission a real CTD/ADCP survey at the outfall and re-run --calibrate-ctd — or adopt the measured Gold Coast Tugun transect (Baum et al. 2019) — to convert these representative numbers into a genuinely calibrated prediction.</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drag-bounded, non-railing far field (0% eddy-viscosity cap at t = 900 s). The reach is bounded and oscillates with the forcing; a longer multi-cycle average would tighten its central estimate.</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Baum, M.J. et al. (2019). Spatiotemporal influences of open-coastal forcing dynamics on a dense multiport diffuser outfall (Gold Coast). J. Hydraulic Eng. 145(10): 04019034. doi:10.1061/(ASCE)HY.1943-7900.0001622.</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