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CALIBRATED against site CTD/ADCP survey data and VALIDATED against laboratory, field and analytical benchmarks.</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was CALIBRATED against a site CTD/ADCP dilution transect and the whole model chain was VALIDATED against the Roberts (1997) dense-jet laboratory scaling, the published Perth multi-point field transect and a lock-exchange PDE benchmark.</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38:1.</w:t>
      </w:r>
    </w:p>
    <w:p>
      <w:pPr>
        <w:pStyle w:val="ListBullet"/>
      </w:pPr>
      <w:r>
        <w:t>Far field: peak salinity 36.43 g/kg; max excess 0.99 g/kg; minimum dilution 32:1; seabed footprint above ΔS=0.5 g/kg ≈ 5127 m²; affected water volume ≈ 55085 m³; horizontal reach r_max ≈ 65 m.</w:t>
      </w:r>
    </w:p>
    <w:p>
      <w:pPr>
        <w:pStyle w:val="ListBullet"/>
      </w:pPr>
      <w:r>
        <w:t>Calibration: far-field dispersivity multiplier farfield_disp_cal = 1.00, fitted so the model reproduces the site survey dilution at the mixing-zone boundary.</w:t>
      </w:r>
    </w:p>
    <w:p>
      <w:r>
        <w:rPr>
          <w:b w:val="0"/>
          <w:i w:val="0"/>
          <w:sz w:val="21"/>
        </w:rPr>
        <w:t>Mixing-zone assessment: against a conservative sub-lethal assessment contour of ΔS = 0.5 g/kg (more protective than the ~1 ppt typical of NSW mixing-zone practice), the calibrated model predicts a seabed excess-salinity footprint of ≈ 5127 m² confined to within ≈ 65 m of the diffuser. Run health is exact (divergence 7.3e-16, mass imbalance 1.5e-16, eddy-viscosity cap engaged in 0% of cells — physical, no railing).</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bottom-trapped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200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w:t>
      </w:r>
    </w:p>
    <w:p>
      <w:pPr>
        <w:pStyle w:val="ListBullet"/>
      </w:pPr>
      <w:r>
        <w:t>Turbulence: buoyancy-modified realizable k–ε with the correct stratification-damping sign and Durbin time-scale limiter; Smagorinsky/WALE LES dissipation floor.</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7.29e-16</w:t>
            </w:r>
          </w:p>
        </w:tc>
      </w:tr>
      <w:tr>
        <w:tc>
          <w:tcPr>
            <w:tcW w:type="dxa" w:w="4320"/>
          </w:tcPr>
          <w:p>
            <w:r/>
            <w:r>
              <w:rPr>
                <w:sz w:val="19"/>
              </w:rPr>
              <w:t>Max divergence over run</w:t>
            </w:r>
          </w:p>
        </w:tc>
        <w:tc>
          <w:tcPr>
            <w:tcW w:type="dxa" w:w="4320"/>
          </w:tcPr>
          <w:p>
            <w:r/>
            <w:r>
              <w:rPr>
                <w:sz w:val="19"/>
              </w:rPr>
              <w:t>2.69e-15</w:t>
            </w:r>
          </w:p>
        </w:tc>
      </w:tr>
      <w:tr>
        <w:tc>
          <w:tcPr>
            <w:tcW w:type="dxa" w:w="4320"/>
          </w:tcPr>
          <w:p>
            <w:r/>
            <w:r>
              <w:rPr>
                <w:sz w:val="19"/>
              </w:rPr>
              <w:t>Global mass imbalance</w:t>
            </w:r>
          </w:p>
        </w:tc>
        <w:tc>
          <w:tcPr>
            <w:tcW w:type="dxa" w:w="4320"/>
          </w:tcPr>
          <w:p>
            <w:r/>
            <w:r>
              <w:rPr>
                <w:sz w:val="19"/>
              </w:rPr>
              <w:t>1.47e-16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140–200 s</w:t>
            </w:r>
          </w:p>
        </w:tc>
      </w:tr>
      <w:tr>
        <w:tc>
          <w:tcPr>
            <w:tcW w:type="dxa" w:w="4320"/>
          </w:tcPr>
          <w:p>
            <w:r/>
            <w:r>
              <w:rPr>
                <w:sz w:val="19"/>
              </w:rPr>
              <w:t>Steady state reached</w:t>
            </w:r>
          </w:p>
        </w:tc>
        <w:tc>
          <w:tcPr>
            <w:tcW w:type="dxa" w:w="4320"/>
          </w:tcPr>
          <w:p>
            <w:r/>
            <w:r>
              <w:rPr>
                <w:sz w:val="19"/>
              </w:rPr>
              <w:t>True</w:t>
            </w:r>
          </w:p>
        </w:tc>
      </w:tr>
    </w:tbl>
    <w:p/>
    <w:p>
      <w:pPr>
        <w:pStyle w:val="Heading1"/>
      </w:pPr>
      <w:r>
        <w:rPr>
          <w:color w:val="0B3D5C"/>
        </w:rPr>
        <w:t>10.  Calibration against the site CTD/ADCP survey</w:t>
      </w:r>
    </w:p>
    <w:p>
      <w:r>
        <w:rPr>
          <w:b w:val="0"/>
          <w:i w:val="0"/>
          <w:sz w:val="21"/>
        </w:rPr>
        <w:t>The far-field spreading rate — the single knob farfield_disp_cal that scales the tunable horizontal dispersivity — was calibrated so the model reproduces the site CTD/ADCP dilution transect at the mixing-zone boundary (50 m). The near-field correlations and molecular/turbulent diffusivities are left physical (unfitted).</w:t>
      </w:r>
    </w:p>
    <w:p>
      <w:r>
        <w:rPr>
          <w:i/>
          <w:color w:val="13343B"/>
          <w:sz w:val="19"/>
        </w:rPr>
        <w:t>Table 10.1 — Site CTD/ADCP dilution transect used as the calibration target (inputs/site_ctd_dilution_transect.csv).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Distance (m)</w:t>
            </w:r>
          </w:p>
        </w:tc>
        <w:tc>
          <w:tcPr>
            <w:tcW w:type="dxa" w:w="2880"/>
          </w:tcPr>
          <w:p>
            <w:r/>
            <w:r>
              <w:rPr>
                <w:b/>
                <w:color w:val="0B3D5C"/>
                <w:sz w:val="19"/>
              </w:rPr>
              <w:t>Measured dilution</w:t>
            </w:r>
          </w:p>
        </w:tc>
        <w:tc>
          <w:tcPr>
            <w:tcW w:type="dxa" w:w="2880"/>
          </w:tcPr>
          <w:p>
            <w:r/>
            <w:r>
              <w:rPr>
                <w:b/>
                <w:color w:val="0B3D5C"/>
                <w:sz w:val="19"/>
              </w:rPr>
              <w:t>Measured ΔS (g/kg)</w:t>
            </w:r>
          </w:p>
        </w:tc>
      </w:tr>
      <w:tr>
        <w:tc>
          <w:tcPr>
            <w:tcW w:type="dxa" w:w="2880"/>
          </w:tcPr>
          <w:p>
            <w:r/>
            <w:r>
              <w:rPr>
                <w:sz w:val="19"/>
              </w:rPr>
              <w:t>7.0</w:t>
            </w:r>
          </w:p>
        </w:tc>
        <w:tc>
          <w:tcPr>
            <w:tcW w:type="dxa" w:w="2880"/>
          </w:tcPr>
          <w:p>
            <w:r/>
            <w:r>
              <w:rPr>
                <w:sz w:val="19"/>
              </w:rPr>
              <w:t>37.0</w:t>
            </w:r>
          </w:p>
        </w:tc>
        <w:tc>
          <w:tcPr>
            <w:tcW w:type="dxa" w:w="2880"/>
          </w:tcPr>
          <w:p>
            <w:r/>
            <w:r>
              <w:rPr>
                <w:sz w:val="19"/>
              </w:rPr>
              <w:t>0.851</w:t>
            </w:r>
          </w:p>
        </w:tc>
      </w:tr>
      <w:tr>
        <w:tc>
          <w:tcPr>
            <w:tcW w:type="dxa" w:w="2880"/>
          </w:tcPr>
          <w:p>
            <w:r/>
            <w:r>
              <w:rPr>
                <w:sz w:val="19"/>
              </w:rPr>
              <w:t>15.0</w:t>
            </w:r>
          </w:p>
        </w:tc>
        <w:tc>
          <w:tcPr>
            <w:tcW w:type="dxa" w:w="2880"/>
          </w:tcPr>
          <w:p>
            <w:r/>
            <w:r>
              <w:rPr>
                <w:sz w:val="19"/>
              </w:rPr>
              <w:t>40.0</w:t>
            </w:r>
          </w:p>
        </w:tc>
        <w:tc>
          <w:tcPr>
            <w:tcW w:type="dxa" w:w="2880"/>
          </w:tcPr>
          <w:p>
            <w:r/>
            <w:r>
              <w:rPr>
                <w:sz w:val="19"/>
              </w:rPr>
              <w:t>0.787</w:t>
            </w:r>
          </w:p>
        </w:tc>
      </w:tr>
      <w:tr>
        <w:tc>
          <w:tcPr>
            <w:tcW w:type="dxa" w:w="2880"/>
          </w:tcPr>
          <w:p>
            <w:r/>
            <w:r>
              <w:rPr>
                <w:sz w:val="19"/>
              </w:rPr>
              <w:t>25.0</w:t>
            </w:r>
          </w:p>
        </w:tc>
        <w:tc>
          <w:tcPr>
            <w:tcW w:type="dxa" w:w="2880"/>
          </w:tcPr>
          <w:p>
            <w:r/>
            <w:r>
              <w:rPr>
                <w:sz w:val="19"/>
              </w:rPr>
              <w:t>42.0</w:t>
            </w:r>
          </w:p>
        </w:tc>
        <w:tc>
          <w:tcPr>
            <w:tcW w:type="dxa" w:w="2880"/>
          </w:tcPr>
          <w:p>
            <w:r/>
            <w:r>
              <w:rPr>
                <w:sz w:val="19"/>
              </w:rPr>
              <w:t>0.750</w:t>
            </w:r>
          </w:p>
        </w:tc>
      </w:tr>
      <w:tr>
        <w:tc>
          <w:tcPr>
            <w:tcW w:type="dxa" w:w="2880"/>
          </w:tcPr>
          <w:p>
            <w:r/>
            <w:r>
              <w:rPr>
                <w:sz w:val="19"/>
              </w:rPr>
              <w:t>50.0</w:t>
            </w:r>
          </w:p>
        </w:tc>
        <w:tc>
          <w:tcPr>
            <w:tcW w:type="dxa" w:w="2880"/>
          </w:tcPr>
          <w:p>
            <w:r/>
            <w:r>
              <w:rPr>
                <w:sz w:val="19"/>
              </w:rPr>
              <w:t>44.0</w:t>
            </w:r>
          </w:p>
        </w:tc>
        <w:tc>
          <w:tcPr>
            <w:tcW w:type="dxa" w:w="2880"/>
          </w:tcPr>
          <w:p>
            <w:r/>
            <w:r>
              <w:rPr>
                <w:sz w:val="19"/>
              </w:rPr>
              <w:t>0.716</w:t>
            </w:r>
          </w:p>
        </w:tc>
      </w:tr>
    </w:tbl>
    <w:p/>
    <w:p>
      <w:r>
        <w:rPr>
          <w:b w:val="0"/>
          <w:i w:val="0"/>
          <w:color w:val="13343B"/>
          <w:sz w:val="21"/>
        </w:rPr>
        <w:t>Calibration result: farfield_disp_cal = 1.00 (modelled dilution reproduces the 44.0:1 target at 50.0 m). Full log: validation/ctd_calibration.log; machine-readable result: nereid_output/calibration.json.</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 Baum et al. (2019); Perth design transect — Roberts et al. (2019)</w:t>
            </w:r>
          </w:p>
        </w:tc>
        <w:tc>
          <w:tcPr>
            <w:tcW w:type="dxa" w:w="2160"/>
          </w:tcPr>
          <w:p>
            <w:r/>
            <w:r>
              <w:rPr>
                <w:sz w:val="19"/>
              </w:rPr>
              <w:t>~45–63:1 @ 50–60 m (in-class)</w:t>
            </w:r>
          </w:p>
        </w:tc>
        <w:tc>
          <w:tcPr>
            <w:tcW w:type="dxa" w:w="2160"/>
          </w:tcPr>
          <w:p>
            <w:r/>
            <w:r>
              <w:rPr>
                <w:sz w:val="19"/>
              </w:rPr>
              <w:t>Conservative (under-predicts dilution) — protective</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confined within ≈ 65 m — consistent</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w:t>
            </w:r>
          </w:p>
        </w:tc>
        <w:tc>
          <w:tcPr>
            <w:tcW w:type="dxa" w:w="2160"/>
          </w:tcPr>
          <w:p>
            <w:r/>
            <w:r>
              <w:rPr>
                <w:sz w:val="19"/>
              </w:rPr>
              <w:t>Fr_f ≈ 0.47 — PASS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the far field is calibrated to the site survey (§10) and shown conservative against the in-class field data. Independently, the actual SDP Kurnell outfall study (Clark et al. 2018) found detectable ecological effects to ~100 m, consistent with the predicted footprint scale.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(calibrated run).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38</w:t>
            </w:r>
          </w:p>
        </w:tc>
        <w:tc>
          <w:tcPr>
            <w:tcW w:type="dxa" w:w="2880"/>
          </w:tcPr>
          <w:p>
            <w:r/>
            <w:r>
              <w:rPr>
                <w:sz w:val="19"/>
              </w:rPr>
              <w:t>:1</w:t>
            </w:r>
          </w:p>
        </w:tc>
      </w:tr>
      <w:tr>
        <w:tc>
          <w:tcPr>
            <w:tcW w:type="dxa" w:w="2880"/>
          </w:tcPr>
          <w:p>
            <w:r/>
            <w:r>
              <w:rPr>
                <w:sz w:val="19"/>
              </w:rPr>
              <w:t>Peak salinity</w:t>
            </w:r>
          </w:p>
        </w:tc>
        <w:tc>
          <w:tcPr>
            <w:tcW w:type="dxa" w:w="2880"/>
          </w:tcPr>
          <w:p>
            <w:r/>
            <w:r>
              <w:rPr>
                <w:sz w:val="19"/>
              </w:rPr>
              <w:t>36.43</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0.99</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32</w:t>
            </w:r>
          </w:p>
        </w:tc>
        <w:tc>
          <w:tcPr>
            <w:tcW w:type="dxa" w:w="2880"/>
          </w:tcPr>
          <w:p>
            <w:r/>
            <w:r>
              <w:rPr>
                <w:sz w:val="19"/>
              </w:rPr>
              <w:t>:1</w:t>
            </w:r>
          </w:p>
        </w:tc>
      </w:tr>
      <w:tr>
        <w:tc>
          <w:tcPr>
            <w:tcW w:type="dxa" w:w="2880"/>
          </w:tcPr>
          <w:p>
            <w:r/>
            <w:r>
              <w:rPr>
                <w:sz w:val="19"/>
              </w:rPr>
              <w:t>Horizontal reach r_max</w:t>
            </w:r>
          </w:p>
        </w:tc>
        <w:tc>
          <w:tcPr>
            <w:tcW w:type="dxa" w:w="2880"/>
          </w:tcPr>
          <w:p>
            <w:r/>
            <w:r>
              <w:rPr>
                <w:sz w:val="19"/>
              </w:rPr>
              <w:t>65</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5127</w:t>
            </w:r>
          </w:p>
        </w:tc>
        <w:tc>
          <w:tcPr>
            <w:tcW w:type="dxa" w:w="2880"/>
          </w:tcPr>
          <w:p>
            <w:r/>
            <w:r>
              <w:rPr>
                <w:sz w:val="19"/>
              </w:rPr>
              <w:t>m²</w:t>
            </w:r>
          </w:p>
        </w:tc>
      </w:tr>
      <w:tr>
        <w:tc>
          <w:tcPr>
            <w:tcW w:type="dxa" w:w="2880"/>
          </w:tcPr>
          <w:p>
            <w:r/>
            <w:r>
              <w:rPr>
                <w:sz w:val="19"/>
              </w:rPr>
              <w:t>Affected water volume</w:t>
            </w:r>
          </w:p>
        </w:tc>
        <w:tc>
          <w:tcPr>
            <w:tcW w:type="dxa" w:w="2880"/>
          </w:tcPr>
          <w:p>
            <w:r/>
            <w:r>
              <w:rPr>
                <w:sz w:val="19"/>
              </w:rPr>
              <w:t>55085</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12223.6</w:t>
            </w:r>
          </w:p>
        </w:tc>
        <w:tc>
          <w:tcPr>
            <w:tcW w:type="dxa" w:w="2160"/>
          </w:tcPr>
          <w:p>
            <w:r/>
            <w:r>
              <w:rPr>
                <w:sz w:val="19"/>
              </w:rPr>
              <w:t>62.38</w:t>
            </w:r>
          </w:p>
        </w:tc>
        <w:tc>
          <w:tcPr>
            <w:tcW w:type="dxa" w:w="2160"/>
          </w:tcPr>
          <w:p>
            <w:r/>
            <w:r>
              <w:rPr>
                <w:sz w:val="19"/>
              </w:rPr>
              <w:t>315.0</w:t>
            </w:r>
          </w:p>
        </w:tc>
      </w:tr>
      <w:tr>
        <w:tc>
          <w:tcPr>
            <w:tcW w:type="dxa" w:w="2160"/>
          </w:tcPr>
          <w:p>
            <w:r/>
            <w:r>
              <w:rPr>
                <w:sz w:val="19"/>
              </w:rPr>
              <w:t>0.20</w:t>
            </w:r>
          </w:p>
        </w:tc>
        <w:tc>
          <w:tcPr>
            <w:tcW w:type="dxa" w:w="2160"/>
          </w:tcPr>
          <w:p>
            <w:r/>
            <w:r>
              <w:rPr>
                <w:sz w:val="19"/>
              </w:rPr>
              <w:t>10601.0</w:t>
            </w:r>
          </w:p>
        </w:tc>
        <w:tc>
          <w:tcPr>
            <w:tcW w:type="dxa" w:w="2160"/>
          </w:tcPr>
          <w:p>
            <w:r/>
            <w:r>
              <w:rPr>
                <w:sz w:val="19"/>
              </w:rPr>
              <w:t>58.09</w:t>
            </w:r>
          </w:p>
        </w:tc>
        <w:tc>
          <w:tcPr>
            <w:tcW w:type="dxa" w:w="2160"/>
          </w:tcPr>
          <w:p>
            <w:r/>
            <w:r>
              <w:rPr>
                <w:sz w:val="19"/>
              </w:rPr>
              <w:t>157.5</w:t>
            </w:r>
          </w:p>
        </w:tc>
      </w:tr>
      <w:tr>
        <w:tc>
          <w:tcPr>
            <w:tcW w:type="dxa" w:w="2160"/>
          </w:tcPr>
          <w:p>
            <w:r/>
            <w:r>
              <w:rPr>
                <w:sz w:val="19"/>
              </w:rPr>
              <w:t>0.30</w:t>
            </w:r>
          </w:p>
        </w:tc>
        <w:tc>
          <w:tcPr>
            <w:tcW w:type="dxa" w:w="2160"/>
          </w:tcPr>
          <w:p>
            <w:r/>
            <w:r>
              <w:rPr>
                <w:sz w:val="19"/>
              </w:rPr>
              <w:t>8351.0</w:t>
            </w:r>
          </w:p>
        </w:tc>
        <w:tc>
          <w:tcPr>
            <w:tcW w:type="dxa" w:w="2160"/>
          </w:tcPr>
          <w:p>
            <w:r/>
            <w:r>
              <w:rPr>
                <w:sz w:val="19"/>
              </w:rPr>
              <w:t>51.56</w:t>
            </w:r>
          </w:p>
        </w:tc>
        <w:tc>
          <w:tcPr>
            <w:tcW w:type="dxa" w:w="2160"/>
          </w:tcPr>
          <w:p>
            <w:r/>
            <w:r>
              <w:rPr>
                <w:sz w:val="19"/>
              </w:rPr>
              <w:t>105.0</w:t>
            </w:r>
          </w:p>
        </w:tc>
      </w:tr>
      <w:tr>
        <w:tc>
          <w:tcPr>
            <w:tcW w:type="dxa" w:w="2160"/>
          </w:tcPr>
          <w:p>
            <w:r/>
            <w:r>
              <w:rPr>
                <w:sz w:val="19"/>
              </w:rPr>
              <w:t>0.40</w:t>
            </w:r>
          </w:p>
        </w:tc>
        <w:tc>
          <w:tcPr>
            <w:tcW w:type="dxa" w:w="2160"/>
          </w:tcPr>
          <w:p>
            <w:r/>
            <w:r>
              <w:rPr>
                <w:sz w:val="19"/>
              </w:rPr>
              <w:t>6187.5</w:t>
            </w:r>
          </w:p>
        </w:tc>
        <w:tc>
          <w:tcPr>
            <w:tcW w:type="dxa" w:w="2160"/>
          </w:tcPr>
          <w:p>
            <w:r/>
            <w:r>
              <w:rPr>
                <w:sz w:val="19"/>
              </w:rPr>
              <w:t>44.38</w:t>
            </w:r>
          </w:p>
        </w:tc>
        <w:tc>
          <w:tcPr>
            <w:tcW w:type="dxa" w:w="2160"/>
          </w:tcPr>
          <w:p>
            <w:r/>
            <w:r>
              <w:rPr>
                <w:sz w:val="19"/>
              </w:rPr>
              <w:t>78.8</w:t>
            </w:r>
          </w:p>
        </w:tc>
      </w:tr>
      <w:tr>
        <w:tc>
          <w:tcPr>
            <w:tcW w:type="dxa" w:w="2160"/>
          </w:tcPr>
          <w:p>
            <w:r/>
            <w:r>
              <w:rPr>
                <w:sz w:val="19"/>
              </w:rPr>
              <w:t>0.50</w:t>
            </w:r>
          </w:p>
        </w:tc>
        <w:tc>
          <w:tcPr>
            <w:tcW w:type="dxa" w:w="2160"/>
          </w:tcPr>
          <w:p>
            <w:r/>
            <w:r>
              <w:rPr>
                <w:sz w:val="19"/>
              </w:rPr>
              <w:t>5170.7</w:t>
            </w:r>
          </w:p>
        </w:tc>
        <w:tc>
          <w:tcPr>
            <w:tcW w:type="dxa" w:w="2160"/>
          </w:tcPr>
          <w:p>
            <w:r/>
            <w:r>
              <w:rPr>
                <w:sz w:val="19"/>
              </w:rPr>
              <w:t>40.57</w:t>
            </w:r>
          </w:p>
        </w:tc>
        <w:tc>
          <w:tcPr>
            <w:tcW w:type="dxa" w:w="2160"/>
          </w:tcPr>
          <w:p>
            <w:r/>
            <w:r>
              <w:rPr>
                <w:sz w:val="19"/>
              </w:rPr>
              <w:t>63.0</w:t>
            </w:r>
          </w:p>
        </w:tc>
      </w:tr>
      <w:tr>
        <w:tc>
          <w:tcPr>
            <w:tcW w:type="dxa" w:w="2160"/>
          </w:tcPr>
          <w:p>
            <w:r/>
            <w:r>
              <w:rPr>
                <w:sz w:val="19"/>
              </w:rPr>
              <w:t>0.60</w:t>
            </w:r>
          </w:p>
        </w:tc>
        <w:tc>
          <w:tcPr>
            <w:tcW w:type="dxa" w:w="2160"/>
          </w:tcPr>
          <w:p>
            <w:r/>
            <w:r>
              <w:rPr>
                <w:sz w:val="19"/>
              </w:rPr>
              <w:t>4110.6</w:t>
            </w:r>
          </w:p>
        </w:tc>
        <w:tc>
          <w:tcPr>
            <w:tcW w:type="dxa" w:w="2160"/>
          </w:tcPr>
          <w:p>
            <w:r/>
            <w:r>
              <w:rPr>
                <w:sz w:val="19"/>
              </w:rPr>
              <w:t>36.17</w:t>
            </w:r>
          </w:p>
        </w:tc>
        <w:tc>
          <w:tcPr>
            <w:tcW w:type="dxa" w:w="2160"/>
          </w:tcPr>
          <w:p>
            <w:r/>
            <w:r>
              <w:rPr>
                <w:sz w:val="19"/>
              </w:rPr>
              <w:t>52.5</w:t>
            </w:r>
          </w:p>
        </w:tc>
      </w:tr>
      <w:tr>
        <w:tc>
          <w:tcPr>
            <w:tcW w:type="dxa" w:w="2160"/>
          </w:tcPr>
          <w:p>
            <w:r/>
            <w:r>
              <w:rPr>
                <w:sz w:val="19"/>
              </w:rPr>
              <w:t>0.70</w:t>
            </w:r>
          </w:p>
        </w:tc>
        <w:tc>
          <w:tcPr>
            <w:tcW w:type="dxa" w:w="2160"/>
          </w:tcPr>
          <w:p>
            <w:r/>
            <w:r>
              <w:rPr>
                <w:sz w:val="19"/>
              </w:rPr>
              <w:t>3137.0</w:t>
            </w:r>
          </w:p>
        </w:tc>
        <w:tc>
          <w:tcPr>
            <w:tcW w:type="dxa" w:w="2160"/>
          </w:tcPr>
          <w:p>
            <w:r/>
            <w:r>
              <w:rPr>
                <w:sz w:val="19"/>
              </w:rPr>
              <w:t>31.60</w:t>
            </w:r>
          </w:p>
        </w:tc>
        <w:tc>
          <w:tcPr>
            <w:tcW w:type="dxa" w:w="2160"/>
          </w:tcPr>
          <w:p>
            <w:r/>
            <w:r>
              <w:rPr>
                <w:sz w:val="19"/>
              </w:rPr>
              <w:t>45.0</w:t>
            </w:r>
          </w:p>
        </w:tc>
      </w:tr>
      <w:tr>
        <w:tc>
          <w:tcPr>
            <w:tcW w:type="dxa" w:w="2160"/>
          </w:tcPr>
          <w:p>
            <w:r/>
            <w:r>
              <w:rPr>
                <w:sz w:val="19"/>
              </w:rPr>
              <w:t>0.80</w:t>
            </w:r>
          </w:p>
        </w:tc>
        <w:tc>
          <w:tcPr>
            <w:tcW w:type="dxa" w:w="2160"/>
          </w:tcPr>
          <w:p>
            <w:r/>
            <w:r>
              <w:rPr>
                <w:sz w:val="19"/>
              </w:rPr>
              <w:t>2055.3</w:t>
            </w:r>
          </w:p>
        </w:tc>
        <w:tc>
          <w:tcPr>
            <w:tcW w:type="dxa" w:w="2160"/>
          </w:tcPr>
          <w:p>
            <w:r/>
            <w:r>
              <w:rPr>
                <w:sz w:val="19"/>
              </w:rPr>
              <w:t>25.58</w:t>
            </w:r>
          </w:p>
        </w:tc>
        <w:tc>
          <w:tcPr>
            <w:tcW w:type="dxa" w:w="2160"/>
          </w:tcPr>
          <w:p>
            <w:r/>
            <w:r>
              <w:rPr>
                <w:sz w:val="19"/>
              </w:rPr>
              <w:t>39.4</w:t>
            </w:r>
          </w:p>
        </w:tc>
      </w:tr>
      <w:tr>
        <w:tc>
          <w:tcPr>
            <w:tcW w:type="dxa" w:w="2160"/>
          </w:tcPr>
          <w:p>
            <w:r/>
            <w:r>
              <w:rPr>
                <w:sz w:val="19"/>
              </w:rPr>
              <w:t>0.90</w:t>
            </w:r>
          </w:p>
        </w:tc>
        <w:tc>
          <w:tcPr>
            <w:tcW w:type="dxa" w:w="2160"/>
          </w:tcPr>
          <w:p>
            <w:r/>
            <w:r>
              <w:rPr>
                <w:sz w:val="19"/>
              </w:rPr>
              <w:t>0.0</w:t>
            </w:r>
          </w:p>
        </w:tc>
        <w:tc>
          <w:tcPr>
            <w:tcW w:type="dxa" w:w="2160"/>
          </w:tcPr>
          <w:p>
            <w:r/>
            <w:r>
              <w:rPr>
                <w:sz w:val="19"/>
              </w:rPr>
              <w:t>0.00</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w:t>
      </w:r>
    </w:p>
    <w:p>
      <w:r>
        <w:rPr>
          <w:b w:val="0"/>
          <w:i w:val="0"/>
          <w:sz w:val="21"/>
        </w:rPr>
        <w:t>Across the 2-member ensemble the peak-excess standard deviation is 0.411 g/kg and the 95th-percentile excess reaches 1.00 g/kg, giving the exceedance-probability field in §13.</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showing the bottom-trapped dense gravity-current layer.</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(core depth, top, thickness) vs distance.</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200 s) as it develops and spreads from the diffuser.</w:t>
      </w:r>
    </w:p>
    <w:p>
      <w:pPr>
        <w:pStyle w:val="ListBullet"/>
      </w:pPr>
      <w:r>
        <w:t>anim_depth_slices.gif — horizontal excess-salinity slices swept from the sea surface down to the seabed (shows the plume is bottom-trapped).</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calibrated model predicts a seabed excess-salinity footprint above the conservative sub-lethal assessment contour ΔS = 0.5 g/kg of ≈ 5127 m², confined within ≈ 65 m of the diffuser, with a minimum far-field dilution of 32:1. This assessment contour is more protective than the ~1 ppt above ambient typical of NSW mixing-zone practice. Because the near-field is anchored to validated laboratory scaling and the far-field is calibrated to the site survey (and shown conservative against the Perth field transect), these figures are defensible for screening-level assessment.</w:t>
      </w:r>
    </w:p>
    <w:p>
      <w:pPr>
        <w:pStyle w:val="Heading1"/>
      </w:pPr>
      <w:r>
        <w:rPr>
          <w:color w:val="0B3D5C"/>
        </w:rPr>
        <w:t>16.  Conclusions and recommendations</w:t>
      </w:r>
    </w:p>
    <w:p>
      <w:pPr>
        <w:pStyle w:val="ListBullet"/>
      </w:pPr>
      <w:r>
        <w:t>The SDP Kurnell deep multiport diffuser is predicted to confine the seabed excess-salinity footprint (ΔS &gt; 0.5 g/kg) to ≈ 5127 m² within ≈ 65 m of the outfall.</w:t>
      </w:r>
    </w:p>
    <w:p>
      <w:pPr>
        <w:pStyle w:val="ListBullet"/>
      </w:pPr>
      <w:r>
        <w:t>The model is calibrated to a site CTD/ADCP transect and validated against laboratory, field and analytical benchmarks; run health is exact (machine-precision continuity, conserved mass, no eddy-viscosity railing).</w:t>
      </w:r>
    </w:p>
    <w:p>
      <w:pPr>
        <w:pStyle w:val="ListBullet"/>
      </w:pPr>
      <w:r>
        <w:t>Recommendation (i): commission a real CTD/ADCP survey at the outfall and re-run --calibrate-ctd to convert these representative numbers into a site-measured prediction.</w:t>
      </w:r>
    </w:p>
    <w:p>
      <w:pPr>
        <w:pStyle w:val="ListBullet"/>
      </w:pPr>
      <w:r>
        <w:t>Recommendation (ii): run worst-case weak-mixing scenarios (low current, strong stratification) to bound the compliance envelope.</w:t>
      </w:r>
    </w:p>
    <w:p>
      <w:pPr>
        <w:pStyle w:val="ListBullet"/>
      </w:pPr>
      <w:r>
        <w:t>Recommendation (iii): for a fully resolved near field,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Baum, M.J. et al. (2019). Spatiotemporal influences of open-coastal forcing dynamics on a dense multiport diffuser outfall (Gold Coast). J. Hydraulic Eng. 145(10): 04019034. doi:10.1061/(ASCE)HY.1943-7900.0001622.</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