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1F4E79"/>
          <w:sz w:val="52"/>
        </w:rPr>
        <w:t>Prediction and Analysis of Salinity Distribution</w:t>
      </w:r>
    </w:p>
    <w:p>
      <w:pPr>
        <w:spacing w:after="200"/>
        <w:jc w:val="center"/>
      </w:pPr>
      <w:r>
        <w:rPr>
          <w:rFonts w:ascii="Calibri" w:hAnsi="Calibri"/>
          <w:b/>
          <w:i w:val="0"/>
          <w:color w:val="1F4E79"/>
          <w:sz w:val="40"/>
        </w:rPr>
        <w:t>Around a Submarine Brine-Effluent Outfall</w:t>
      </w:r>
    </w:p>
    <w:p>
      <w:pPr>
        <w:spacing w:after="120"/>
        <w:jc w:val="center"/>
      </w:pPr>
      <w:r>
        <w:rPr>
          <w:rFonts w:ascii="Calibri" w:hAnsi="Calibri"/>
          <w:b w:val="0"/>
          <w:i/>
          <w:sz w:val="26"/>
        </w:rPr>
        <w:t>A Consolidated Report: Novel Coupled-PDE Model, Solver, Industrial Case Simulations and Comparative Analysis</w:t>
      </w:r>
    </w:p>
    <w:p>
      <w:pPr>
        <w:spacing w:after="120"/>
        <w:jc w:val="center"/>
      </w:pPr>
      <w:r>
        <w:rPr>
          <w:rFonts w:ascii="Calibri" w:hAnsi="Calibri"/>
          <w:b w:val="0"/>
          <w:i w:val="0"/>
          <w:sz w:val="22"/>
        </w:rPr>
        <w:t>NEREID-B — Nonlinear Eulerian Reactive-osmotic Effluent Integro-Dispersion model for Brine outfalls</w:t>
      </w:r>
    </w:p>
    <w:p/>
    <w:p>
      <w:pPr>
        <w:spacing w:after="120"/>
        <w:jc w:val="center"/>
      </w:pPr>
      <w:r>
        <w:rPr>
          <w:rFonts w:ascii="Calibri" w:hAnsi="Calibri"/>
          <w:b w:val="0"/>
          <w:i w:val="0"/>
          <w:color w:val="555555"/>
          <w:sz w:val="22"/>
        </w:rPr>
        <w:t>Consolidated Edition  ·  combines 8 project documents  ·  Rev. 1.0  ·  11 June 2026</w:t>
      </w:r>
    </w:p>
    <w:p/>
    <w:p>
      <w:pPr>
        <w:jc w:val="center"/>
      </w:pPr>
      <w:r>
        <w:rPr>
          <w:rFonts w:ascii="Calibri" w:hAnsi="Calibri"/>
          <w:b/>
          <w:sz w:val="30"/>
        </w:rPr>
        <w:t>Contents</w:t>
      </w:r>
    </w:p>
    <w:p>
      <w:pPr>
        <w:spacing w:after="40"/>
        <w:jc w:val="center"/>
      </w:pPr>
      <w:r>
        <w:rPr>
          <w:rFonts w:ascii="Calibri" w:hAnsi="Calibri"/>
          <w:sz w:val="23"/>
        </w:rPr>
        <w:t>Part I — The Coupled-PDE Model — NEREID-B</w:t>
      </w:r>
    </w:p>
    <w:p>
      <w:pPr>
        <w:spacing w:after="40"/>
        <w:jc w:val="center"/>
      </w:pPr>
      <w:r>
        <w:rPr>
          <w:rFonts w:ascii="Calibri" w:hAnsi="Calibri"/>
          <w:sz w:val="23"/>
        </w:rPr>
        <w:t>Part II — Input Data Requirements</w:t>
      </w:r>
    </w:p>
    <w:p>
      <w:pPr>
        <w:spacing w:after="40"/>
        <w:jc w:val="center"/>
      </w:pPr>
      <w:r>
        <w:rPr>
          <w:rFonts w:ascii="Calibri" w:hAnsi="Calibri"/>
          <w:sz w:val="23"/>
        </w:rPr>
        <w:t>Part III — Output Specification</w:t>
      </w:r>
    </w:p>
    <w:p>
      <w:pPr>
        <w:spacing w:after="40"/>
        <w:jc w:val="center"/>
      </w:pPr>
      <w:r>
        <w:rPr>
          <w:rFonts w:ascii="Calibri" w:hAnsi="Calibri"/>
          <w:sz w:val="23"/>
        </w:rPr>
        <w:t>Part IV — Single-Port Case — Simulation Report</w:t>
      </w:r>
    </w:p>
    <w:p>
      <w:pPr>
        <w:spacing w:after="40"/>
        <w:jc w:val="center"/>
      </w:pPr>
      <w:r>
        <w:rPr>
          <w:rFonts w:ascii="Calibri" w:hAnsi="Calibri"/>
          <w:sz w:val="23"/>
        </w:rPr>
        <w:t>Part V — Single-Port Case — Results Interpretation</w:t>
      </w:r>
    </w:p>
    <w:p>
      <w:pPr>
        <w:spacing w:after="40"/>
        <w:jc w:val="center"/>
      </w:pPr>
      <w:r>
        <w:rPr>
          <w:rFonts w:ascii="Calibri" w:hAnsi="Calibri"/>
          <w:sz w:val="23"/>
        </w:rPr>
        <w:t>Part VI — Merged Multi-Port Case — Simulation Report</w:t>
      </w:r>
    </w:p>
    <w:p>
      <w:pPr>
        <w:spacing w:after="40"/>
        <w:jc w:val="center"/>
      </w:pPr>
      <w:r>
        <w:rPr>
          <w:rFonts w:ascii="Calibri" w:hAnsi="Calibri"/>
          <w:sz w:val="23"/>
        </w:rPr>
        <w:t>Part VII — Merged Multi-Port Case — Results Interpretation</w:t>
      </w:r>
    </w:p>
    <w:p>
      <w:pPr>
        <w:spacing w:after="40"/>
        <w:jc w:val="center"/>
      </w:pPr>
      <w:r>
        <w:rPr>
          <w:rFonts w:ascii="Calibri" w:hAnsi="Calibri"/>
          <w:sz w:val="23"/>
        </w:rPr>
        <w:t>Part VIII — Comparative Analysis — Single-Port vs Merged</w:t>
      </w:r>
    </w:p>
    <w:p>
      <w:pPr>
        <w:spacing w:after="120"/>
        <w:jc w:val="center"/>
      </w:pPr>
      <w:r>
        <w:rPr>
          <w:rFonts w:ascii="Calibri" w:hAnsi="Calibri"/>
          <w:b w:val="0"/>
          <w:i/>
          <w:color w:val="666666"/>
          <w:sz w:val="19"/>
        </w:rPr>
        <w:t>(Each Part is the corresponding source document, reproduced in full.)</w:t>
      </w:r>
    </w:p>
    <w:p>
      <w:r>
        <w:br w:type="page"/>
      </w:r>
    </w:p>
    <w:p>
      <w:pPr>
        <w:spacing w:before="1200" w:after="80"/>
        <w:jc w:val="center"/>
      </w:pPr>
      <w:r>
        <w:rPr>
          <w:rFonts w:ascii="Calibri" w:hAnsi="Calibri"/>
          <w:b/>
          <w:color w:val="1F4E79"/>
          <w:sz w:val="56"/>
        </w:rPr>
        <w:t>PART I</w:t>
      </w:r>
    </w:p>
    <w:p>
      <w:pPr>
        <w:spacing w:after="200"/>
        <w:jc w:val="center"/>
      </w:pPr>
      <w:r>
        <w:rPr>
          <w:rFonts w:ascii="Calibri" w:hAnsi="Calibri"/>
          <w:b/>
          <w:sz w:val="32"/>
        </w:rPr>
        <w:t>The Coupled-PDE Model — NEREID-B</w:t>
      </w:r>
    </w:p>
    <w:p>
      <w:pPr>
        <w:jc w:val="center"/>
      </w:pPr>
      <w:r>
        <w:rPr>
          <w:rFonts w:ascii="Calibri" w:hAnsi="Calibri"/>
          <w:i/>
          <w:color w:val="888888"/>
          <w:sz w:val="19"/>
        </w:rPr>
        <w:t>(source: salinity.docx)</w:t>
      </w:r>
    </w:p>
    <w:p>
      <w:r>
        <w:br w:type="page"/>
      </w:r>
    </w:p>
    <w:p>
      <w:r>
        <w:br w:type="page"/>
      </w:r>
    </w:p>
    <w:p>
      <w:pPr>
        <w:spacing w:before="1200" w:after="80"/>
        <w:jc w:val="center"/>
      </w:pPr>
      <w:r>
        <w:rPr>
          <w:rFonts w:ascii="Calibri" w:hAnsi="Calibri"/>
          <w:b/>
          <w:color w:val="1F4E79"/>
          <w:sz w:val="56"/>
        </w:rPr>
        <w:t>PART II</w:t>
      </w:r>
    </w:p>
    <w:p>
      <w:pPr>
        <w:spacing w:after="200"/>
        <w:jc w:val="center"/>
      </w:pPr>
      <w:r>
        <w:rPr>
          <w:rFonts w:ascii="Calibri" w:hAnsi="Calibri"/>
          <w:b/>
          <w:sz w:val="32"/>
        </w:rPr>
        <w:t>Input Data Requirements</w:t>
      </w:r>
    </w:p>
    <w:p>
      <w:pPr>
        <w:jc w:val="center"/>
      </w:pPr>
      <w:r>
        <w:rPr>
          <w:rFonts w:ascii="Calibri" w:hAnsi="Calibri"/>
          <w:i/>
          <w:color w:val="888888"/>
          <w:sz w:val="19"/>
        </w:rPr>
        <w:t>(source: input.docx)</w:t>
      </w:r>
    </w:p>
    <w:p>
      <w:r>
        <w:br w:type="page"/>
      </w:r>
    </w:p>
    <w:p>
      <w:r>
        <w:br w:type="page"/>
      </w:r>
    </w:p>
    <w:p>
      <w:pPr>
        <w:spacing w:before="1200" w:after="80"/>
        <w:jc w:val="center"/>
      </w:pPr>
      <w:r>
        <w:rPr>
          <w:rFonts w:ascii="Calibri" w:hAnsi="Calibri"/>
          <w:b/>
          <w:color w:val="1F4E79"/>
          <w:sz w:val="56"/>
        </w:rPr>
        <w:t>PART III</w:t>
      </w:r>
    </w:p>
    <w:p>
      <w:pPr>
        <w:spacing w:after="200"/>
        <w:jc w:val="center"/>
      </w:pPr>
      <w:r>
        <w:rPr>
          <w:rFonts w:ascii="Calibri" w:hAnsi="Calibri"/>
          <w:b/>
          <w:sz w:val="32"/>
        </w:rPr>
        <w:t>Output Specification</w:t>
      </w:r>
    </w:p>
    <w:p>
      <w:pPr>
        <w:jc w:val="center"/>
      </w:pPr>
      <w:r>
        <w:rPr>
          <w:rFonts w:ascii="Calibri" w:hAnsi="Calibri"/>
          <w:i/>
          <w:color w:val="888888"/>
          <w:sz w:val="19"/>
        </w:rPr>
        <w:t>(source: output.docx)</w:t>
      </w:r>
    </w:p>
    <w:p>
      <w:r>
        <w:br w:type="page"/>
      </w:r>
    </w:p>
    <w:p>
      <w:r>
        <w:br w:type="page"/>
      </w:r>
    </w:p>
    <w:p>
      <w:pPr>
        <w:spacing w:before="1200" w:after="80"/>
        <w:jc w:val="center"/>
      </w:pPr>
      <w:r>
        <w:rPr>
          <w:rFonts w:ascii="Calibri" w:hAnsi="Calibri"/>
          <w:b/>
          <w:color w:val="1F4E79"/>
          <w:sz w:val="56"/>
        </w:rPr>
        <w:t>PART IV</w:t>
      </w:r>
    </w:p>
    <w:p>
      <w:pPr>
        <w:spacing w:after="200"/>
        <w:jc w:val="center"/>
      </w:pPr>
      <w:r>
        <w:rPr>
          <w:rFonts w:ascii="Calibri" w:hAnsi="Calibri"/>
          <w:b/>
          <w:sz w:val="32"/>
        </w:rPr>
        <w:t>Single-Port Case — Simulation Report</w:t>
      </w:r>
    </w:p>
    <w:p>
      <w:pPr>
        <w:jc w:val="center"/>
      </w:pPr>
      <w:r>
        <w:rPr>
          <w:rFonts w:ascii="Calibri" w:hAnsi="Calibri"/>
          <w:i/>
          <w:color w:val="888888"/>
          <w:sz w:val="19"/>
        </w:rPr>
        <w:t>(source: 2/explain_simu_singleport.docx)</w:t>
      </w:r>
    </w:p>
    <w:p>
      <w:r>
        <w:br w:type="page"/>
      </w:r>
    </w:p>
    <w:p>
      <w:r>
        <w:br w:type="page"/>
      </w:r>
    </w:p>
    <w:p>
      <w:pPr>
        <w:spacing w:before="1200" w:after="80"/>
        <w:jc w:val="center"/>
      </w:pPr>
      <w:r>
        <w:rPr>
          <w:rFonts w:ascii="Calibri" w:hAnsi="Calibri"/>
          <w:b/>
          <w:color w:val="1F4E79"/>
          <w:sz w:val="56"/>
        </w:rPr>
        <w:t>PART V</w:t>
      </w:r>
    </w:p>
    <w:p>
      <w:pPr>
        <w:spacing w:after="200"/>
        <w:jc w:val="center"/>
      </w:pPr>
      <w:r>
        <w:rPr>
          <w:rFonts w:ascii="Calibri" w:hAnsi="Calibri"/>
          <w:b/>
          <w:sz w:val="32"/>
        </w:rPr>
        <w:t>Single-Port Case — Results Interpretation</w:t>
      </w:r>
    </w:p>
    <w:p>
      <w:pPr>
        <w:jc w:val="center"/>
      </w:pPr>
      <w:r>
        <w:rPr>
          <w:rFonts w:ascii="Calibri" w:hAnsi="Calibri"/>
          <w:i/>
          <w:color w:val="888888"/>
          <w:sz w:val="19"/>
        </w:rPr>
        <w:t>(source: 2/discuss_result2.docx)</w:t>
      </w:r>
    </w:p>
    <w:p>
      <w:r>
        <w:br w:type="page"/>
      </w:r>
    </w:p>
    <w:p>
      <w:r>
        <w:br w:type="page"/>
      </w:r>
    </w:p>
    <w:p>
      <w:pPr>
        <w:spacing w:before="1200" w:after="80"/>
        <w:jc w:val="center"/>
      </w:pPr>
      <w:r>
        <w:rPr>
          <w:rFonts w:ascii="Calibri" w:hAnsi="Calibri"/>
          <w:b/>
          <w:color w:val="1F4E79"/>
          <w:sz w:val="56"/>
        </w:rPr>
        <w:t>PART VI</w:t>
      </w:r>
    </w:p>
    <w:p>
      <w:pPr>
        <w:spacing w:after="200"/>
        <w:jc w:val="center"/>
      </w:pPr>
      <w:r>
        <w:rPr>
          <w:rFonts w:ascii="Calibri" w:hAnsi="Calibri"/>
          <w:b/>
          <w:sz w:val="32"/>
        </w:rPr>
        <w:t>Merged Multi-Port Case — Simulation Report</w:t>
      </w:r>
    </w:p>
    <w:p>
      <w:pPr>
        <w:jc w:val="center"/>
      </w:pPr>
      <w:r>
        <w:rPr>
          <w:rFonts w:ascii="Calibri" w:hAnsi="Calibri"/>
          <w:i/>
          <w:color w:val="888888"/>
          <w:sz w:val="19"/>
        </w:rPr>
        <w:t>(source: 2/explain_simu.docx)</w:t>
      </w:r>
    </w:p>
    <w:p>
      <w:r>
        <w:br w:type="page"/>
      </w:r>
    </w:p>
    <w:p>
      <w:r>
        <w:br w:type="page"/>
      </w:r>
    </w:p>
    <w:p>
      <w:pPr>
        <w:spacing w:before="1200" w:after="80"/>
        <w:jc w:val="center"/>
      </w:pPr>
      <w:r>
        <w:rPr>
          <w:rFonts w:ascii="Calibri" w:hAnsi="Calibri"/>
          <w:b/>
          <w:color w:val="1F4E79"/>
          <w:sz w:val="56"/>
        </w:rPr>
        <w:t>PART VII</w:t>
      </w:r>
    </w:p>
    <w:p>
      <w:pPr>
        <w:spacing w:after="200"/>
        <w:jc w:val="center"/>
      </w:pPr>
      <w:r>
        <w:rPr>
          <w:rFonts w:ascii="Calibri" w:hAnsi="Calibri"/>
          <w:b/>
          <w:sz w:val="32"/>
        </w:rPr>
        <w:t>Merged Multi-Port Case — Results Interpretation</w:t>
      </w:r>
    </w:p>
    <w:p>
      <w:pPr>
        <w:jc w:val="center"/>
      </w:pPr>
      <w:r>
        <w:rPr>
          <w:rFonts w:ascii="Calibri" w:hAnsi="Calibri"/>
          <w:i/>
          <w:color w:val="888888"/>
          <w:sz w:val="19"/>
        </w:rPr>
        <w:t>(source: 2/discuss_result.docx)</w:t>
      </w:r>
    </w:p>
    <w:p>
      <w:r>
        <w:br w:type="page"/>
      </w:r>
    </w:p>
    <w:p>
      <w:r>
        <w:br w:type="page"/>
      </w:r>
    </w:p>
    <w:p>
      <w:pPr>
        <w:spacing w:before="1200" w:after="80"/>
        <w:jc w:val="center"/>
      </w:pPr>
      <w:r>
        <w:rPr>
          <w:rFonts w:ascii="Calibri" w:hAnsi="Calibri"/>
          <w:b/>
          <w:color w:val="1F4E79"/>
          <w:sz w:val="56"/>
        </w:rPr>
        <w:t>PART VIII</w:t>
      </w:r>
    </w:p>
    <w:p>
      <w:pPr>
        <w:spacing w:after="200"/>
        <w:jc w:val="center"/>
      </w:pPr>
      <w:r>
        <w:rPr>
          <w:rFonts w:ascii="Calibri" w:hAnsi="Calibri"/>
          <w:b/>
          <w:sz w:val="32"/>
        </w:rPr>
        <w:t>Comparative Analysis — Single-Port vs Merged</w:t>
      </w:r>
    </w:p>
    <w:p>
      <w:pPr>
        <w:jc w:val="center"/>
      </w:pPr>
      <w:r>
        <w:rPr>
          <w:rFonts w:ascii="Calibri" w:hAnsi="Calibri"/>
          <w:i/>
          <w:color w:val="888888"/>
          <w:sz w:val="19"/>
        </w:rPr>
        <w:t>(source: 2/discuss_result3.docx)</w:t>
      </w:r>
    </w:p>
    <w:p>
      <w:r>
        <w:br w:type="page"/>
      </w:r>
    </w:p>
    <w:sectPr w:rsidR="00FC693F" w:rsidRPr="0006063C" w:rsidSect="00034616">
      <w:pgSz w:w="12240" w:h="15840"/>
      <w:pgMar w:top="1440" w:right="1800" w:bottom="1440" w:left="1800" w:header="720" w:footer="720" w:gutter="0"/>
      <w:cols w:space="720"/>
      <w:docGrid w:linePitch="360"/>
    </w:sectPr>
    <w:p>
      <w:pPr>
        <w:jc w:val="center"/>
      </w:pPr>
      <w:r>
        <w:rPr>
          <w:rFonts w:ascii="Calibri" w:hAnsi="Calibri"/>
          <w:b/>
          <w:color w:val="1F4E79"/>
          <w:sz w:val="60"/>
        </w:rPr>
        <w:t>NEREID-B</w:t>
      </w:r>
    </w:p>
    <w:p>
      <w:pPr>
        <w:jc w:val="center"/>
      </w:pPr>
      <w:r>
        <w:rPr>
          <w:rFonts w:ascii="Calibri" w:hAnsi="Calibri"/>
          <w:i/>
          <w:sz w:val="30"/>
        </w:rPr>
        <w:t>Nonlinear Eulerian Reactive-osmotic Effluent Integro-Dispersion model for Brine outfalls</w:t>
      </w:r>
    </w:p>
    <w:p>
      <w:pPr>
        <w:jc w:val="center"/>
      </w:pPr>
      <w:r>
        <w:rPr>
          <w:rFonts w:ascii="Calibri" w:hAnsi="Calibri"/>
          <w:sz w:val="24"/>
        </w:rPr>
        <w:t>A Novel Unsteady, Stochastic, Coupled Hydro–Haline–Thermal Partial-Differential-Equation System for Predicting the Three-Dimensional, Time-Evolving Salinity Distribution of a Negatively-Buoyant Brine Plume Discharged from a Submarine Pipe into a Moving Sea</w:t>
      </w:r>
    </w:p>
    <w:p>
      <w:pPr>
        <w:spacing w:after="200"/>
      </w:pPr>
    </w:p>
    <w:p>
      <w:pPr>
        <w:jc w:val="center"/>
      </w:pPr>
      <w:r>
        <w:rPr>
          <w:rFonts w:ascii="Calibri" w:hAnsi="Calibri"/>
          <w:color w:val="555555"/>
          <w:sz w:val="22"/>
        </w:rPr>
        <w:t>Mathematical Engineering Specification  ·  Rev. 1.0</w:t>
        <w:br/>
        <w:t>Prepared: 11 June 2026</w:t>
      </w:r>
    </w:p>
    <w:p>
      <w:r>
        <w:br w:type="page"/>
      </w:r>
    </w:p>
    <w:p>
      <w:pPr>
        <w:pStyle w:val="Heading1"/>
      </w:pPr>
      <w:r>
        <w:t>Abstract</w:t>
      </w:r>
    </w:p>
    <w:p>
      <w:pPr>
        <w:spacing w:after="120"/>
      </w:pPr>
      <w:r>
        <w:rPr>
          <w:rFonts w:ascii="Calibri" w:hAnsi="Calibri"/>
          <w:b w:val="0"/>
          <w:i w:val="0"/>
          <w:sz w:val="22"/>
        </w:rPr>
        <w:t>NEREID-B is a fully-coupled, unsteady, non-Boussinesq, stochastic partial-differential-equation (PDE) system that predicts the three-dimensional space-time evolution of salinity produced when a concentrated brine effluent (e.g. the reject stream of a seawater reverse-osmosis desalination plant) is discharged through an inclined submarine pipe into a moving, stratified, wave- and tide-forced sea. The model simultaneously solves seven tightly-coupled fields — the velocity vector, pressure, density, salinity, temperature, turbulence state, and the air-sea interface position — and closes them with a nonlinear equation of state, an irreversible-thermodynamics (Onsager) cross-diffusion law that couples heat and salt, and an explicit osmotic-pressure body force derived from the reverse-osmosis thermodynamics of the discharged reject.</w:t>
      </w:r>
    </w:p>
    <w:p>
      <w:pPr>
        <w:spacing w:after="120"/>
      </w:pPr>
      <w:r>
        <w:rPr>
          <w:rFonts w:ascii="Calibri" w:hAnsi="Calibri"/>
          <w:b w:val="0"/>
          <w:i w:val="0"/>
          <w:sz w:val="22"/>
        </w:rPr>
        <w:t>Three features make the formulation novel and patentable: (i) the osmotic-pressure gradient of the hyper-saline reject is promoted to a first-class momentum and mass-flux term rather than being neglected as in all conventional plume models; (ii) the unpredictability of the sea, wind and turbulence is represented intrinsically as space-time colored-noise stochastic forcing, so that the model returns a full probability density of the salinity field — a predicted mean plume together with a quantified confidence envelope of how far and how deep the brine reaches — rather than a single deterministic answer; and (iii) salinity and temperature are coupled through a complete anisotropic, state-dependent dispersion tensor that folds together molecular diffusion, shear dispersion, wave stirring, and bathymetric steering. The model is posed on a terrain-following coordinate that resolves arbitrary bathymetry and continental-shelf geometry, and is closed by a discharge boundary condition that embeds the full pipe hydraulics, nozzle inclination, and splash-zone air-sea exchange.</w:t>
      </w:r>
    </w:p>
    <w:p>
      <w:pPr>
        <w:pStyle w:val="Heading1"/>
      </w:pPr>
      <w:r>
        <w:t>1. Problem Statement, Scope and Novelty</w:t>
      </w:r>
    </w:p>
    <w:p>
      <w:pPr>
        <w:pStyle w:val="Heading2"/>
      </w:pPr>
      <w:r>
        <w:t>1.1 Physical problem</w:t>
      </w:r>
    </w:p>
    <w:p>
      <w:pPr>
        <w:spacing w:after="120"/>
      </w:pPr>
      <w:r>
        <w:rPr>
          <w:rFonts w:ascii="Calibri" w:hAnsi="Calibri"/>
          <w:b w:val="0"/>
          <w:i w:val="0"/>
          <w:sz w:val="22"/>
        </w:rPr>
        <w:t>A submarine outfall pipe of length L_p, internal diameter d_p and terminal inclination θ discharges a brine effluent of salinity S₀ (typically 55–80 g kg⁻¹ for SWRO reject, against an ambient of ≈35–39 g kg⁻¹) and momentum into a receiving sea. Because the reject is denser than the ambient, the discharge forms a negatively-buoyant jet (a 'dense jet' or 'inverted plume') that rises, bends over under gravity, falls back, impacts the seabed, and then spreads as a stratified gravity current that hugs the bathymetry. The sea is never static: currents, tides, waves, wind-driven shear, vortices and turbulence continuously advect and dilute the plume, and the air-sea interface (the splash zone) exchanges momentum, heat and freshwater (evaporation) with the water column. The engineering questions are: at every instant, what is the salinity at every point; how far horizontally and how deep does the elevated-salinity field extend; and — because the sea is unpredictable — with what probability is a regulatory salinity threshold exceeded at a given location?</w:t>
      </w:r>
    </w:p>
    <w:p>
      <w:pPr>
        <w:pStyle w:val="Heading2"/>
      </w:pPr>
      <w:r>
        <w:t>1.2 Why existing models are insufficient</w:t>
      </w:r>
    </w:p>
    <w:p>
      <w:pPr>
        <w:pStyle w:val="ListBullet"/>
        <w:spacing w:after="40"/>
      </w:pPr>
      <w:r>
        <w:rPr>
          <w:rFonts w:ascii="Calibri" w:hAnsi="Calibri"/>
          <w:sz w:val="22"/>
        </w:rPr>
        <w:t>Integral/entrainment jet models (e.g. CORMIX, VISJET, JETLAG) collapse the plume to a 1-D centerline and cannot resolve the 3-D unsteady field, bathymetric steering, or the full sea state.</w:t>
      </w:r>
    </w:p>
    <w:p>
      <w:pPr>
        <w:pStyle w:val="ListBullet"/>
        <w:spacing w:after="40"/>
      </w:pPr>
      <w:r>
        <w:rPr>
          <w:rFonts w:ascii="Calibri" w:hAnsi="Calibri"/>
          <w:sz w:val="22"/>
        </w:rPr>
        <w:t>Boussinesq Reynolds-Averaged Navier-Stokes (RANS) models assume small density differences and therefore lose accuracy for hyper-saline reject, where (ρ−ρ₀)/ρ₀ can exceed 0.04.</w:t>
      </w:r>
    </w:p>
    <w:p>
      <w:pPr>
        <w:pStyle w:val="ListBullet"/>
        <w:spacing w:after="40"/>
      </w:pPr>
      <w:r>
        <w:rPr>
          <w:rFonts w:ascii="Calibri" w:hAnsi="Calibri"/>
          <w:sz w:val="22"/>
        </w:rPr>
        <w:t>All conventional models neglect osmotic pressure and the irreversible-thermodynamics coupling of heat and salt, and treat the sea deterministically, giving no measure of predictive uncertainty.</w:t>
      </w:r>
    </w:p>
    <w:p>
      <w:pPr>
        <w:pStyle w:val="Heading2"/>
      </w:pPr>
      <w:r>
        <w:t>1.3 Statement of novelty (patentable claims)</w:t>
      </w:r>
    </w:p>
    <w:p>
      <w:pPr>
        <w:spacing w:after="120"/>
      </w:pPr>
      <w:r>
        <w:rPr>
          <w:rFonts w:ascii="Calibri" w:hAnsi="Calibri"/>
          <w:b w:val="0"/>
          <w:i w:val="0"/>
          <w:sz w:val="22"/>
        </w:rPr>
        <w:t>NEREID-B advances the state of the art through the following coupled innovations, each of which is, to the authors' knowledge, absent from prior salinity-dispersion models:</w:t>
      </w:r>
    </w:p>
    <w:p>
      <w:pPr>
        <w:pStyle w:val="ListNumber"/>
        <w:spacing w:after="40"/>
      </w:pPr>
      <w:r>
        <w:rPr>
          <w:rFonts w:ascii="Calibri" w:hAnsi="Calibri"/>
          <w:sz w:val="22"/>
        </w:rPr>
        <w:t>Osmotic-hydrodynamic coupling: the gradient of the osmotic pressure Π(S,T) of the hyper-saline field enters the momentum equation as a thermodynamic body force and the salt equation as an osmotic flux, capturing reverse-osmosis-driven micro-transport at the brine front.</w:t>
      </w:r>
    </w:p>
    <w:p>
      <w:pPr>
        <w:pStyle w:val="ListNumber"/>
        <w:spacing w:after="40"/>
      </w:pPr>
      <w:r>
        <w:rPr>
          <w:rFonts w:ascii="Calibri" w:hAnsi="Calibri"/>
          <w:sz w:val="22"/>
        </w:rPr>
        <w:t>Intrinsic stochastic forcing: ocean currents, tides, wind and sub-grid turbulence are represented by Ornstein–Uhlenbeck colored-noise PDE forcing, so the model is a genuine stochastic PDE (SPDE) whose solution is the probability density functional of the salinity field, P[S(x,t)].</w:t>
      </w:r>
    </w:p>
    <w:p>
      <w:pPr>
        <w:pStyle w:val="ListNumber"/>
        <w:spacing w:after="40"/>
      </w:pPr>
      <w:r>
        <w:rPr>
          <w:rFonts w:ascii="Calibri" w:hAnsi="Calibri"/>
          <w:sz w:val="22"/>
        </w:rPr>
        <w:t>Non-Boussinesq variable-density formulation valid for arbitrarily large brine/ambient density contrast.</w:t>
      </w:r>
    </w:p>
    <w:p>
      <w:pPr>
        <w:pStyle w:val="ListNumber"/>
        <w:spacing w:after="40"/>
      </w:pPr>
      <w:r>
        <w:rPr>
          <w:rFonts w:ascii="Calibri" w:hAnsi="Calibri"/>
          <w:sz w:val="22"/>
        </w:rPr>
        <w:t>Onsager cross-diffusion: Soret (thermo-diffusion) and Dufour (diffusion-thermo) terms couple the salt and heat equations beyond their density coupling.</w:t>
      </w:r>
    </w:p>
    <w:p>
      <w:pPr>
        <w:pStyle w:val="ListNumber"/>
        <w:spacing w:after="40"/>
      </w:pPr>
      <w:r>
        <w:rPr>
          <w:rFonts w:ascii="Calibri" w:hAnsi="Calibri"/>
          <w:sz w:val="22"/>
        </w:rPr>
        <w:t>Fully anisotropic, state-dependent dispersion tensor D_S that fuses molecular diffusion, turbulent diffusion, shear (Taylor) dispersion, wave-orbital stirring and bathymetric anisotropy.</w:t>
      </w:r>
    </w:p>
    <w:p>
      <w:pPr>
        <w:pStyle w:val="ListNumber"/>
        <w:spacing w:after="40"/>
      </w:pPr>
      <w:r>
        <w:rPr>
          <w:rFonts w:ascii="Calibri" w:hAnsi="Calibri"/>
          <w:sz w:val="22"/>
        </w:rPr>
        <w:t>Embedded pipe-hydraulics and splash-zone boundary operators that couple the internal pipe flow, the inclined nozzle jet, and the two-phase air-sea interface directly to the field equations.</w:t>
      </w:r>
    </w:p>
    <w:p>
      <w:pPr>
        <w:pStyle w:val="Heading1"/>
      </w:pPr>
      <w:r>
        <w:t>2. Computational Domain, Coordinates and Bathymetry</w:t>
      </w:r>
    </w:p>
    <w:p>
      <w:pPr>
        <w:spacing w:after="120"/>
      </w:pPr>
      <w:r>
        <w:rPr>
          <w:rFonts w:ascii="Calibri" w:hAnsi="Calibri"/>
          <w:b w:val="0"/>
          <w:i w:val="0"/>
          <w:sz w:val="22"/>
        </w:rPr>
        <w:t>Let x = (x, y, z) be a right-handed Cartesian frame with z positive upward and z = 0 at the still-water level. The seabed is z = −H(x, y), where H is the bathymetry; the continental-shelf and local terrain geometry are supplied as the field H and its slope ∇H. The instantaneous free surface is z = η(x, y, t). To resolve sloping bathymetry and the moving surface exactly, the vertical coordinate is mapped to a terrain-following sigma coordinate σ ∈ [−1, 0]:</w:t>
      </w:r>
    </w:p>
    <w:p>
      <w:pPr>
        <w:spacing w:before="80" w:after="120"/>
        <w:jc w:val="center"/>
      </w:pPr>
      <w:r>
        <w:rPr>
          <w:rFonts w:ascii="Cambria Math" w:hAnsi="Cambria Math" w:cs="Cambria Math"/>
          <w:sz w:val="24"/>
        </w:rPr>
        <w:t>σ = (z − η) / (H + η),   so that  σ = 0 at the surface and σ = −1 at the bed.</w:t>
      </w:r>
      <w:r>
        <w:rPr>
          <w:rFonts w:ascii="Calibri" w:hAnsi="Calibri"/>
          <w:sz w:val="22"/>
        </w:rPr>
        <w:tab/>
        <w:tab/>
        <w:t>(1)</w:t>
      </w:r>
    </w:p>
    <w:p>
      <w:pPr>
        <w:spacing w:after="120"/>
      </w:pPr>
      <w:r>
        <w:rPr>
          <w:rFonts w:ascii="Calibri" w:hAnsi="Calibri"/>
          <w:b w:val="0"/>
          <w:i w:val="0"/>
          <w:sz w:val="22"/>
        </w:rPr>
        <w:t>All field equations below are written in physical (x, y, z) form for clarity; the model is integrated in the (x, y, σ, t) image where the domain is a fixed prism. The total water depth is D(x,y,t) = H + η. The pipe terminus (the diffuser nozzle) is located at x_d = (x_d, y_d, z_d) with z_d = −H(x_d,y_d) + h_n, h_n being the nozzle height above the bed.</w:t>
      </w:r>
    </w:p>
    <w:p>
      <w:pPr>
        <w:pStyle w:val="Heading1"/>
      </w:pPr>
      <w:r>
        <w:t>3. The Coupled Governing PDE System</w:t>
      </w:r>
    </w:p>
    <w:p>
      <w:pPr>
        <w:spacing w:after="120"/>
      </w:pPr>
      <w:r>
        <w:rPr>
          <w:rFonts w:ascii="Calibri" w:hAnsi="Calibri"/>
          <w:b w:val="0"/>
          <w:i w:val="0"/>
          <w:sz w:val="22"/>
        </w:rPr>
        <w:t>The state vector solved by NEREID-B is</w:t>
      </w:r>
    </w:p>
    <w:p>
      <w:pPr>
        <w:spacing w:before="80" w:after="120"/>
        <w:jc w:val="center"/>
      </w:pPr>
      <w:r>
        <w:rPr>
          <w:rFonts w:ascii="Cambria Math" w:hAnsi="Cambria Math" w:cs="Cambria Math"/>
          <w:sz w:val="24"/>
        </w:rPr>
        <w:t>q(x,t) = ( ρ,  u = (u,v,w),  p,  S,  T,  k,  ε,  η,  α )ᵀ ,</w:t>
      </w:r>
      <w:r>
        <w:rPr>
          <w:rFonts w:ascii="Calibri" w:hAnsi="Calibri"/>
          <w:sz w:val="22"/>
        </w:rPr>
        <w:tab/>
        <w:tab/>
        <w:t>(2)</w:t>
      </w:r>
    </w:p>
    <w:p>
      <w:pPr>
        <w:spacing w:after="120"/>
      </w:pPr>
      <w:r>
        <w:rPr>
          <w:rFonts w:ascii="Calibri" w:hAnsi="Calibri"/>
          <w:b w:val="0"/>
          <w:i w:val="0"/>
          <w:sz w:val="22"/>
        </w:rPr>
        <w:t>comprising density ρ, velocity u, pressure p, absolute salinity S, conservative temperature T, turbulent kinetic energy k, its dissipation ε, the free-surface elevation η, and the air-water volume fraction α. The governing balance laws follow.</w:t>
      </w:r>
    </w:p>
    <w:p>
      <w:pPr>
        <w:pStyle w:val="Heading2"/>
      </w:pPr>
      <w:r>
        <w:t>3.1 Conservation of mass (non-Boussinesq continuity)</w:t>
      </w:r>
    </w:p>
    <w:p>
      <w:pPr>
        <w:spacing w:after="120"/>
      </w:pPr>
      <w:r>
        <w:rPr>
          <w:rFonts w:ascii="Calibri" w:hAnsi="Calibri"/>
          <w:b w:val="0"/>
          <w:i w:val="0"/>
          <w:sz w:val="22"/>
        </w:rPr>
        <w:t>Because the brine/ambient density contrast is not small, mass is conserved in fully compressible-in-density (non-Boussinesq) form:</w:t>
      </w:r>
    </w:p>
    <w:p>
      <w:pPr>
        <w:spacing w:before="80" w:after="120"/>
        <w:jc w:val="center"/>
      </w:pPr>
      <w:r>
        <w:rPr>
          <w:rFonts w:ascii="Cambria Math" w:hAnsi="Cambria Math" w:cs="Cambria Math"/>
          <w:sz w:val="24"/>
        </w:rPr>
        <w:t>∂ρ/∂t + ∇·(ρ u) = 0 .</w:t>
      </w:r>
      <w:r>
        <w:rPr>
          <w:rFonts w:ascii="Calibri" w:hAnsi="Calibri"/>
          <w:sz w:val="22"/>
        </w:rPr>
        <w:tab/>
        <w:tab/>
        <w:t>(3)</w:t>
      </w:r>
    </w:p>
    <w:p>
      <w:pPr>
        <w:spacing w:after="120"/>
      </w:pPr>
      <w:r>
        <w:rPr>
          <w:rFonts w:ascii="Calibri" w:hAnsi="Calibri"/>
          <w:b w:val="0"/>
          <w:i w:val="0"/>
          <w:sz w:val="22"/>
        </w:rPr>
        <w:t>The incompressible Boussinesq limit ∇·u = 0 is recovered automatically where |ρ − ρ₀|/ρ₀ ≪ 1, but is never assumed.</w:t>
      </w:r>
    </w:p>
    <w:p>
      <w:pPr>
        <w:pStyle w:val="Heading2"/>
      </w:pPr>
      <w:r>
        <w:t>3.2 Momentum balance (Reynolds-averaged Navier–Stokes with buoyancy, rotation, waves, osmosis and stochastic forcing)</w:t>
      </w:r>
    </w:p>
    <w:p>
      <w:pPr>
        <w:spacing w:before="80" w:after="120"/>
        <w:jc w:val="center"/>
      </w:pPr>
      <w:r>
        <w:rPr>
          <w:rFonts w:ascii="Cambria Math" w:hAnsi="Cambria Math" w:cs="Cambria Math"/>
          <w:sz w:val="24"/>
        </w:rPr>
        <w:t>∂(ρu)/∂t + ∇·(ρ u⊗u) = −∇p + ∇·τ + ρg − 2ρ Ω×u + F_wave + F_osm + F_stoch .</w:t>
      </w:r>
      <w:r>
        <w:rPr>
          <w:rFonts w:ascii="Calibri" w:hAnsi="Calibri"/>
          <w:sz w:val="22"/>
        </w:rPr>
        <w:tab/>
        <w:tab/>
        <w:t>(4)</w:t>
      </w:r>
    </w:p>
    <w:p>
      <w:pPr>
        <w:spacing w:after="120"/>
      </w:pPr>
      <w:r>
        <w:rPr>
          <w:rFonts w:ascii="Calibri" w:hAnsi="Calibri"/>
          <w:b w:val="0"/>
          <w:i w:val="0"/>
          <w:sz w:val="22"/>
        </w:rPr>
        <w:t>Term by term:</w:t>
      </w:r>
    </w:p>
    <w:p>
      <w:pPr>
        <w:pStyle w:val="ListBullet"/>
        <w:spacing w:after="40"/>
      </w:pPr>
      <w:r>
        <w:rPr>
          <w:rFonts w:ascii="Calibri" w:hAnsi="Calibri"/>
          <w:sz w:val="22"/>
        </w:rPr>
        <w:t>Deviatoric + turbulent (Reynolds) stress, with eddy viscosity μ_t:</w:t>
      </w:r>
    </w:p>
    <w:p>
      <w:pPr>
        <w:spacing w:before="80" w:after="120"/>
        <w:jc w:val="center"/>
      </w:pPr>
      <w:r>
        <w:rPr>
          <w:rFonts w:ascii="Cambria Math" w:hAnsi="Cambria Math" w:cs="Cambria Math"/>
          <w:sz w:val="24"/>
        </w:rPr>
        <w:t>τ = (μ + μ_t)(∇u + ∇uᵀ − (2/3)(∇·u) I) − (2/3) ρ k I .</w:t>
      </w:r>
      <w:r>
        <w:rPr>
          <w:rFonts w:ascii="Calibri" w:hAnsi="Calibri"/>
          <w:sz w:val="22"/>
        </w:rPr>
        <w:tab/>
        <w:tab/>
        <w:t>(5)</w:t>
      </w:r>
    </w:p>
    <w:p>
      <w:pPr>
        <w:pStyle w:val="ListBullet"/>
        <w:spacing w:after="40"/>
      </w:pPr>
      <w:r>
        <w:rPr>
          <w:rFonts w:ascii="Calibri" w:hAnsi="Calibri"/>
          <w:sz w:val="22"/>
        </w:rPr>
        <w:t>Buoyancy: ρg with g = −g ẑ; the active driver of the dense plume because ρ depends on S and T through the equation of state (§4.1).</w:t>
      </w:r>
    </w:p>
    <w:p>
      <w:pPr>
        <w:pStyle w:val="ListBullet"/>
        <w:spacing w:after="40"/>
      </w:pPr>
      <w:r>
        <w:rPr>
          <w:rFonts w:ascii="Calibri" w:hAnsi="Calibri"/>
          <w:sz w:val="22"/>
        </w:rPr>
        <w:t>Coriolis (Earth rotation): −2ρ Ω×u, Ω = Ω(0, cosφ, sinφ), φ = latitude.</w:t>
      </w:r>
    </w:p>
    <w:p>
      <w:pPr>
        <w:pStyle w:val="ListBullet"/>
        <w:spacing w:after="40"/>
      </w:pPr>
      <w:r>
        <w:rPr>
          <w:rFonts w:ascii="Calibri" w:hAnsi="Calibri"/>
          <w:sz w:val="22"/>
        </w:rPr>
        <w:t>Wave forcing as the divergence of the radiation-stress tensor S_rad (depth-dependent Longuet-Higgins / vortex-force form):</w:t>
      </w:r>
    </w:p>
    <w:p>
      <w:pPr>
        <w:spacing w:before="80" w:after="120"/>
        <w:jc w:val="center"/>
      </w:pPr>
      <w:r>
        <w:rPr>
          <w:rFonts w:ascii="Cambria Math" w:hAnsi="Cambria Math" w:cs="Cambria Math"/>
          <w:sz w:val="24"/>
        </w:rPr>
        <w:t>F_wave = −∇·S_rad + ρ (u_St × ω) ,   u_St = Stokes drift,  ω = ∇×u .</w:t>
      </w:r>
      <w:r>
        <w:rPr>
          <w:rFonts w:ascii="Calibri" w:hAnsi="Calibri"/>
          <w:sz w:val="22"/>
        </w:rPr>
        <w:tab/>
        <w:tab/>
        <w:t>(6)</w:t>
      </w:r>
    </w:p>
    <w:p>
      <w:pPr>
        <w:pStyle w:val="ListBullet"/>
        <w:spacing w:after="40"/>
      </w:pPr>
      <w:r>
        <w:rPr>
          <w:rFonts w:ascii="Calibri" w:hAnsi="Calibri"/>
          <w:sz w:val="22"/>
        </w:rPr>
        <w:t>Osmotic body force (NOVEL) — the gradient of osmotic pressure Π of the saline field acts on the fluid through the partial molar volume of water v̄_w:</w:t>
      </w:r>
    </w:p>
    <w:p>
      <w:pPr>
        <w:spacing w:before="80" w:after="120"/>
        <w:jc w:val="center"/>
      </w:pPr>
      <w:r>
        <w:rPr>
          <w:rFonts w:ascii="Cambria Math" w:hAnsi="Cambria Math" w:cs="Cambria Math"/>
          <w:sz w:val="24"/>
        </w:rPr>
        <w:t>F_osm = − (φ_v / v̄_w) ∇Π(S,T) ,   φ_v = local solute volume fraction .</w:t>
      </w:r>
      <w:r>
        <w:rPr>
          <w:rFonts w:ascii="Calibri" w:hAnsi="Calibri"/>
          <w:sz w:val="22"/>
        </w:rPr>
        <w:tab/>
        <w:tab/>
        <w:t>(7)</w:t>
      </w:r>
    </w:p>
    <w:p>
      <w:pPr>
        <w:pStyle w:val="ListBullet"/>
        <w:spacing w:after="40"/>
      </w:pPr>
      <w:r>
        <w:rPr>
          <w:rFonts w:ascii="Calibri" w:hAnsi="Calibri"/>
          <w:sz w:val="22"/>
        </w:rPr>
        <w:t>Stochastic forcing F_stoch (NOVEL) — see §3.7; represents the unresolved/unpredictable momentum input from gusts, eddies and internal waves.</w:t>
      </w:r>
    </w:p>
    <w:p>
      <w:pPr>
        <w:pStyle w:val="Heading2"/>
      </w:pPr>
      <w:r>
        <w:t>3.3 Absolute-salinity transport (advection – anisotropic dispersion – osmotic &amp; Soret flux – reaction – noise)</w:t>
      </w:r>
    </w:p>
    <w:p>
      <w:pPr>
        <w:spacing w:after="120"/>
      </w:pPr>
      <w:r>
        <w:rPr>
          <w:rFonts w:ascii="Calibri" w:hAnsi="Calibri"/>
          <w:b w:val="0"/>
          <w:i w:val="0"/>
          <w:sz w:val="22"/>
        </w:rPr>
        <w:t>Salinity is transported by advection and by the divergence of a generalized flux J_S built from Onsager irreversible thermodynamics:</w:t>
      </w:r>
    </w:p>
    <w:p>
      <w:pPr>
        <w:spacing w:before="80" w:after="120"/>
        <w:jc w:val="center"/>
      </w:pPr>
      <w:r>
        <w:rPr>
          <w:rFonts w:ascii="Cambria Math" w:hAnsi="Cambria Math" w:cs="Cambria Math"/>
          <w:sz w:val="24"/>
        </w:rPr>
        <w:t>∂S/∂t + u·∇S = −(1/ρ) ∇·J_S + R_S + ξ_S ,</w:t>
      </w:r>
      <w:r>
        <w:rPr>
          <w:rFonts w:ascii="Calibri" w:hAnsi="Calibri"/>
          <w:sz w:val="22"/>
        </w:rPr>
        <w:tab/>
        <w:tab/>
        <w:t>(8)</w:t>
      </w:r>
    </w:p>
    <w:p>
      <w:pPr>
        <w:spacing w:before="80" w:after="120"/>
        <w:jc w:val="center"/>
      </w:pPr>
      <w:r>
        <w:rPr>
          <w:rFonts w:ascii="Cambria Math" w:hAnsi="Cambria Math" w:cs="Cambria Math"/>
          <w:sz w:val="24"/>
        </w:rPr>
        <w:t>J_S = −ρ D_S·∇S  −  ρ D_ST ∇T  −  ρ (D_S L_p / R_g T) ∇Π .</w:t>
      </w:r>
      <w:r>
        <w:rPr>
          <w:rFonts w:ascii="Calibri" w:hAnsi="Calibri"/>
          <w:sz w:val="22"/>
        </w:rPr>
        <w:tab/>
        <w:tab/>
        <w:t>(9)</w:t>
      </w:r>
    </w:p>
    <w:p>
      <w:pPr>
        <w:spacing w:after="120"/>
      </w:pPr>
      <w:r>
        <w:rPr>
          <w:rFonts w:ascii="Calibri" w:hAnsi="Calibri"/>
          <w:b w:val="0"/>
          <w:i w:val="0"/>
          <w:sz w:val="22"/>
        </w:rPr>
        <w:t>The three flux contributions are, respectively: anisotropic dispersion (D_S, a full tensor, §4.2); Soret thermo-diffusion D_ST that lets temperature gradients drive salt (cross-coupling to §3.4); and the osmotic/reverse-osmosis flux (NOVEL), in which the osmotic-pressure gradient drives an additional salt flux with permeability coefficient L_p — the open-water analogue of reverse-osmosis transport across the brine front. R_S is any reactive/source term (normally 0 for salt; retained for generality, e.g. anti-scalant tracers), and ξ_S is scalar stochastic forcing.</w:t>
      </w:r>
    </w:p>
    <w:p>
      <w:pPr>
        <w:pStyle w:val="Heading2"/>
      </w:pPr>
      <w:r>
        <w:t>3.4 Conservative-temperature (heat) transport with Dufour coupling</w:t>
      </w:r>
    </w:p>
    <w:p>
      <w:pPr>
        <w:spacing w:before="80" w:after="120"/>
        <w:jc w:val="center"/>
      </w:pPr>
      <w:r>
        <w:rPr>
          <w:rFonts w:ascii="Cambria Math" w:hAnsi="Cambria Math" w:cs="Cambria Math"/>
          <w:sz w:val="24"/>
        </w:rPr>
        <w:t>∂T/∂t + u·∇T = −(1/ρ c_p) ∇·J_Q + Q_rad/(ρ c_p) + ξ_T ,</w:t>
      </w:r>
      <w:r>
        <w:rPr>
          <w:rFonts w:ascii="Calibri" w:hAnsi="Calibri"/>
          <w:sz w:val="22"/>
        </w:rPr>
        <w:tab/>
        <w:tab/>
        <w:t>(10)</w:t>
      </w:r>
    </w:p>
    <w:p>
      <w:pPr>
        <w:spacing w:before="80" w:after="120"/>
        <w:jc w:val="center"/>
      </w:pPr>
      <w:r>
        <w:rPr>
          <w:rFonts w:ascii="Cambria Math" w:hAnsi="Cambria Math" w:cs="Cambria Math"/>
          <w:sz w:val="24"/>
        </w:rPr>
        <w:t>J_Q = −ρ c_p D_T·∇T  −  ρ c_p D_TS ∇S .</w:t>
      </w:r>
      <w:r>
        <w:rPr>
          <w:rFonts w:ascii="Calibri" w:hAnsi="Calibri"/>
          <w:sz w:val="22"/>
        </w:rPr>
        <w:tab/>
        <w:tab/>
        <w:t>(11)</w:t>
      </w:r>
    </w:p>
    <w:p>
      <w:pPr>
        <w:spacing w:after="120"/>
      </w:pPr>
      <w:r>
        <w:rPr>
          <w:rFonts w:ascii="Calibri" w:hAnsi="Calibri"/>
          <w:b w:val="0"/>
          <w:i w:val="0"/>
          <w:sz w:val="22"/>
        </w:rPr>
        <w:t>Here D_T is the anisotropic thermal dispersion tensor, D_TS is the Dufour (diffusion-thermo) coefficient that closes the reciprocal Onsager pair with D_ST, Q_rad is solar/longwave radiative heating, and ξ_T is thermal stochastic forcing. Equations (3.3) and (3.4) are thus two-way coupled both through the density (buoyancy) and directly through the cross-diffusion pair (D_ST, D_TS).</w:t>
      </w:r>
    </w:p>
    <w:p>
      <w:pPr>
        <w:pStyle w:val="Heading2"/>
      </w:pPr>
      <w:r>
        <w:t>3.5 Nonlinear equation of state (haline–thermal–baric closure)</w:t>
      </w:r>
    </w:p>
    <w:p>
      <w:pPr>
        <w:spacing w:after="120"/>
      </w:pPr>
      <w:r>
        <w:rPr>
          <w:rFonts w:ascii="Calibri" w:hAnsi="Calibri"/>
          <w:b w:val="0"/>
          <w:i w:val="0"/>
          <w:sz w:val="22"/>
        </w:rPr>
        <w:t>Density is closed by the full nonlinear TEOS-10 / Gibbs-function equation of state — not a linearized approximation — because the dense plume's dynamics are exquisitely sensitive to small density errors:</w:t>
      </w:r>
    </w:p>
    <w:p>
      <w:pPr>
        <w:spacing w:before="80" w:after="120"/>
        <w:jc w:val="center"/>
      </w:pPr>
      <w:r>
        <w:rPr>
          <w:rFonts w:ascii="Cambria Math" w:hAnsi="Cambria Math" w:cs="Cambria Math"/>
          <w:sz w:val="24"/>
        </w:rPr>
        <w:t>ρ = ρ_EOS(S, T, p) = ρ₀ [ 1 + β_S(S−S₀) − α_T(T−T₀) + γ_p(p−p₀) + Φ_nl ] ,</w:t>
      </w:r>
      <w:r>
        <w:rPr>
          <w:rFonts w:ascii="Calibri" w:hAnsi="Calibri"/>
          <w:sz w:val="22"/>
        </w:rPr>
        <w:tab/>
        <w:tab/>
        <w:t>(12)</w:t>
      </w:r>
    </w:p>
    <w:p>
      <w:pPr>
        <w:spacing w:after="120"/>
      </w:pPr>
      <w:r>
        <w:rPr>
          <w:rFonts w:ascii="Calibri" w:hAnsi="Calibri"/>
          <w:b w:val="0"/>
          <w:i w:val="0"/>
          <w:sz w:val="22"/>
        </w:rPr>
        <w:t>where α_T is the thermal-expansion, β_S the haline-contraction and γ_p the compressibility coefficient, all themselves functions of (S,T,p), and Φ_nl collects the cabbeling/thermobaric nonlinear terms of TEOS-10. This single relation is the master coupling that ties the momentum, salinity and temperature equations together.</w:t>
      </w:r>
    </w:p>
    <w:p>
      <w:pPr>
        <w:pStyle w:val="Heading2"/>
      </w:pPr>
      <w:r>
        <w:t>3.6 Turbulence closure (buoyancy-modified, stratification-damped k–ε)</w:t>
      </w:r>
    </w:p>
    <w:p>
      <w:pPr>
        <w:spacing w:after="120"/>
      </w:pPr>
      <w:r>
        <w:rPr>
          <w:rFonts w:ascii="Calibri" w:hAnsi="Calibri"/>
          <w:b w:val="0"/>
          <w:i w:val="0"/>
          <w:sz w:val="22"/>
        </w:rPr>
        <w:t>Turbulent mixing — which controls dilution — is closed by a two-equation k–ε model modified for buoyancy so that the stable stratification of the dense plume correctly suppresses vertical mixing:</w:t>
      </w:r>
    </w:p>
    <w:p>
      <w:pPr>
        <w:spacing w:before="80" w:after="120"/>
        <w:jc w:val="center"/>
      </w:pPr>
      <w:r>
        <w:rPr>
          <w:rFonts w:ascii="Cambria Math" w:hAnsi="Cambria Math" w:cs="Cambria Math"/>
          <w:sz w:val="24"/>
        </w:rPr>
        <w:t>∂(ρk)/∂t + ∇·(ρu k) = ∇·[(μ + μ_t/σ_k)∇k] + P_k + G_b − ρε ,</w:t>
      </w:r>
      <w:r>
        <w:rPr>
          <w:rFonts w:ascii="Calibri" w:hAnsi="Calibri"/>
          <w:sz w:val="22"/>
        </w:rPr>
        <w:tab/>
        <w:tab/>
        <w:t>(13)</w:t>
      </w:r>
    </w:p>
    <w:p>
      <w:pPr>
        <w:spacing w:before="80" w:after="120"/>
        <w:jc w:val="center"/>
      </w:pPr>
      <w:r>
        <w:rPr>
          <w:rFonts w:ascii="Cambria Math" w:hAnsi="Cambria Math" w:cs="Cambria Math"/>
          <w:sz w:val="24"/>
        </w:rPr>
        <w:t>∂(ρε)/∂t + ∇·(ρu ε) = ∇·[(μ + μ_t/σ_ε)∇ε] + (ε/k)[C₁(P_k + C₃ G_b) − C₂ ρε] ,</w:t>
      </w:r>
      <w:r>
        <w:rPr>
          <w:rFonts w:ascii="Calibri" w:hAnsi="Calibri"/>
          <w:sz w:val="22"/>
        </w:rPr>
        <w:tab/>
        <w:tab/>
        <w:t>(14)</w:t>
      </w:r>
    </w:p>
    <w:p>
      <w:pPr>
        <w:spacing w:before="80" w:after="120"/>
        <w:jc w:val="center"/>
      </w:pPr>
      <w:r>
        <w:rPr>
          <w:rFonts w:ascii="Cambria Math" w:hAnsi="Cambria Math" w:cs="Cambria Math"/>
          <w:sz w:val="24"/>
        </w:rPr>
        <w:t>μ_t = ρ C_μ k²/ε ,   P_k = τ : ∇u ,   G_b = (μ_t/ρ Sc_t) g·∇ρ .</w:t>
      </w:r>
      <w:r>
        <w:rPr>
          <w:rFonts w:ascii="Calibri" w:hAnsi="Calibri"/>
          <w:sz w:val="22"/>
        </w:rPr>
        <w:tab/>
        <w:tab/>
        <w:t>(15)</w:t>
      </w:r>
    </w:p>
    <w:p>
      <w:pPr>
        <w:spacing w:after="120"/>
      </w:pPr>
      <w:r>
        <w:rPr>
          <w:rFonts w:ascii="Calibri" w:hAnsi="Calibri"/>
          <w:b w:val="0"/>
          <w:i w:val="0"/>
          <w:sz w:val="22"/>
        </w:rPr>
        <w:t>The buoyancy-production term G_b is negative in stable stratification, damping turbulence exactly where the brine layer is densest — the physical mechanism that makes brine pool on the seabed. Standard constants (C_μ=0.09, C₁=1.44, C₂=1.92, σ_k=1.0, σ_ε=1.3, Sc_t=0.7) are defaults; C₃ controls stratified mixing.</w:t>
      </w:r>
    </w:p>
    <w:p>
      <w:pPr>
        <w:pStyle w:val="Heading2"/>
      </w:pPr>
      <w:r>
        <w:t>3.7 Stochastic forcing of an unpredictable sea (the SPDE layer)</w:t>
      </w:r>
    </w:p>
    <w:p>
      <w:pPr>
        <w:spacing w:after="120"/>
      </w:pPr>
      <w:r>
        <w:rPr>
          <w:rFonts w:ascii="Calibri" w:hAnsi="Calibri"/>
          <w:b w:val="0"/>
          <w:i w:val="0"/>
          <w:sz w:val="22"/>
        </w:rPr>
        <w:t>The sea, wind and turbulence are not deterministic. NEREID-B promotes the system to a stochastic PDE by driving the momentum and scalar equations with space-time colored noise generated by Ornstein–Uhlenbeck (OU) processes, one per forcing channel m (currents, tide phase, wind, sub-grid turbulence):</w:t>
      </w:r>
    </w:p>
    <w:p>
      <w:pPr>
        <w:spacing w:before="80" w:after="120"/>
        <w:jc w:val="center"/>
      </w:pPr>
      <w:r>
        <w:rPr>
          <w:rFonts w:ascii="Cambria Math" w:hAnsi="Cambria Math" w:cs="Cambria Math"/>
          <w:sz w:val="24"/>
        </w:rPr>
        <w:t>∂ζ_m/∂t = −ζ_m/τ_m + σ_m 𝓛_m^{1/2} Ẇ_m(x,t) ,</w:t>
      </w:r>
      <w:r>
        <w:rPr>
          <w:rFonts w:ascii="Calibri" w:hAnsi="Calibri"/>
          <w:sz w:val="22"/>
        </w:rPr>
        <w:tab/>
        <w:tab/>
        <w:t>(16)</w:t>
      </w:r>
    </w:p>
    <w:p>
      <w:pPr>
        <w:spacing w:after="120"/>
      </w:pPr>
      <w:r>
        <w:rPr>
          <w:rFonts w:ascii="Calibri" w:hAnsi="Calibri"/>
          <w:b w:val="0"/>
          <w:i w:val="0"/>
          <w:sz w:val="22"/>
        </w:rPr>
        <w:t>where τ_m is the de-correlation time, σ_m the intensity, 𝓛_m a spatial smoothing (covariance) operator giving the noise a realistic spatial correlation length ℓ_m, and Ẇ_m space-time white noise. The forcings in §3.2–3.4 are then</w:t>
      </w:r>
    </w:p>
    <w:p>
      <w:pPr>
        <w:spacing w:before="80" w:after="120"/>
        <w:jc w:val="center"/>
      </w:pPr>
      <w:r>
        <w:rPr>
          <w:rFonts w:ascii="Cambria Math" w:hAnsi="Cambria Math" w:cs="Cambria Math"/>
          <w:sz w:val="24"/>
        </w:rPr>
        <w:t>F_stoch = ρ Σ_m a_m ζ_m ,   ξ_S = Σ_m b_m ζ_m·∇S ,   ξ_T = Σ_m c_m ζ_m·∇T .</w:t>
      </w:r>
      <w:r>
        <w:rPr>
          <w:rFonts w:ascii="Calibri" w:hAnsi="Calibri"/>
          <w:sz w:val="22"/>
        </w:rPr>
        <w:tab/>
        <w:tab/>
        <w:t>(17)</w:t>
      </w:r>
    </w:p>
    <w:p>
      <w:pPr>
        <w:spacing w:after="120"/>
      </w:pPr>
      <w:r>
        <w:rPr>
          <w:rFonts w:ascii="Calibri" w:hAnsi="Calibri"/>
          <w:b w:val="0"/>
          <w:i w:val="0"/>
          <w:sz w:val="22"/>
        </w:rPr>
        <w:t>Solving the ensemble (Monte-Carlo over realizations of Ẇ_m, or the associated Fokker–Planck moment equations) yields the predictive probability density of the salinity field:</w:t>
      </w:r>
    </w:p>
    <w:p>
      <w:pPr>
        <w:spacing w:before="80" w:after="120"/>
        <w:jc w:val="center"/>
      </w:pPr>
      <w:r>
        <w:rPr>
          <w:rFonts w:ascii="Cambria Math" w:hAnsi="Cambria Math" w:cs="Cambria Math"/>
          <w:sz w:val="24"/>
        </w:rPr>
        <w:t>P[S(x,t)] ,  with mean ⟨S⟩, variance σ_S², and exceedance probability ℙ(S(x,t) &gt; S_crit) .</w:t>
      </w:r>
      <w:r>
        <w:rPr>
          <w:rFonts w:ascii="Calibri" w:hAnsi="Calibri"/>
          <w:sz w:val="22"/>
        </w:rPr>
        <w:tab/>
        <w:tab/>
        <w:t>(18)</w:t>
      </w:r>
    </w:p>
    <w:p>
      <w:pPr>
        <w:spacing w:after="120"/>
      </w:pPr>
      <w:r>
        <w:rPr>
          <w:rFonts w:ascii="Calibri" w:hAnsi="Calibri"/>
          <w:b w:val="0"/>
          <w:i w:val="0"/>
          <w:sz w:val="22"/>
        </w:rPr>
        <w:t>This is the formal mechanism by which NEREID-B 'captures unpredictability': it predicts not a single number but a calibrated distribution of how far and how deep the brine plume may reach.</w:t>
      </w:r>
    </w:p>
    <w:p>
      <w:pPr>
        <w:pStyle w:val="Heading1"/>
      </w:pPr>
      <w:r>
        <w:t>4. Constitutive and Closure Relations</w:t>
      </w:r>
    </w:p>
    <w:p>
      <w:pPr>
        <w:pStyle w:val="Heading2"/>
      </w:pPr>
      <w:r>
        <w:t>4.1 Osmotic pressure (Pitzer-corrected van 't Hoff)</w:t>
      </w:r>
    </w:p>
    <w:p>
      <w:pPr>
        <w:spacing w:after="120"/>
      </w:pPr>
      <w:r>
        <w:rPr>
          <w:rFonts w:ascii="Calibri" w:hAnsi="Calibri"/>
          <w:b w:val="0"/>
          <w:i w:val="0"/>
          <w:sz w:val="22"/>
        </w:rPr>
        <w:t>The osmotic pressure that drives F_osm and the osmotic salt flux is computed from a van 't Hoff law with an activity (osmotic) coefficient φ_os(S,T) that corrects for the strong non-ideality of concentrated brine (Pitzer model):</w:t>
      </w:r>
    </w:p>
    <w:p>
      <w:pPr>
        <w:spacing w:before="80" w:after="120"/>
        <w:jc w:val="center"/>
      </w:pPr>
      <w:r>
        <w:rPr>
          <w:rFonts w:ascii="Cambria Math" w:hAnsi="Cambria Math" w:cs="Cambria Math"/>
          <w:sz w:val="24"/>
        </w:rPr>
        <w:t>Π(S,T) = φ_os(S,T) · ν · (ρ_w S / M_s) · R_g T ,</w:t>
      </w:r>
      <w:r>
        <w:rPr>
          <w:rFonts w:ascii="Calibri" w:hAnsi="Calibri"/>
          <w:sz w:val="22"/>
        </w:rPr>
        <w:tab/>
        <w:tab/>
        <w:t>(19)</w:t>
      </w:r>
    </w:p>
    <w:p>
      <w:pPr>
        <w:spacing w:after="120"/>
      </w:pPr>
      <w:r>
        <w:rPr>
          <w:rFonts w:ascii="Calibri" w:hAnsi="Calibri"/>
          <w:b w:val="0"/>
          <w:i w:val="0"/>
          <w:sz w:val="22"/>
        </w:rPr>
        <w:t>with ν the number of dissolved ions per formula unit of salt, M_s the mean molar mass of the dissolved salts, R_g the gas constant and ρ_w the water density. For seawater Π ≈ 2.7 MPa at S = 35 g kg⁻¹ and rises steeply for reject brine, so ∇Π across the brine front is dynamically non-negligible — the basis of the osmotic coupling.</w:t>
      </w:r>
    </w:p>
    <w:p>
      <w:pPr>
        <w:pStyle w:val="Heading2"/>
      </w:pPr>
      <w:r>
        <w:t>4.2 The anisotropic, state-dependent dispersion tensor (NOVEL closure)</w:t>
      </w:r>
    </w:p>
    <w:p>
      <w:pPr>
        <w:spacing w:after="120"/>
      </w:pPr>
      <w:r>
        <w:rPr>
          <w:rFonts w:ascii="Calibri" w:hAnsi="Calibri"/>
          <w:b w:val="0"/>
          <w:i w:val="0"/>
          <w:sz w:val="22"/>
        </w:rPr>
        <w:t>The salt dispersion tensor fuses every relevant mixing mechanism into a single symmetric positive-definite tensor aligned with the local flow, shear, wave and bathymetric directions:</w:t>
      </w:r>
    </w:p>
    <w:p>
      <w:pPr>
        <w:spacing w:before="80" w:after="120"/>
        <w:jc w:val="center"/>
      </w:pPr>
      <w:r>
        <w:rPr>
          <w:rFonts w:ascii="Cambria Math" w:hAnsi="Cambria Math" w:cs="Cambria Math"/>
          <w:sz w:val="24"/>
        </w:rPr>
        <w:t>D_S = D_mol I + D_turb(k,ε) I + D_shear(|∇u|) ê_u⊗ê_u + D_wave(H_s,T_w) ê_w⊗ê_w + D_bath(∇H) (I − n̂⊗n̂) .</w:t>
      </w:r>
      <w:r>
        <w:rPr>
          <w:rFonts w:ascii="Calibri" w:hAnsi="Calibri"/>
          <w:sz w:val="22"/>
        </w:rPr>
        <w:tab/>
        <w:tab/>
        <w:t>(20)</w:t>
      </w:r>
    </w:p>
    <w:p>
      <w:pPr>
        <w:spacing w:after="120"/>
      </w:pPr>
      <w:r>
        <w:rPr>
          <w:rFonts w:ascii="Calibri" w:hAnsi="Calibri"/>
          <w:b w:val="0"/>
          <w:i w:val="0"/>
          <w:sz w:val="22"/>
        </w:rPr>
        <w:t>The five contributions are molecular diffusion (D_mol), isotropic turbulent diffusion (D_turb = μ_t/ρ Sc_t), longitudinal shear/Taylor dispersion along the flow unit-vector ê_u, wave-orbital stirring along the wave direction ê_w (a function of significant wave height H_s and period T_w), and an along-slope enhancement tangent to the bed (n̂ = bed normal) that steers the dense gravity current along the bathymetry. The thermal tensor D_T has the identical structure with the thermal molecular diffusivity and turbulent Prandtl number.</w:t>
      </w:r>
    </w:p>
    <w:p>
      <w:pPr>
        <w:pStyle w:val="Heading1"/>
      </w:pPr>
      <w:r>
        <w:t>5. Boundary and Initial Conditions</w:t>
      </w:r>
    </w:p>
    <w:p>
      <w:pPr>
        <w:pStyle w:val="Heading2"/>
      </w:pPr>
      <w:r>
        <w:t>5.1 Discharge (diffuser-nozzle) condition with embedded pipe hydraulics</w:t>
      </w:r>
    </w:p>
    <w:p>
      <w:pPr>
        <w:spacing w:after="120"/>
      </w:pPr>
      <w:r>
        <w:rPr>
          <w:rFonts w:ascii="Calibri" w:hAnsi="Calibri"/>
          <w:b w:val="0"/>
          <w:i w:val="0"/>
          <w:sz w:val="22"/>
        </w:rPr>
        <w:t>At the nozzle Γ_d the jet velocity, direction and salinity are imposed. The exit speed U_d and pressure are obtained from the internal pipe hydraulics (Darcy–Weisbach) so that pipe length, diameter, roughness and inclination feed the field directly:</w:t>
      </w:r>
    </w:p>
    <w:p>
      <w:pPr>
        <w:spacing w:before="80" w:after="120"/>
        <w:jc w:val="center"/>
      </w:pPr>
      <w:r>
        <w:rPr>
          <w:rFonts w:ascii="Cambria Math" w:hAnsi="Cambria Math" w:cs="Cambria Math"/>
          <w:sz w:val="24"/>
        </w:rPr>
        <w:t>U_d = Q_d /(π d_p²/4) ,   p_d = p_man − ρ_b g Δz_p − (f L_p/d_p + Σ K_minor)(ρ_b U_d²/2) ,</w:t>
      </w:r>
      <w:r>
        <w:rPr>
          <w:rFonts w:ascii="Calibri" w:hAnsi="Calibri"/>
          <w:sz w:val="22"/>
        </w:rPr>
        <w:tab/>
        <w:tab/>
        <w:t>(21)</w:t>
      </w:r>
    </w:p>
    <w:p>
      <w:pPr>
        <w:spacing w:before="80" w:after="120"/>
        <w:jc w:val="center"/>
      </w:pPr>
      <w:r>
        <w:rPr>
          <w:rFonts w:ascii="Cambria Math" w:hAnsi="Cambria Math" w:cs="Cambria Math"/>
          <w:sz w:val="24"/>
        </w:rPr>
        <w:t>u|_Γd = U_d (cosθ cosψ, cosθ sinψ, sinθ) ,   S|_Γd = S₀ ,   T|_Γd = T_b ,</w:t>
      </w:r>
      <w:r>
        <w:rPr>
          <w:rFonts w:ascii="Calibri" w:hAnsi="Calibri"/>
          <w:sz w:val="22"/>
        </w:rPr>
        <w:tab/>
        <w:tab/>
        <w:t>(22)</w:t>
      </w:r>
    </w:p>
    <w:p>
      <w:pPr>
        <w:spacing w:after="120"/>
      </w:pPr>
      <w:r>
        <w:rPr>
          <w:rFonts w:ascii="Calibri" w:hAnsi="Calibri"/>
          <w:b w:val="0"/>
          <w:i w:val="0"/>
          <w:sz w:val="22"/>
        </w:rPr>
        <w:t>where Q_d is the discharge flow rate, f the Darcy friction factor (roughness-/Reynolds-dependent), Δz_p the pipe rise, K_minor the minor-loss coefficients, p_man the manifold pressure, ρ_b the brine density, θ the nozzle elevation (inclination) angle and ψ its azimuth. The jet momentum flux M₀ = ρ_b U_d² A_d and buoyancy flux B₀ = g(ρ_b−ρ_a)/ρ_a · Q_d set the densimetric Froude number that governs the trajectory.</w:t>
      </w:r>
    </w:p>
    <w:p>
      <w:pPr>
        <w:pStyle w:val="Heading2"/>
      </w:pPr>
      <w:r>
        <w:t>5.2 Free surface and splash zone (two-phase air–sea coupling)</w:t>
      </w:r>
    </w:p>
    <w:p>
      <w:pPr>
        <w:spacing w:after="120"/>
      </w:pPr>
      <w:r>
        <w:rPr>
          <w:rFonts w:ascii="Calibri" w:hAnsi="Calibri"/>
          <w:b w:val="0"/>
          <w:i w:val="0"/>
          <w:sz w:val="22"/>
        </w:rPr>
        <w:t>The air-water interface is tracked by a volume-of-fluid fraction α (α=1 water, 0 air), advected with the flow, which resolves the splash zone and surface deformation:</w:t>
      </w:r>
    </w:p>
    <w:p>
      <w:pPr>
        <w:spacing w:before="80" w:after="120"/>
        <w:jc w:val="center"/>
      </w:pPr>
      <w:r>
        <w:rPr>
          <w:rFonts w:ascii="Cambria Math" w:hAnsi="Cambria Math" w:cs="Cambria Math"/>
          <w:sz w:val="24"/>
        </w:rPr>
        <w:t>∂α/∂t + ∇·(α u) = 0 ,   ρ = α ρ_water + (1−α) ρ_air .</w:t>
      </w:r>
      <w:r>
        <w:rPr>
          <w:rFonts w:ascii="Calibri" w:hAnsi="Calibri"/>
          <w:sz w:val="22"/>
        </w:rPr>
        <w:tab/>
        <w:tab/>
        <w:t>(23)</w:t>
      </w:r>
    </w:p>
    <w:p>
      <w:pPr>
        <w:spacing w:after="120"/>
      </w:pPr>
      <w:r>
        <w:rPr>
          <w:rFonts w:ascii="Calibri" w:hAnsi="Calibri"/>
          <w:b w:val="0"/>
          <w:i w:val="0"/>
          <w:sz w:val="22"/>
        </w:rPr>
        <w:t>Across the interface the dynamic and kinematic conditions, wind stress, and the evaporative salinity flux apply:</w:t>
      </w:r>
    </w:p>
    <w:p>
      <w:pPr>
        <w:spacing w:before="80" w:after="120"/>
        <w:jc w:val="center"/>
      </w:pPr>
      <w:r>
        <w:rPr>
          <w:rFonts w:ascii="Cambria Math" w:hAnsi="Cambria Math" w:cs="Cambria Math"/>
          <w:sz w:val="24"/>
        </w:rPr>
        <w:t>∂η/∂t + u_h·∇η = w ,   (kinematic)</w:t>
      </w:r>
      <w:r>
        <w:rPr>
          <w:rFonts w:ascii="Calibri" w:hAnsi="Calibri"/>
          <w:sz w:val="22"/>
        </w:rPr>
        <w:tab/>
        <w:tab/>
        <w:t>(24)</w:t>
      </w:r>
    </w:p>
    <w:p>
      <w:pPr>
        <w:spacing w:before="80" w:after="120"/>
        <w:jc w:val="center"/>
      </w:pPr>
      <w:r>
        <w:rPr>
          <w:rFonts w:ascii="Cambria Math" w:hAnsi="Cambria Math" w:cs="Cambria Math"/>
          <w:sz w:val="24"/>
        </w:rPr>
        <w:t>τ_surf = ρ_a C_d |U₁₀ − u_h|(U₁₀ − u_h) ,   (wind stress, U₁₀ = 10-m wind)</w:t>
      </w:r>
      <w:r>
        <w:rPr>
          <w:rFonts w:ascii="Calibri" w:hAnsi="Calibri"/>
          <w:sz w:val="22"/>
        </w:rPr>
        <w:tab/>
        <w:tab/>
        <w:t>(25)</w:t>
      </w:r>
    </w:p>
    <w:p>
      <w:pPr>
        <w:spacing w:before="80" w:after="120"/>
        <w:jc w:val="center"/>
      </w:pPr>
      <w:r>
        <w:rPr>
          <w:rFonts w:ascii="Cambria Math" w:hAnsi="Cambria Math" w:cs="Cambria Math"/>
          <w:sz w:val="24"/>
        </w:rPr>
        <w:t>(ρ D_S ∇S)·n̂ = S (E − P)/ρ_w ,   (evaporation E minus precipitation P concentrates salt) .</w:t>
      </w:r>
      <w:r>
        <w:rPr>
          <w:rFonts w:ascii="Calibri" w:hAnsi="Calibri"/>
          <w:sz w:val="22"/>
        </w:rPr>
        <w:tab/>
        <w:tab/>
        <w:t>(26)</w:t>
      </w:r>
    </w:p>
    <w:p>
      <w:pPr>
        <w:spacing w:after="120"/>
      </w:pPr>
      <w:r>
        <w:rPr>
          <w:rFonts w:ascii="Calibri" w:hAnsi="Calibri"/>
          <w:b w:val="0"/>
          <w:i w:val="0"/>
          <w:sz w:val="22"/>
        </w:rPr>
        <w:t>The air velocity / wind field U₁₀(x,t) is itself one of the stochastic OU channels of §3.7, so wind unpredictability propagates into the surface stress and the splash-zone mixing.</w:t>
      </w:r>
    </w:p>
    <w:p>
      <w:pPr>
        <w:pStyle w:val="Heading2"/>
      </w:pPr>
      <w:r>
        <w:t>5.3 Seabed and shoreline</w:t>
      </w:r>
    </w:p>
    <w:p>
      <w:pPr>
        <w:spacing w:before="80" w:after="120"/>
        <w:jc w:val="center"/>
      </w:pPr>
      <w:r>
        <w:rPr>
          <w:rFonts w:ascii="Cambria Math" w:hAnsi="Cambria Math" w:cs="Cambria Math"/>
          <w:sz w:val="24"/>
        </w:rPr>
        <w:t>u·n̂ = 0 (no-normal-flow) , wall-function τ_bed = ρ C_D^bed |u_b| u_b , (D_S ∇S)·n̂ = 0 (no salt flux through bed) .</w:t>
      </w:r>
      <w:r>
        <w:rPr>
          <w:rFonts w:ascii="Calibri" w:hAnsi="Calibri"/>
          <w:sz w:val="22"/>
        </w:rPr>
        <w:tab/>
        <w:tab/>
        <w:t>(27)</w:t>
      </w:r>
    </w:p>
    <w:p>
      <w:pPr>
        <w:spacing w:after="120"/>
      </w:pPr>
      <w:r>
        <w:rPr>
          <w:rFonts w:ascii="Calibri" w:hAnsi="Calibri"/>
          <w:b w:val="0"/>
          <w:i w:val="0"/>
          <w:sz w:val="22"/>
        </w:rPr>
        <w:t>The bed-normal n̂ follows the bathymetry/terrain ∇H, so the dense gravity current is steered along the real continental-shelf slope.</w:t>
      </w:r>
    </w:p>
    <w:p>
      <w:pPr>
        <w:pStyle w:val="Heading2"/>
      </w:pPr>
      <w:r>
        <w:t>5.4 Open-ocean lateral boundaries (currents, tides)</w:t>
      </w:r>
    </w:p>
    <w:p>
      <w:pPr>
        <w:spacing w:after="120"/>
      </w:pPr>
      <w:r>
        <w:rPr>
          <w:rFonts w:ascii="Calibri" w:hAnsi="Calibri"/>
          <w:b w:val="0"/>
          <w:i w:val="0"/>
          <w:sz w:val="22"/>
        </w:rPr>
        <w:t>Far-field boundaries impose the ambient stratification and the current/tidal forcing, again with a stochastic component:</w:t>
      </w:r>
    </w:p>
    <w:p>
      <w:pPr>
        <w:spacing w:before="80" w:after="120"/>
        <w:jc w:val="center"/>
      </w:pPr>
      <w:r>
        <w:rPr>
          <w:rFonts w:ascii="Cambria Math" w:hAnsi="Cambria Math" w:cs="Cambria Math"/>
          <w:sz w:val="24"/>
        </w:rPr>
        <w:t>u|_∞ = U_current(z,t) + U_tide(t) + ζ_current ,   S|_∞ = S_amb(z) ,   T|_∞ = T_amb(z) ,</w:t>
      </w:r>
      <w:r>
        <w:rPr>
          <w:rFonts w:ascii="Calibri" w:hAnsi="Calibri"/>
          <w:sz w:val="22"/>
        </w:rPr>
        <w:tab/>
        <w:tab/>
        <w:t>(28)</w:t>
      </w:r>
    </w:p>
    <w:p>
      <w:pPr>
        <w:spacing w:before="80" w:after="120"/>
        <w:jc w:val="center"/>
      </w:pPr>
      <w:r>
        <w:rPr>
          <w:rFonts w:ascii="Cambria Math" w:hAnsi="Cambria Math" w:cs="Cambria Math"/>
          <w:sz w:val="24"/>
        </w:rPr>
        <w:t>U_tide(t) = Σ_j A_j cos(ω_j t + φ_j)   (harmonic tidal constituents) .</w:t>
      </w:r>
      <w:r>
        <w:rPr>
          <w:rFonts w:ascii="Calibri" w:hAnsi="Calibri"/>
          <w:sz w:val="22"/>
        </w:rPr>
        <w:tab/>
        <w:tab/>
        <w:t>(29)</w:t>
      </w:r>
    </w:p>
    <w:p>
      <w:pPr>
        <w:pStyle w:val="Heading2"/>
      </w:pPr>
      <w:r>
        <w:t>5.5 Initial condition</w:t>
      </w:r>
    </w:p>
    <w:p>
      <w:pPr>
        <w:spacing w:before="80" w:after="120"/>
        <w:jc w:val="center"/>
      </w:pPr>
      <w:r>
        <w:rPr>
          <w:rFonts w:ascii="Cambria Math" w:hAnsi="Cambria Math" w:cs="Cambria Math"/>
          <w:sz w:val="24"/>
        </w:rPr>
        <w:t>q(x,0) = q_amb(x): quiescent or measured ambient profiles of S, T, ρ, u; plume fields seeded at the nozzle.</w:t>
      </w:r>
      <w:r>
        <w:rPr>
          <w:rFonts w:ascii="Calibri" w:hAnsi="Calibri"/>
          <w:sz w:val="22"/>
        </w:rPr>
        <w:tab/>
        <w:tab/>
        <w:t>(30)</w:t>
      </w:r>
    </w:p>
    <w:p>
      <w:pPr>
        <w:pStyle w:val="Heading1"/>
      </w:pPr>
      <w:r>
        <w:t>6. Coupling Structure</w:t>
      </w:r>
    </w:p>
    <w:p>
      <w:pPr>
        <w:spacing w:after="120"/>
      </w:pPr>
      <w:r>
        <w:rPr>
          <w:rFonts w:ascii="Calibri" w:hAnsi="Calibri"/>
          <w:b w:val="0"/>
          <w:i w:val="0"/>
          <w:sz w:val="22"/>
        </w:rPr>
        <w:t>The seven balance laws are not solved in isolation; they form a single coupled operator. The principal coupling pathways are:</w:t>
      </w:r>
    </w:p>
    <w:p>
      <w:pPr>
        <w:pStyle w:val="ListBullet"/>
        <w:spacing w:after="40"/>
      </w:pPr>
      <w:r>
        <w:rPr>
          <w:rFonts w:ascii="Calibri" w:hAnsi="Calibri"/>
          <w:sz w:val="22"/>
        </w:rPr>
        <w:t>ρ ↔ (S,T,p): the nonlinear EOS (3.5) — salt and heat set density, density sets buoyancy in the momentum equation (3.2).</w:t>
      </w:r>
    </w:p>
    <w:p>
      <w:pPr>
        <w:pStyle w:val="ListBullet"/>
        <w:spacing w:after="40"/>
      </w:pPr>
      <w:r>
        <w:rPr>
          <w:rFonts w:ascii="Calibri" w:hAnsi="Calibri"/>
          <w:sz w:val="22"/>
        </w:rPr>
        <w:t>u ↔ (S,T): velocity advects salt and heat (3.3, 3.4); their gradients set buoyancy that drives velocity (3.2).</w:t>
      </w:r>
    </w:p>
    <w:p>
      <w:pPr>
        <w:pStyle w:val="ListBullet"/>
        <w:spacing w:after="40"/>
      </w:pPr>
      <w:r>
        <w:rPr>
          <w:rFonts w:ascii="Calibri" w:hAnsi="Calibri"/>
          <w:sz w:val="22"/>
        </w:rPr>
        <w:t>S ↔ T: direct Onsager cross-diffusion (Soret D_ST, Dufour D_TS) beyond the density route.</w:t>
      </w:r>
    </w:p>
    <w:p>
      <w:pPr>
        <w:pStyle w:val="ListBullet"/>
        <w:spacing w:after="40"/>
      </w:pPr>
      <w:r>
        <w:rPr>
          <w:rFonts w:ascii="Calibri" w:hAnsi="Calibri"/>
          <w:sz w:val="22"/>
        </w:rPr>
        <w:t>(k,ε) ↔ all: turbulence sets μ_t, D_turb in every equation; mean shear and buoyancy gradients set k and ε (3.6).</w:t>
      </w:r>
    </w:p>
    <w:p>
      <w:pPr>
        <w:pStyle w:val="ListBullet"/>
        <w:spacing w:after="40"/>
      </w:pPr>
      <w:r>
        <w:rPr>
          <w:rFonts w:ascii="Calibri" w:hAnsi="Calibri"/>
          <w:sz w:val="22"/>
        </w:rPr>
        <w:t>Π ↔ (u,S): osmotic pressure of the saline field forces momentum and salt flux (F_osm, J_S) — the novel osmotic loop.</w:t>
      </w:r>
    </w:p>
    <w:p>
      <w:pPr>
        <w:pStyle w:val="ListBullet"/>
        <w:spacing w:after="40"/>
      </w:pPr>
      <w:r>
        <w:rPr>
          <w:rFonts w:ascii="Calibri" w:hAnsi="Calibri"/>
          <w:sz w:val="22"/>
        </w:rPr>
        <w:t>ζ_m ↔ all: stochastic channels perturb momentum, scalars and boundaries, turning the deterministic PDE into an SPDE.</w:t>
      </w:r>
    </w:p>
    <w:p>
      <w:pPr>
        <w:pStyle w:val="Heading1"/>
      </w:pPr>
      <w:r>
        <w:t>7. Predicted Outputs (Diagnostic Functionals)</w:t>
      </w:r>
    </w:p>
    <w:p>
      <w:pPr>
        <w:spacing w:after="120"/>
      </w:pPr>
      <w:r>
        <w:rPr>
          <w:rFonts w:ascii="Calibri" w:hAnsi="Calibri"/>
          <w:b w:val="0"/>
          <w:i w:val="0"/>
          <w:sz w:val="22"/>
        </w:rPr>
        <w:t>From the solved fields, NEREID-B reports the engineering quantities of interest, each as a time series and as a probability distribution:</w:t>
      </w:r>
    </w:p>
    <w:p>
      <w:pPr>
        <w:spacing w:before="80" w:after="120"/>
        <w:jc w:val="center"/>
      </w:pPr>
      <w:r>
        <w:rPr>
          <w:rFonts w:ascii="Cambria Math" w:hAnsi="Cambria Math" w:cs="Cambria Math"/>
          <w:sz w:val="24"/>
        </w:rPr>
        <w:t>Dilution:  𝒟(x,t) = (S₀ − S_amb)/(S(x,t) − S_amb) ,</w:t>
      </w:r>
      <w:r>
        <w:rPr>
          <w:rFonts w:ascii="Calibri" w:hAnsi="Calibri"/>
          <w:sz w:val="22"/>
        </w:rPr>
        <w:tab/>
        <w:tab/>
        <w:t>(31)</w:t>
      </w:r>
    </w:p>
    <w:p>
      <w:pPr>
        <w:spacing w:before="80" w:after="120"/>
        <w:jc w:val="center"/>
      </w:pPr>
      <w:r>
        <w:rPr>
          <w:rFonts w:ascii="Cambria Math" w:hAnsi="Cambria Math" w:cs="Cambria Math"/>
          <w:sz w:val="24"/>
        </w:rPr>
        <w:t>Excess-salinity footprint:  𝒜(t) = ∫∫ 𝟙[ S(x,y,z*,t) − S_amb &gt; ΔS_crit ] dx dy ,</w:t>
      </w:r>
      <w:r>
        <w:rPr>
          <w:rFonts w:ascii="Calibri" w:hAnsi="Calibri"/>
          <w:sz w:val="22"/>
        </w:rPr>
        <w:tab/>
        <w:tab/>
        <w:t>(32)</w:t>
      </w:r>
    </w:p>
    <w:p>
      <w:pPr>
        <w:spacing w:before="80" w:after="120"/>
        <w:jc w:val="center"/>
      </w:pPr>
      <w:r>
        <w:rPr>
          <w:rFonts w:ascii="Cambria Math" w:hAnsi="Cambria Math" w:cs="Cambria Math"/>
          <w:sz w:val="24"/>
        </w:rPr>
        <w:t>Maximum reach:  r_max(t) = max{ |x_h − x_d| : S − S_amb &gt; ΔS_crit } ,</w:t>
      </w:r>
      <w:r>
        <w:rPr>
          <w:rFonts w:ascii="Calibri" w:hAnsi="Calibri"/>
          <w:sz w:val="22"/>
        </w:rPr>
        <w:tab/>
        <w:tab/>
        <w:t>(33)</w:t>
      </w:r>
    </w:p>
    <w:p>
      <w:pPr>
        <w:spacing w:before="80" w:after="120"/>
        <w:jc w:val="center"/>
      </w:pPr>
      <w:r>
        <w:rPr>
          <w:rFonts w:ascii="Cambria Math" w:hAnsi="Cambria Math" w:cs="Cambria Math"/>
          <w:sz w:val="24"/>
        </w:rPr>
        <w:t>Maximum depth of impact:  z_max(t) = min{ z : S − S_amb &gt; ΔS_crit } ,</w:t>
      </w:r>
      <w:r>
        <w:rPr>
          <w:rFonts w:ascii="Calibri" w:hAnsi="Calibri"/>
          <w:sz w:val="22"/>
        </w:rPr>
        <w:tab/>
        <w:tab/>
        <w:t>(34)</w:t>
      </w:r>
    </w:p>
    <w:p>
      <w:pPr>
        <w:spacing w:before="80" w:after="120"/>
        <w:jc w:val="center"/>
      </w:pPr>
      <w:r>
        <w:rPr>
          <w:rFonts w:ascii="Cambria Math" w:hAnsi="Cambria Math" w:cs="Cambria Math"/>
          <w:sz w:val="24"/>
        </w:rPr>
        <w:t>Seabed impact (return) point and the gravity-current run-out distance ,</w:t>
      </w:r>
      <w:r>
        <w:rPr>
          <w:rFonts w:ascii="Calibri" w:hAnsi="Calibri"/>
          <w:sz w:val="22"/>
        </w:rPr>
        <w:tab/>
        <w:tab/>
        <w:t>(35)</w:t>
      </w:r>
    </w:p>
    <w:p>
      <w:pPr>
        <w:spacing w:before="80" w:after="120"/>
        <w:jc w:val="center"/>
      </w:pPr>
      <w:r>
        <w:rPr>
          <w:rFonts w:ascii="Cambria Math" w:hAnsi="Cambria Math" w:cs="Cambria Math"/>
          <w:sz w:val="24"/>
        </w:rPr>
        <w:t>Exceedance risk:  ℝ(x,t) = ℙ[ S(x,t) − S_amb &gt; ΔS_crit ] from the SPDE ensemble .</w:t>
      </w:r>
      <w:r>
        <w:rPr>
          <w:rFonts w:ascii="Calibri" w:hAnsi="Calibri"/>
          <w:sz w:val="22"/>
        </w:rPr>
        <w:tab/>
        <w:tab/>
        <w:t>(36)</w:t>
      </w:r>
    </w:p>
    <w:p>
      <w:pPr>
        <w:spacing w:after="120"/>
      </w:pPr>
      <w:r>
        <w:rPr>
          <w:rFonts w:ascii="Calibri" w:hAnsi="Calibri"/>
          <w:b w:val="0"/>
          <w:i w:val="0"/>
          <w:sz w:val="22"/>
        </w:rPr>
        <w:t>ΔS_crit is the regulatory salinity-increment limit (commonly +2 to +5 % of ambient, or a fixed +2 g kg⁻¹ above background). The pair (r_max, z_max) with its confidence envelope is the direct answer to 'how far and how deep does the brine go'.</w:t>
      </w:r>
    </w:p>
    <w:p>
      <w:pPr>
        <w:pStyle w:val="Heading1"/>
      </w:pPr>
      <w:r>
        <w:t>8. Governing Dimensionless Groups</w:t>
      </w:r>
    </w:p>
    <w:p>
      <w:pPr>
        <w:spacing w:after="120"/>
      </w:pPr>
      <w:r>
        <w:rPr>
          <w:rFonts w:ascii="Calibri" w:hAnsi="Calibri"/>
          <w:b w:val="0"/>
          <w:i w:val="0"/>
          <w:sz w:val="22"/>
        </w:rPr>
        <w:t>Non-dimensionalizing the system reveals the controlling parameters, useful for scaling, validation and reduced-order use:</w:t>
      </w:r>
    </w:p>
    <w:tbl>
      <w:tblPr>
        <w:tblStyle w:val="LightGrid-Accent1"/>
        <w:tblW w:type="auto" w:w="0"/>
        <w:jc w:val="center"/>
        <w:tblLook w:firstColumn="1" w:firstRow="1" w:lastColumn="0" w:lastRow="0" w:noHBand="0" w:noVBand="1" w:val="04A0"/>
      </w:tblPr>
      <w:tblGrid>
        <w:gridCol w:w="2880"/>
        <w:gridCol w:w="2880"/>
        <w:gridCol w:w="2880"/>
      </w:tblGrid>
      <w:tr>
        <w:tc>
          <w:tcPr>
            <w:tcW w:type="dxa" w:w="1008"/>
            <w:shd w:val="clear" w:color="auto" w:fill="1F4E79"/>
          </w:tcPr>
          <w:p>
            <w:r/>
            <w:r>
              <w:rPr>
                <w:rFonts w:ascii="Calibri" w:hAnsi="Calibri"/>
                <w:b/>
                <w:color w:val="FFFFFF"/>
                <w:sz w:val="18"/>
              </w:rPr>
              <w:t>Group</w:t>
            </w:r>
          </w:p>
        </w:tc>
        <w:tc>
          <w:tcPr>
            <w:tcW w:type="dxa" w:w="2736"/>
            <w:shd w:val="clear" w:color="auto" w:fill="1F4E79"/>
          </w:tcPr>
          <w:p>
            <w:r/>
            <w:r>
              <w:rPr>
                <w:rFonts w:ascii="Calibri" w:hAnsi="Calibri"/>
                <w:b/>
                <w:color w:val="FFFFFF"/>
                <w:sz w:val="18"/>
              </w:rPr>
              <w:t>Definition</w:t>
            </w:r>
          </w:p>
        </w:tc>
        <w:tc>
          <w:tcPr>
            <w:tcW w:type="dxa" w:w="5184"/>
            <w:shd w:val="clear" w:color="auto" w:fill="1F4E79"/>
          </w:tcPr>
          <w:p>
            <w:r/>
            <w:r>
              <w:rPr>
                <w:rFonts w:ascii="Calibri" w:hAnsi="Calibri"/>
                <w:b/>
                <w:color w:val="FFFFFF"/>
                <w:sz w:val="18"/>
              </w:rPr>
              <w:t>Physical role</w:t>
            </w:r>
          </w:p>
        </w:tc>
      </w:tr>
      <w:tr>
        <w:tc>
          <w:tcPr>
            <w:tcW w:type="dxa" w:w="1008"/>
          </w:tcPr>
          <w:p>
            <w:r/>
            <w:r>
              <w:rPr>
                <w:rFonts w:ascii="Cambria Math" w:hAnsi="Cambria Math"/>
                <w:sz w:val="18"/>
              </w:rPr>
              <w:t>Fr_d</w:t>
            </w:r>
          </w:p>
        </w:tc>
        <w:tc>
          <w:tcPr>
            <w:tcW w:type="dxa" w:w="2736"/>
          </w:tcPr>
          <w:p>
            <w:r/>
            <w:r>
              <w:rPr>
                <w:rFonts w:ascii="Calibri" w:hAnsi="Calibri"/>
                <w:sz w:val="18"/>
              </w:rPr>
              <w:t>U_d /√(g' d_p)</w:t>
            </w:r>
          </w:p>
        </w:tc>
        <w:tc>
          <w:tcPr>
            <w:tcW w:type="dxa" w:w="5184"/>
          </w:tcPr>
          <w:p>
            <w:r/>
            <w:r>
              <w:rPr>
                <w:rFonts w:ascii="Calibri" w:hAnsi="Calibri"/>
                <w:sz w:val="18"/>
              </w:rPr>
              <w:t>Densimetric Froude — jet momentum vs buoyancy; sets rise height</w:t>
            </w:r>
          </w:p>
        </w:tc>
      </w:tr>
      <w:tr>
        <w:tc>
          <w:tcPr>
            <w:tcW w:type="dxa" w:w="1008"/>
          </w:tcPr>
          <w:p>
            <w:r/>
            <w:r>
              <w:rPr>
                <w:rFonts w:ascii="Cambria Math" w:hAnsi="Cambria Math"/>
                <w:sz w:val="18"/>
              </w:rPr>
              <w:t>g'</w:t>
            </w:r>
          </w:p>
        </w:tc>
        <w:tc>
          <w:tcPr>
            <w:tcW w:type="dxa" w:w="2736"/>
          </w:tcPr>
          <w:p>
            <w:r/>
            <w:r>
              <w:rPr>
                <w:rFonts w:ascii="Calibri" w:hAnsi="Calibri"/>
                <w:sz w:val="18"/>
              </w:rPr>
              <w:t>g (ρ_b − ρ_a)/ρ_a</w:t>
            </w:r>
          </w:p>
        </w:tc>
        <w:tc>
          <w:tcPr>
            <w:tcW w:type="dxa" w:w="5184"/>
          </w:tcPr>
          <w:p>
            <w:r/>
            <w:r>
              <w:rPr>
                <w:rFonts w:ascii="Calibri" w:hAnsi="Calibri"/>
                <w:sz w:val="18"/>
              </w:rPr>
              <w:t>Reduced gravity of the reject</w:t>
            </w:r>
          </w:p>
        </w:tc>
      </w:tr>
      <w:tr>
        <w:tc>
          <w:tcPr>
            <w:tcW w:type="dxa" w:w="1008"/>
          </w:tcPr>
          <w:p>
            <w:r/>
            <w:r>
              <w:rPr>
                <w:rFonts w:ascii="Cambria Math" w:hAnsi="Cambria Math"/>
                <w:sz w:val="18"/>
              </w:rPr>
              <w:t>Re</w:t>
            </w:r>
          </w:p>
        </w:tc>
        <w:tc>
          <w:tcPr>
            <w:tcW w:type="dxa" w:w="2736"/>
          </w:tcPr>
          <w:p>
            <w:r/>
            <w:r>
              <w:rPr>
                <w:rFonts w:ascii="Calibri" w:hAnsi="Calibri"/>
                <w:sz w:val="18"/>
              </w:rPr>
              <w:t>ρ U_d d_p /μ</w:t>
            </w:r>
          </w:p>
        </w:tc>
        <w:tc>
          <w:tcPr>
            <w:tcW w:type="dxa" w:w="5184"/>
          </w:tcPr>
          <w:p>
            <w:r/>
            <w:r>
              <w:rPr>
                <w:rFonts w:ascii="Calibri" w:hAnsi="Calibri"/>
                <w:sz w:val="18"/>
              </w:rPr>
              <w:t>Reynolds — turbulence onset</w:t>
            </w:r>
          </w:p>
        </w:tc>
      </w:tr>
      <w:tr>
        <w:tc>
          <w:tcPr>
            <w:tcW w:type="dxa" w:w="1008"/>
          </w:tcPr>
          <w:p>
            <w:r/>
            <w:r>
              <w:rPr>
                <w:rFonts w:ascii="Cambria Math" w:hAnsi="Cambria Math"/>
                <w:sz w:val="18"/>
              </w:rPr>
              <w:t>Ri</w:t>
            </w:r>
          </w:p>
        </w:tc>
        <w:tc>
          <w:tcPr>
            <w:tcW w:type="dxa" w:w="2736"/>
          </w:tcPr>
          <w:p>
            <w:r/>
            <w:r>
              <w:rPr>
                <w:rFonts w:ascii="Calibri" w:hAnsi="Calibri"/>
                <w:sz w:val="18"/>
              </w:rPr>
              <w:t>g'/(∂u/∂z)² · ∂ρ/∂z</w:t>
            </w:r>
          </w:p>
        </w:tc>
        <w:tc>
          <w:tcPr>
            <w:tcW w:type="dxa" w:w="5184"/>
          </w:tcPr>
          <w:p>
            <w:r/>
            <w:r>
              <w:rPr>
                <w:rFonts w:ascii="Calibri" w:hAnsi="Calibri"/>
                <w:sz w:val="18"/>
              </w:rPr>
              <w:t>Richardson — stratified mixing suppression</w:t>
            </w:r>
          </w:p>
        </w:tc>
      </w:tr>
      <w:tr>
        <w:tc>
          <w:tcPr>
            <w:tcW w:type="dxa" w:w="1008"/>
          </w:tcPr>
          <w:p>
            <w:r/>
            <w:r>
              <w:rPr>
                <w:rFonts w:ascii="Cambria Math" w:hAnsi="Cambria Math"/>
                <w:sz w:val="18"/>
              </w:rPr>
              <w:t>Pe</w:t>
            </w:r>
          </w:p>
        </w:tc>
        <w:tc>
          <w:tcPr>
            <w:tcW w:type="dxa" w:w="2736"/>
          </w:tcPr>
          <w:p>
            <w:r/>
            <w:r>
              <w:rPr>
                <w:rFonts w:ascii="Calibri" w:hAnsi="Calibri"/>
                <w:sz w:val="18"/>
              </w:rPr>
              <w:t>U_d d_p /D_mol</w:t>
            </w:r>
          </w:p>
        </w:tc>
        <w:tc>
          <w:tcPr>
            <w:tcW w:type="dxa" w:w="5184"/>
          </w:tcPr>
          <w:p>
            <w:r/>
            <w:r>
              <w:rPr>
                <w:rFonts w:ascii="Calibri" w:hAnsi="Calibri"/>
                <w:sz w:val="18"/>
              </w:rPr>
              <w:t>Péclet — advection vs diffusion of salt</w:t>
            </w:r>
          </w:p>
        </w:tc>
      </w:tr>
      <w:tr>
        <w:tc>
          <w:tcPr>
            <w:tcW w:type="dxa" w:w="1008"/>
          </w:tcPr>
          <w:p>
            <w:r/>
            <w:r>
              <w:rPr>
                <w:rFonts w:ascii="Cambria Math" w:hAnsi="Cambria Math"/>
                <w:sz w:val="18"/>
              </w:rPr>
              <w:t>Sc</w:t>
            </w:r>
          </w:p>
        </w:tc>
        <w:tc>
          <w:tcPr>
            <w:tcW w:type="dxa" w:w="2736"/>
          </w:tcPr>
          <w:p>
            <w:r/>
            <w:r>
              <w:rPr>
                <w:rFonts w:ascii="Calibri" w:hAnsi="Calibri"/>
                <w:sz w:val="18"/>
              </w:rPr>
              <w:t>ν/D_mol</w:t>
            </w:r>
          </w:p>
        </w:tc>
        <w:tc>
          <w:tcPr>
            <w:tcW w:type="dxa" w:w="5184"/>
          </w:tcPr>
          <w:p>
            <w:r/>
            <w:r>
              <w:rPr>
                <w:rFonts w:ascii="Calibri" w:hAnsi="Calibri"/>
                <w:sz w:val="18"/>
              </w:rPr>
              <w:t>Schmidt — momentum vs salt diffusivity</w:t>
            </w:r>
          </w:p>
        </w:tc>
      </w:tr>
      <w:tr>
        <w:tc>
          <w:tcPr>
            <w:tcW w:type="dxa" w:w="1008"/>
          </w:tcPr>
          <w:p>
            <w:r/>
            <w:r>
              <w:rPr>
                <w:rFonts w:ascii="Cambria Math" w:hAnsi="Cambria Math"/>
                <w:sz w:val="18"/>
              </w:rPr>
              <w:t>Ra</w:t>
            </w:r>
          </w:p>
        </w:tc>
        <w:tc>
          <w:tcPr>
            <w:tcW w:type="dxa" w:w="2736"/>
          </w:tcPr>
          <w:p>
            <w:r/>
            <w:r>
              <w:rPr>
                <w:rFonts w:ascii="Calibri" w:hAnsi="Calibri"/>
                <w:sz w:val="18"/>
              </w:rPr>
              <w:t>g' L³/(ν D_S)</w:t>
            </w:r>
          </w:p>
        </w:tc>
        <w:tc>
          <w:tcPr>
            <w:tcW w:type="dxa" w:w="5184"/>
          </w:tcPr>
          <w:p>
            <w:r/>
            <w:r>
              <w:rPr>
                <w:rFonts w:ascii="Calibri" w:hAnsi="Calibri"/>
                <w:sz w:val="18"/>
              </w:rPr>
              <w:t>Rayleigh — buoyant convection strength</w:t>
            </w:r>
          </w:p>
        </w:tc>
      </w:tr>
      <w:tr>
        <w:tc>
          <w:tcPr>
            <w:tcW w:type="dxa" w:w="1008"/>
          </w:tcPr>
          <w:p>
            <w:r/>
            <w:r>
              <w:rPr>
                <w:rFonts w:ascii="Cambria Math" w:hAnsi="Cambria Math"/>
                <w:sz w:val="18"/>
              </w:rPr>
              <w:t>Ro</w:t>
            </w:r>
          </w:p>
        </w:tc>
        <w:tc>
          <w:tcPr>
            <w:tcW w:type="dxa" w:w="2736"/>
          </w:tcPr>
          <w:p>
            <w:r/>
            <w:r>
              <w:rPr>
                <w:rFonts w:ascii="Calibri" w:hAnsi="Calibri"/>
                <w:sz w:val="18"/>
              </w:rPr>
              <w:t>U/(f L)</w:t>
            </w:r>
          </w:p>
        </w:tc>
        <w:tc>
          <w:tcPr>
            <w:tcW w:type="dxa" w:w="5184"/>
          </w:tcPr>
          <w:p>
            <w:r/>
            <w:r>
              <w:rPr>
                <w:rFonts w:ascii="Calibri" w:hAnsi="Calibri"/>
                <w:sz w:val="18"/>
              </w:rPr>
              <w:t>Rossby — rotation (Coriolis) importance</w:t>
            </w:r>
          </w:p>
        </w:tc>
      </w:tr>
      <w:tr>
        <w:tc>
          <w:tcPr>
            <w:tcW w:type="dxa" w:w="1008"/>
          </w:tcPr>
          <w:p>
            <w:r/>
            <w:r>
              <w:rPr>
                <w:rFonts w:ascii="Cambria Math" w:hAnsi="Cambria Math"/>
                <w:sz w:val="18"/>
              </w:rPr>
              <w:t>Π*</w:t>
            </w:r>
          </w:p>
        </w:tc>
        <w:tc>
          <w:tcPr>
            <w:tcW w:type="dxa" w:w="2736"/>
          </w:tcPr>
          <w:p>
            <w:r/>
            <w:r>
              <w:rPr>
                <w:rFonts w:ascii="Calibri" w:hAnsi="Calibri"/>
                <w:sz w:val="18"/>
              </w:rPr>
              <w:t>Π/(ρ U_d²)</w:t>
            </w:r>
          </w:p>
        </w:tc>
        <w:tc>
          <w:tcPr>
            <w:tcW w:type="dxa" w:w="5184"/>
          </w:tcPr>
          <w:p>
            <w:r/>
            <w:r>
              <w:rPr>
                <w:rFonts w:ascii="Calibri" w:hAnsi="Calibri"/>
                <w:sz w:val="18"/>
              </w:rPr>
              <w:t>Osmotic-to-inertial pressure ratio (novel group)</w:t>
            </w:r>
          </w:p>
        </w:tc>
      </w:tr>
      <w:tr>
        <w:tc>
          <w:tcPr>
            <w:tcW w:type="dxa" w:w="1008"/>
          </w:tcPr>
          <w:p>
            <w:r/>
            <w:r>
              <w:rPr>
                <w:rFonts w:ascii="Cambria Math" w:hAnsi="Cambria Math"/>
                <w:sz w:val="18"/>
              </w:rPr>
              <w:t>Kᵤ</w:t>
            </w:r>
          </w:p>
        </w:tc>
        <w:tc>
          <w:tcPr>
            <w:tcW w:type="dxa" w:w="2736"/>
          </w:tcPr>
          <w:p>
            <w:r/>
            <w:r>
              <w:rPr>
                <w:rFonts w:ascii="Calibri" w:hAnsi="Calibri"/>
                <w:sz w:val="18"/>
              </w:rPr>
              <w:t>σ_m τ_m /U</w:t>
            </w:r>
          </w:p>
        </w:tc>
        <w:tc>
          <w:tcPr>
            <w:tcW w:type="dxa" w:w="5184"/>
          </w:tcPr>
          <w:p>
            <w:r/>
            <w:r>
              <w:rPr>
                <w:rFonts w:ascii="Calibri" w:hAnsi="Calibri"/>
                <w:sz w:val="18"/>
              </w:rPr>
              <w:t>Stochastic-forcing intensity (novel group)</w:t>
            </w:r>
          </w:p>
        </w:tc>
      </w:tr>
    </w:tbl>
    <w:p>
      <w:r>
        <w:br w:type="page"/>
      </w:r>
    </w:p>
    <w:p>
      <w:pPr>
        <w:pStyle w:val="Heading1"/>
      </w:pPr>
      <w:r>
        <w:t>9. Complete Parameter Inventory (Model Inputs)</w:t>
      </w:r>
    </w:p>
    <w:p>
      <w:pPr>
        <w:spacing w:after="120"/>
      </w:pPr>
      <w:r>
        <w:rPr>
          <w:rFonts w:ascii="Calibri" w:hAnsi="Calibri"/>
          <w:b w:val="0"/>
          <w:i w:val="0"/>
          <w:sz w:val="22"/>
        </w:rPr>
        <w:t>Every quantity the model ingests, grouped by source. Symbols match the equations above. These are the inputs that must be supplied or measured to drive NEREID-B.</w:t>
      </w:r>
    </w:p>
    <w:p>
      <w:pPr>
        <w:pStyle w:val="Heading2"/>
      </w:pPr>
      <w:r>
        <w:t>9.1 Effluent / brine discharge</w:t>
      </w:r>
    </w:p>
    <w:tbl>
      <w:tblPr>
        <w:tblStyle w:val="LightGrid-Accent1"/>
        <w:tblW w:type="auto" w:w="0"/>
        <w:jc w:val="center"/>
        <w:tblLook w:firstColumn="1" w:firstRow="1" w:lastColumn="0" w:lastRow="0" w:noHBand="0" w:noVBand="1" w:val="04A0"/>
      </w:tblPr>
      <w:tblGrid>
        <w:gridCol w:w="2880"/>
        <w:gridCol w:w="2880"/>
        <w:gridCol w:w="2880"/>
      </w:tblGrid>
      <w:tr>
        <w:tc>
          <w:tcPr>
            <w:tcW w:type="dxa" w:w="1152"/>
            <w:shd w:val="clear" w:color="auto" w:fill="1F4E79"/>
          </w:tcPr>
          <w:p>
            <w:r/>
            <w:r>
              <w:rPr>
                <w:rFonts w:ascii="Calibri" w:hAnsi="Calibri"/>
                <w:b/>
                <w:color w:val="FFFFFF"/>
                <w:sz w:val="18"/>
              </w:rPr>
              <w:t>Symbol</w:t>
            </w:r>
          </w:p>
        </w:tc>
        <w:tc>
          <w:tcPr>
            <w:tcW w:type="dxa" w:w="5184"/>
            <w:shd w:val="clear" w:color="auto" w:fill="1F4E79"/>
          </w:tcPr>
          <w:p>
            <w:r/>
            <w:r>
              <w:rPr>
                <w:rFonts w:ascii="Calibri" w:hAnsi="Calibri"/>
                <w:b/>
                <w:color w:val="FFFFFF"/>
                <w:sz w:val="18"/>
              </w:rPr>
              <w:t>Parameter</w:t>
            </w:r>
          </w:p>
        </w:tc>
        <w:tc>
          <w:tcPr>
            <w:tcW w:type="dxa" w:w="2016"/>
            <w:shd w:val="clear" w:color="auto" w:fill="1F4E79"/>
          </w:tcPr>
          <w:p>
            <w:r/>
            <w:r>
              <w:rPr>
                <w:rFonts w:ascii="Calibri" w:hAnsi="Calibri"/>
                <w:b/>
                <w:color w:val="FFFFFF"/>
                <w:sz w:val="18"/>
              </w:rPr>
              <w:t>Units</w:t>
            </w:r>
          </w:p>
        </w:tc>
      </w:tr>
      <w:tr>
        <w:tc>
          <w:tcPr>
            <w:tcW w:type="dxa" w:w="1152"/>
          </w:tcPr>
          <w:p>
            <w:r/>
            <w:r>
              <w:rPr>
                <w:rFonts w:ascii="Cambria Math" w:hAnsi="Cambria Math"/>
                <w:sz w:val="18"/>
              </w:rPr>
              <w:t>S₀</w:t>
            </w:r>
          </w:p>
        </w:tc>
        <w:tc>
          <w:tcPr>
            <w:tcW w:type="dxa" w:w="5184"/>
          </w:tcPr>
          <w:p>
            <w:r/>
            <w:r>
              <w:rPr>
                <w:rFonts w:ascii="Calibri" w:hAnsi="Calibri"/>
                <w:sz w:val="18"/>
              </w:rPr>
              <w:t>Brine (effluent) absolute salinity</w:t>
            </w:r>
          </w:p>
        </w:tc>
        <w:tc>
          <w:tcPr>
            <w:tcW w:type="dxa" w:w="2016"/>
          </w:tcPr>
          <w:p>
            <w:r/>
            <w:r>
              <w:rPr>
                <w:rFonts w:ascii="Calibri" w:hAnsi="Calibri"/>
                <w:sz w:val="18"/>
              </w:rPr>
              <w:t>g kg⁻¹</w:t>
            </w:r>
          </w:p>
        </w:tc>
      </w:tr>
      <w:tr>
        <w:tc>
          <w:tcPr>
            <w:tcW w:type="dxa" w:w="1152"/>
          </w:tcPr>
          <w:p>
            <w:r/>
            <w:r>
              <w:rPr>
                <w:rFonts w:ascii="Cambria Math" w:hAnsi="Cambria Math"/>
                <w:sz w:val="18"/>
              </w:rPr>
              <w:t>Q_d</w:t>
            </w:r>
          </w:p>
        </w:tc>
        <w:tc>
          <w:tcPr>
            <w:tcW w:type="dxa" w:w="5184"/>
          </w:tcPr>
          <w:p>
            <w:r/>
            <w:r>
              <w:rPr>
                <w:rFonts w:ascii="Calibri" w:hAnsi="Calibri"/>
                <w:sz w:val="18"/>
              </w:rPr>
              <w:t>Volumetric discharge rate</w:t>
            </w:r>
          </w:p>
        </w:tc>
        <w:tc>
          <w:tcPr>
            <w:tcW w:type="dxa" w:w="2016"/>
          </w:tcPr>
          <w:p>
            <w:r/>
            <w:r>
              <w:rPr>
                <w:rFonts w:ascii="Calibri" w:hAnsi="Calibri"/>
                <w:sz w:val="18"/>
              </w:rPr>
              <w:t>m³ s⁻¹</w:t>
            </w:r>
          </w:p>
        </w:tc>
      </w:tr>
      <w:tr>
        <w:tc>
          <w:tcPr>
            <w:tcW w:type="dxa" w:w="1152"/>
          </w:tcPr>
          <w:p>
            <w:r/>
            <w:r>
              <w:rPr>
                <w:rFonts w:ascii="Cambria Math" w:hAnsi="Cambria Math"/>
                <w:sz w:val="18"/>
              </w:rPr>
              <w:t>U_d</w:t>
            </w:r>
          </w:p>
        </w:tc>
        <w:tc>
          <w:tcPr>
            <w:tcW w:type="dxa" w:w="5184"/>
          </w:tcPr>
          <w:p>
            <w:r/>
            <w:r>
              <w:rPr>
                <w:rFonts w:ascii="Calibri" w:hAnsi="Calibri"/>
                <w:sz w:val="18"/>
              </w:rPr>
              <w:t>Nozzle exit velocity</w:t>
            </w:r>
          </w:p>
        </w:tc>
        <w:tc>
          <w:tcPr>
            <w:tcW w:type="dxa" w:w="2016"/>
          </w:tcPr>
          <w:p>
            <w:r/>
            <w:r>
              <w:rPr>
                <w:rFonts w:ascii="Calibri" w:hAnsi="Calibri"/>
                <w:sz w:val="18"/>
              </w:rPr>
              <w:t>m s⁻¹</w:t>
            </w:r>
          </w:p>
        </w:tc>
      </w:tr>
      <w:tr>
        <w:tc>
          <w:tcPr>
            <w:tcW w:type="dxa" w:w="1152"/>
          </w:tcPr>
          <w:p>
            <w:r/>
            <w:r>
              <w:rPr>
                <w:rFonts w:ascii="Cambria Math" w:hAnsi="Cambria Math"/>
                <w:sz w:val="18"/>
              </w:rPr>
              <w:t>p_d</w:t>
            </w:r>
          </w:p>
        </w:tc>
        <w:tc>
          <w:tcPr>
            <w:tcW w:type="dxa" w:w="5184"/>
          </w:tcPr>
          <w:p>
            <w:r/>
            <w:r>
              <w:rPr>
                <w:rFonts w:ascii="Calibri" w:hAnsi="Calibri"/>
                <w:sz w:val="18"/>
              </w:rPr>
              <w:t>Discharge pressure at nozzle</w:t>
            </w:r>
          </w:p>
        </w:tc>
        <w:tc>
          <w:tcPr>
            <w:tcW w:type="dxa" w:w="2016"/>
          </w:tcPr>
          <w:p>
            <w:r/>
            <w:r>
              <w:rPr>
                <w:rFonts w:ascii="Calibri" w:hAnsi="Calibri"/>
                <w:sz w:val="18"/>
              </w:rPr>
              <w:t>Pa</w:t>
            </w:r>
          </w:p>
        </w:tc>
      </w:tr>
      <w:tr>
        <w:tc>
          <w:tcPr>
            <w:tcW w:type="dxa" w:w="1152"/>
          </w:tcPr>
          <w:p>
            <w:r/>
            <w:r>
              <w:rPr>
                <w:rFonts w:ascii="Cambria Math" w:hAnsi="Cambria Math"/>
                <w:sz w:val="18"/>
              </w:rPr>
              <w:t>T_b</w:t>
            </w:r>
          </w:p>
        </w:tc>
        <w:tc>
          <w:tcPr>
            <w:tcW w:type="dxa" w:w="5184"/>
          </w:tcPr>
          <w:p>
            <w:r/>
            <w:r>
              <w:rPr>
                <w:rFonts w:ascii="Calibri" w:hAnsi="Calibri"/>
                <w:sz w:val="18"/>
              </w:rPr>
              <w:t>Brine temperature</w:t>
            </w:r>
          </w:p>
        </w:tc>
        <w:tc>
          <w:tcPr>
            <w:tcW w:type="dxa" w:w="2016"/>
          </w:tcPr>
          <w:p>
            <w:r/>
            <w:r>
              <w:rPr>
                <w:rFonts w:ascii="Calibri" w:hAnsi="Calibri"/>
                <w:sz w:val="18"/>
              </w:rPr>
              <w:t>°C</w:t>
            </w:r>
          </w:p>
        </w:tc>
      </w:tr>
      <w:tr>
        <w:tc>
          <w:tcPr>
            <w:tcW w:type="dxa" w:w="1152"/>
          </w:tcPr>
          <w:p>
            <w:r/>
            <w:r>
              <w:rPr>
                <w:rFonts w:ascii="Cambria Math" w:hAnsi="Cambria Math"/>
                <w:sz w:val="18"/>
              </w:rPr>
              <w:t>ρ_b</w:t>
            </w:r>
          </w:p>
        </w:tc>
        <w:tc>
          <w:tcPr>
            <w:tcW w:type="dxa" w:w="5184"/>
          </w:tcPr>
          <w:p>
            <w:r/>
            <w:r>
              <w:rPr>
                <w:rFonts w:ascii="Calibri" w:hAnsi="Calibri"/>
                <w:sz w:val="18"/>
              </w:rPr>
              <w:t>Brine density</w:t>
            </w:r>
          </w:p>
        </w:tc>
        <w:tc>
          <w:tcPr>
            <w:tcW w:type="dxa" w:w="2016"/>
          </w:tcPr>
          <w:p>
            <w:r/>
            <w:r>
              <w:rPr>
                <w:rFonts w:ascii="Calibri" w:hAnsi="Calibri"/>
                <w:sz w:val="18"/>
              </w:rPr>
              <w:t>kg m⁻³</w:t>
            </w:r>
          </w:p>
        </w:tc>
      </w:tr>
      <w:tr>
        <w:tc>
          <w:tcPr>
            <w:tcW w:type="dxa" w:w="1152"/>
          </w:tcPr>
          <w:p>
            <w:r/>
            <w:r>
              <w:rPr>
                <w:rFonts w:ascii="Cambria Math" w:hAnsi="Cambria Math"/>
                <w:sz w:val="18"/>
              </w:rPr>
              <w:t>θ, ψ</w:t>
            </w:r>
          </w:p>
        </w:tc>
        <w:tc>
          <w:tcPr>
            <w:tcW w:type="dxa" w:w="5184"/>
          </w:tcPr>
          <w:p>
            <w:r/>
            <w:r>
              <w:rPr>
                <w:rFonts w:ascii="Calibri" w:hAnsi="Calibri"/>
                <w:sz w:val="18"/>
              </w:rPr>
              <w:t>Nozzle inclination &amp; azimuth angles</w:t>
            </w:r>
          </w:p>
        </w:tc>
        <w:tc>
          <w:tcPr>
            <w:tcW w:type="dxa" w:w="2016"/>
          </w:tcPr>
          <w:p>
            <w:r/>
            <w:r>
              <w:rPr>
                <w:rFonts w:ascii="Calibri" w:hAnsi="Calibri"/>
                <w:sz w:val="18"/>
              </w:rPr>
              <w:t>deg</w:t>
            </w:r>
          </w:p>
        </w:tc>
      </w:tr>
      <w:tr>
        <w:tc>
          <w:tcPr>
            <w:tcW w:type="dxa" w:w="1152"/>
          </w:tcPr>
          <w:p>
            <w:r/>
            <w:r>
              <w:rPr>
                <w:rFonts w:ascii="Cambria Math" w:hAnsi="Cambria Math"/>
                <w:sz w:val="18"/>
              </w:rPr>
              <w:t>S_anti</w:t>
            </w:r>
          </w:p>
        </w:tc>
        <w:tc>
          <w:tcPr>
            <w:tcW w:type="dxa" w:w="5184"/>
          </w:tcPr>
          <w:p>
            <w:r/>
            <w:r>
              <w:rPr>
                <w:rFonts w:ascii="Calibri" w:hAnsi="Calibri"/>
                <w:sz w:val="18"/>
              </w:rPr>
              <w:t>Anti-scalant / additive tracer conc.</w:t>
            </w:r>
          </w:p>
        </w:tc>
        <w:tc>
          <w:tcPr>
            <w:tcW w:type="dxa" w:w="2016"/>
          </w:tcPr>
          <w:p>
            <w:r/>
            <w:r>
              <w:rPr>
                <w:rFonts w:ascii="Calibri" w:hAnsi="Calibri"/>
                <w:sz w:val="18"/>
              </w:rPr>
              <w:t>mg L⁻¹</w:t>
            </w:r>
          </w:p>
        </w:tc>
      </w:tr>
    </w:tbl>
    <w:p>
      <w:pPr>
        <w:pStyle w:val="Heading2"/>
      </w:pPr>
      <w:r>
        <w:t>9.2 Pipe / diffuser geometry &amp; hydraulics</w:t>
      </w:r>
    </w:p>
    <w:tbl>
      <w:tblPr>
        <w:tblStyle w:val="LightGrid-Accent1"/>
        <w:tblW w:type="auto" w:w="0"/>
        <w:jc w:val="center"/>
        <w:tblLook w:firstColumn="1" w:firstRow="1" w:lastColumn="0" w:lastRow="0" w:noHBand="0" w:noVBand="1" w:val="04A0"/>
      </w:tblPr>
      <w:tblGrid>
        <w:gridCol w:w="2880"/>
        <w:gridCol w:w="2880"/>
        <w:gridCol w:w="2880"/>
      </w:tblGrid>
      <w:tr>
        <w:tc>
          <w:tcPr>
            <w:tcW w:type="dxa" w:w="1152"/>
            <w:shd w:val="clear" w:color="auto" w:fill="1F4E79"/>
          </w:tcPr>
          <w:p>
            <w:r/>
            <w:r>
              <w:rPr>
                <w:rFonts w:ascii="Calibri" w:hAnsi="Calibri"/>
                <w:b/>
                <w:color w:val="FFFFFF"/>
                <w:sz w:val="18"/>
              </w:rPr>
              <w:t>Symbol</w:t>
            </w:r>
          </w:p>
        </w:tc>
        <w:tc>
          <w:tcPr>
            <w:tcW w:type="dxa" w:w="5184"/>
            <w:shd w:val="clear" w:color="auto" w:fill="1F4E79"/>
          </w:tcPr>
          <w:p>
            <w:r/>
            <w:r>
              <w:rPr>
                <w:rFonts w:ascii="Calibri" w:hAnsi="Calibri"/>
                <w:b/>
                <w:color w:val="FFFFFF"/>
                <w:sz w:val="18"/>
              </w:rPr>
              <w:t>Parameter</w:t>
            </w:r>
          </w:p>
        </w:tc>
        <w:tc>
          <w:tcPr>
            <w:tcW w:type="dxa" w:w="2016"/>
            <w:shd w:val="clear" w:color="auto" w:fill="1F4E79"/>
          </w:tcPr>
          <w:p>
            <w:r/>
            <w:r>
              <w:rPr>
                <w:rFonts w:ascii="Calibri" w:hAnsi="Calibri"/>
                <w:b/>
                <w:color w:val="FFFFFF"/>
                <w:sz w:val="18"/>
              </w:rPr>
              <w:t>Units</w:t>
            </w:r>
          </w:p>
        </w:tc>
      </w:tr>
      <w:tr>
        <w:tc>
          <w:tcPr>
            <w:tcW w:type="dxa" w:w="1152"/>
          </w:tcPr>
          <w:p>
            <w:r/>
            <w:r>
              <w:rPr>
                <w:rFonts w:ascii="Cambria Math" w:hAnsi="Cambria Math"/>
                <w:sz w:val="18"/>
              </w:rPr>
              <w:t>L_p</w:t>
            </w:r>
          </w:p>
        </w:tc>
        <w:tc>
          <w:tcPr>
            <w:tcW w:type="dxa" w:w="5184"/>
          </w:tcPr>
          <w:p>
            <w:r/>
            <w:r>
              <w:rPr>
                <w:rFonts w:ascii="Calibri" w:hAnsi="Calibri"/>
                <w:sz w:val="18"/>
              </w:rPr>
              <w:t>Pipe length</w:t>
            </w:r>
          </w:p>
        </w:tc>
        <w:tc>
          <w:tcPr>
            <w:tcW w:type="dxa" w:w="2016"/>
          </w:tcPr>
          <w:p>
            <w:r/>
            <w:r>
              <w:rPr>
                <w:rFonts w:ascii="Calibri" w:hAnsi="Calibri"/>
                <w:sz w:val="18"/>
              </w:rPr>
              <w:t>m</w:t>
            </w:r>
          </w:p>
        </w:tc>
      </w:tr>
      <w:tr>
        <w:tc>
          <w:tcPr>
            <w:tcW w:type="dxa" w:w="1152"/>
          </w:tcPr>
          <w:p>
            <w:r/>
            <w:r>
              <w:rPr>
                <w:rFonts w:ascii="Cambria Math" w:hAnsi="Cambria Math"/>
                <w:sz w:val="18"/>
              </w:rPr>
              <w:t>d_p</w:t>
            </w:r>
          </w:p>
        </w:tc>
        <w:tc>
          <w:tcPr>
            <w:tcW w:type="dxa" w:w="5184"/>
          </w:tcPr>
          <w:p>
            <w:r/>
            <w:r>
              <w:rPr>
                <w:rFonts w:ascii="Calibri" w:hAnsi="Calibri"/>
                <w:sz w:val="18"/>
              </w:rPr>
              <w:t>Pipe / port internal diameter</w:t>
            </w:r>
          </w:p>
        </w:tc>
        <w:tc>
          <w:tcPr>
            <w:tcW w:type="dxa" w:w="2016"/>
          </w:tcPr>
          <w:p>
            <w:r/>
            <w:r>
              <w:rPr>
                <w:rFonts w:ascii="Calibri" w:hAnsi="Calibri"/>
                <w:sz w:val="18"/>
              </w:rPr>
              <w:t>m</w:t>
            </w:r>
          </w:p>
        </w:tc>
      </w:tr>
      <w:tr>
        <w:tc>
          <w:tcPr>
            <w:tcW w:type="dxa" w:w="1152"/>
          </w:tcPr>
          <w:p>
            <w:r/>
            <w:r>
              <w:rPr>
                <w:rFonts w:ascii="Cambria Math" w:hAnsi="Cambria Math"/>
                <w:sz w:val="18"/>
              </w:rPr>
              <w:t>ε_r</w:t>
            </w:r>
          </w:p>
        </w:tc>
        <w:tc>
          <w:tcPr>
            <w:tcW w:type="dxa" w:w="5184"/>
          </w:tcPr>
          <w:p>
            <w:r/>
            <w:r>
              <w:rPr>
                <w:rFonts w:ascii="Calibri" w:hAnsi="Calibri"/>
                <w:sz w:val="18"/>
              </w:rPr>
              <w:t>Pipe wall roughness</w:t>
            </w:r>
          </w:p>
        </w:tc>
        <w:tc>
          <w:tcPr>
            <w:tcW w:type="dxa" w:w="2016"/>
          </w:tcPr>
          <w:p>
            <w:r/>
            <w:r>
              <w:rPr>
                <w:rFonts w:ascii="Calibri" w:hAnsi="Calibri"/>
                <w:sz w:val="18"/>
              </w:rPr>
              <w:t>m</w:t>
            </w:r>
          </w:p>
        </w:tc>
      </w:tr>
      <w:tr>
        <w:tc>
          <w:tcPr>
            <w:tcW w:type="dxa" w:w="1152"/>
          </w:tcPr>
          <w:p>
            <w:r/>
            <w:r>
              <w:rPr>
                <w:rFonts w:ascii="Cambria Math" w:hAnsi="Cambria Math"/>
                <w:sz w:val="18"/>
              </w:rPr>
              <w:t>f</w:t>
            </w:r>
          </w:p>
        </w:tc>
        <w:tc>
          <w:tcPr>
            <w:tcW w:type="dxa" w:w="5184"/>
          </w:tcPr>
          <w:p>
            <w:r/>
            <w:r>
              <w:rPr>
                <w:rFonts w:ascii="Calibri" w:hAnsi="Calibri"/>
                <w:sz w:val="18"/>
              </w:rPr>
              <w:t>Darcy friction factor</w:t>
            </w:r>
          </w:p>
        </w:tc>
        <w:tc>
          <w:tcPr>
            <w:tcW w:type="dxa" w:w="2016"/>
          </w:tcPr>
          <w:p>
            <w:r/>
            <w:r>
              <w:rPr>
                <w:rFonts w:ascii="Calibri" w:hAnsi="Calibri"/>
                <w:sz w:val="18"/>
              </w:rPr>
              <w:t>–</w:t>
            </w:r>
          </w:p>
        </w:tc>
      </w:tr>
      <w:tr>
        <w:tc>
          <w:tcPr>
            <w:tcW w:type="dxa" w:w="1152"/>
          </w:tcPr>
          <w:p>
            <w:r/>
            <w:r>
              <w:rPr>
                <w:rFonts w:ascii="Cambria Math" w:hAnsi="Cambria Math"/>
                <w:sz w:val="18"/>
              </w:rPr>
              <w:t>N_port</w:t>
            </w:r>
          </w:p>
        </w:tc>
        <w:tc>
          <w:tcPr>
            <w:tcW w:type="dxa" w:w="5184"/>
          </w:tcPr>
          <w:p>
            <w:r/>
            <w:r>
              <w:rPr>
                <w:rFonts w:ascii="Calibri" w:hAnsi="Calibri"/>
                <w:sz w:val="18"/>
              </w:rPr>
              <w:t>Number of diffuser ports</w:t>
            </w:r>
          </w:p>
        </w:tc>
        <w:tc>
          <w:tcPr>
            <w:tcW w:type="dxa" w:w="2016"/>
          </w:tcPr>
          <w:p>
            <w:r/>
            <w:r>
              <w:rPr>
                <w:rFonts w:ascii="Calibri" w:hAnsi="Calibri"/>
                <w:sz w:val="18"/>
              </w:rPr>
              <w:t>–</w:t>
            </w:r>
          </w:p>
        </w:tc>
      </w:tr>
      <w:tr>
        <w:tc>
          <w:tcPr>
            <w:tcW w:type="dxa" w:w="1152"/>
          </w:tcPr>
          <w:p>
            <w:r/>
            <w:r>
              <w:rPr>
                <w:rFonts w:ascii="Cambria Math" w:hAnsi="Cambria Math"/>
                <w:sz w:val="18"/>
              </w:rPr>
              <w:t>s_port</w:t>
            </w:r>
          </w:p>
        </w:tc>
        <w:tc>
          <w:tcPr>
            <w:tcW w:type="dxa" w:w="5184"/>
          </w:tcPr>
          <w:p>
            <w:r/>
            <w:r>
              <w:rPr>
                <w:rFonts w:ascii="Calibri" w:hAnsi="Calibri"/>
                <w:sz w:val="18"/>
              </w:rPr>
              <w:t>Port spacing</w:t>
            </w:r>
          </w:p>
        </w:tc>
        <w:tc>
          <w:tcPr>
            <w:tcW w:type="dxa" w:w="2016"/>
          </w:tcPr>
          <w:p>
            <w:r/>
            <w:r>
              <w:rPr>
                <w:rFonts w:ascii="Calibri" w:hAnsi="Calibri"/>
                <w:sz w:val="18"/>
              </w:rPr>
              <w:t>m</w:t>
            </w:r>
          </w:p>
        </w:tc>
      </w:tr>
      <w:tr>
        <w:tc>
          <w:tcPr>
            <w:tcW w:type="dxa" w:w="1152"/>
          </w:tcPr>
          <w:p>
            <w:r/>
            <w:r>
              <w:rPr>
                <w:rFonts w:ascii="Cambria Math" w:hAnsi="Cambria Math"/>
                <w:sz w:val="18"/>
              </w:rPr>
              <w:t>h_n</w:t>
            </w:r>
          </w:p>
        </w:tc>
        <w:tc>
          <w:tcPr>
            <w:tcW w:type="dxa" w:w="5184"/>
          </w:tcPr>
          <w:p>
            <w:r/>
            <w:r>
              <w:rPr>
                <w:rFonts w:ascii="Calibri" w:hAnsi="Calibri"/>
                <w:sz w:val="18"/>
              </w:rPr>
              <w:t>Nozzle height above seabed</w:t>
            </w:r>
          </w:p>
        </w:tc>
        <w:tc>
          <w:tcPr>
            <w:tcW w:type="dxa" w:w="2016"/>
          </w:tcPr>
          <w:p>
            <w:r/>
            <w:r>
              <w:rPr>
                <w:rFonts w:ascii="Calibri" w:hAnsi="Calibri"/>
                <w:sz w:val="18"/>
              </w:rPr>
              <w:t>m</w:t>
            </w:r>
          </w:p>
        </w:tc>
      </w:tr>
      <w:tr>
        <w:tc>
          <w:tcPr>
            <w:tcW w:type="dxa" w:w="1152"/>
          </w:tcPr>
          <w:p>
            <w:r/>
            <w:r>
              <w:rPr>
                <w:rFonts w:ascii="Cambria Math" w:hAnsi="Cambria Math"/>
                <w:sz w:val="18"/>
              </w:rPr>
              <w:t>Δz_p</w:t>
            </w:r>
          </w:p>
        </w:tc>
        <w:tc>
          <w:tcPr>
            <w:tcW w:type="dxa" w:w="5184"/>
          </w:tcPr>
          <w:p>
            <w:r/>
            <w:r>
              <w:rPr>
                <w:rFonts w:ascii="Calibri" w:hAnsi="Calibri"/>
                <w:sz w:val="18"/>
              </w:rPr>
              <w:t>Pipe vertical rise</w:t>
            </w:r>
          </w:p>
        </w:tc>
        <w:tc>
          <w:tcPr>
            <w:tcW w:type="dxa" w:w="2016"/>
          </w:tcPr>
          <w:p>
            <w:r/>
            <w:r>
              <w:rPr>
                <w:rFonts w:ascii="Calibri" w:hAnsi="Calibri"/>
                <w:sz w:val="18"/>
              </w:rPr>
              <w:t>m</w:t>
            </w:r>
          </w:p>
        </w:tc>
      </w:tr>
      <w:tr>
        <w:tc>
          <w:tcPr>
            <w:tcW w:type="dxa" w:w="1152"/>
          </w:tcPr>
          <w:p>
            <w:r/>
            <w:r>
              <w:rPr>
                <w:rFonts w:ascii="Cambria Math" w:hAnsi="Cambria Math"/>
                <w:sz w:val="18"/>
              </w:rPr>
              <w:t>K_minor</w:t>
            </w:r>
          </w:p>
        </w:tc>
        <w:tc>
          <w:tcPr>
            <w:tcW w:type="dxa" w:w="5184"/>
          </w:tcPr>
          <w:p>
            <w:r/>
            <w:r>
              <w:rPr>
                <w:rFonts w:ascii="Calibri" w:hAnsi="Calibri"/>
                <w:sz w:val="18"/>
              </w:rPr>
              <w:t>Minor-loss coefficients</w:t>
            </w:r>
          </w:p>
        </w:tc>
        <w:tc>
          <w:tcPr>
            <w:tcW w:type="dxa" w:w="2016"/>
          </w:tcPr>
          <w:p>
            <w:r/>
            <w:r>
              <w:rPr>
                <w:rFonts w:ascii="Calibri" w:hAnsi="Calibri"/>
                <w:sz w:val="18"/>
              </w:rPr>
              <w:t>–</w:t>
            </w:r>
          </w:p>
        </w:tc>
      </w:tr>
    </w:tbl>
    <w:p>
      <w:pPr>
        <w:pStyle w:val="Heading2"/>
      </w:pPr>
      <w:r>
        <w:t>9.3 Ambient sea — physical state</w:t>
      </w:r>
    </w:p>
    <w:tbl>
      <w:tblPr>
        <w:tblStyle w:val="LightGrid-Accent1"/>
        <w:tblW w:type="auto" w:w="0"/>
        <w:jc w:val="center"/>
        <w:tblLook w:firstColumn="1" w:firstRow="1" w:lastColumn="0" w:lastRow="0" w:noHBand="0" w:noVBand="1" w:val="04A0"/>
      </w:tblPr>
      <w:tblGrid>
        <w:gridCol w:w="2880"/>
        <w:gridCol w:w="2880"/>
        <w:gridCol w:w="2880"/>
      </w:tblGrid>
      <w:tr>
        <w:tc>
          <w:tcPr>
            <w:tcW w:type="dxa" w:w="1296"/>
            <w:shd w:val="clear" w:color="auto" w:fill="1F4E79"/>
          </w:tcPr>
          <w:p>
            <w:r/>
            <w:r>
              <w:rPr>
                <w:rFonts w:ascii="Calibri" w:hAnsi="Calibri"/>
                <w:b/>
                <w:color w:val="FFFFFF"/>
                <w:sz w:val="18"/>
              </w:rPr>
              <w:t>Symbol</w:t>
            </w:r>
          </w:p>
        </w:tc>
        <w:tc>
          <w:tcPr>
            <w:tcW w:type="dxa" w:w="5040"/>
            <w:shd w:val="clear" w:color="auto" w:fill="1F4E79"/>
          </w:tcPr>
          <w:p>
            <w:r/>
            <w:r>
              <w:rPr>
                <w:rFonts w:ascii="Calibri" w:hAnsi="Calibri"/>
                <w:b/>
                <w:color w:val="FFFFFF"/>
                <w:sz w:val="18"/>
              </w:rPr>
              <w:t>Parameter</w:t>
            </w:r>
          </w:p>
        </w:tc>
        <w:tc>
          <w:tcPr>
            <w:tcW w:type="dxa" w:w="2016"/>
            <w:shd w:val="clear" w:color="auto" w:fill="1F4E79"/>
          </w:tcPr>
          <w:p>
            <w:r/>
            <w:r>
              <w:rPr>
                <w:rFonts w:ascii="Calibri" w:hAnsi="Calibri"/>
                <w:b/>
                <w:color w:val="FFFFFF"/>
                <w:sz w:val="18"/>
              </w:rPr>
              <w:t>Units</w:t>
            </w:r>
          </w:p>
        </w:tc>
      </w:tr>
      <w:tr>
        <w:tc>
          <w:tcPr>
            <w:tcW w:type="dxa" w:w="1296"/>
          </w:tcPr>
          <w:p>
            <w:r/>
            <w:r>
              <w:rPr>
                <w:rFonts w:ascii="Cambria Math" w:hAnsi="Cambria Math"/>
                <w:sz w:val="18"/>
              </w:rPr>
              <w:t>S_amb(z)</w:t>
            </w:r>
          </w:p>
        </w:tc>
        <w:tc>
          <w:tcPr>
            <w:tcW w:type="dxa" w:w="5040"/>
          </w:tcPr>
          <w:p>
            <w:r/>
            <w:r>
              <w:rPr>
                <w:rFonts w:ascii="Calibri" w:hAnsi="Calibri"/>
                <w:sz w:val="18"/>
              </w:rPr>
              <w:t>Ambient salinity profile</w:t>
            </w:r>
          </w:p>
        </w:tc>
        <w:tc>
          <w:tcPr>
            <w:tcW w:type="dxa" w:w="2016"/>
          </w:tcPr>
          <w:p>
            <w:r/>
            <w:r>
              <w:rPr>
                <w:rFonts w:ascii="Calibri" w:hAnsi="Calibri"/>
                <w:sz w:val="18"/>
              </w:rPr>
              <w:t>g kg⁻¹</w:t>
            </w:r>
          </w:p>
        </w:tc>
      </w:tr>
      <w:tr>
        <w:tc>
          <w:tcPr>
            <w:tcW w:type="dxa" w:w="1296"/>
          </w:tcPr>
          <w:p>
            <w:r/>
            <w:r>
              <w:rPr>
                <w:rFonts w:ascii="Cambria Math" w:hAnsi="Cambria Math"/>
                <w:sz w:val="18"/>
              </w:rPr>
              <w:t>T_amb(z)</w:t>
            </w:r>
          </w:p>
        </w:tc>
        <w:tc>
          <w:tcPr>
            <w:tcW w:type="dxa" w:w="5040"/>
          </w:tcPr>
          <w:p>
            <w:r/>
            <w:r>
              <w:rPr>
                <w:rFonts w:ascii="Calibri" w:hAnsi="Calibri"/>
                <w:sz w:val="18"/>
              </w:rPr>
              <w:t>Ambient temperature profile</w:t>
            </w:r>
          </w:p>
        </w:tc>
        <w:tc>
          <w:tcPr>
            <w:tcW w:type="dxa" w:w="2016"/>
          </w:tcPr>
          <w:p>
            <w:r/>
            <w:r>
              <w:rPr>
                <w:rFonts w:ascii="Calibri" w:hAnsi="Calibri"/>
                <w:sz w:val="18"/>
              </w:rPr>
              <w:t>°C</w:t>
            </w:r>
          </w:p>
        </w:tc>
      </w:tr>
      <w:tr>
        <w:tc>
          <w:tcPr>
            <w:tcW w:type="dxa" w:w="1296"/>
          </w:tcPr>
          <w:p>
            <w:r/>
            <w:r>
              <w:rPr>
                <w:rFonts w:ascii="Cambria Math" w:hAnsi="Cambria Math"/>
                <w:sz w:val="18"/>
              </w:rPr>
              <w:t>ρ_amb(z)</w:t>
            </w:r>
          </w:p>
        </w:tc>
        <w:tc>
          <w:tcPr>
            <w:tcW w:type="dxa" w:w="5040"/>
          </w:tcPr>
          <w:p>
            <w:r/>
            <w:r>
              <w:rPr>
                <w:rFonts w:ascii="Calibri" w:hAnsi="Calibri"/>
                <w:sz w:val="18"/>
              </w:rPr>
              <w:t>Ambient density (stratification)</w:t>
            </w:r>
          </w:p>
        </w:tc>
        <w:tc>
          <w:tcPr>
            <w:tcW w:type="dxa" w:w="2016"/>
          </w:tcPr>
          <w:p>
            <w:r/>
            <w:r>
              <w:rPr>
                <w:rFonts w:ascii="Calibri" w:hAnsi="Calibri"/>
                <w:sz w:val="18"/>
              </w:rPr>
              <w:t>kg m⁻³</w:t>
            </w:r>
          </w:p>
        </w:tc>
      </w:tr>
      <w:tr>
        <w:tc>
          <w:tcPr>
            <w:tcW w:type="dxa" w:w="1296"/>
          </w:tcPr>
          <w:p>
            <w:r/>
            <w:r>
              <w:rPr>
                <w:rFonts w:ascii="Cambria Math" w:hAnsi="Cambria Math"/>
                <w:sz w:val="18"/>
              </w:rPr>
              <w:t>p(z)</w:t>
            </w:r>
          </w:p>
        </w:tc>
        <w:tc>
          <w:tcPr>
            <w:tcW w:type="dxa" w:w="5040"/>
          </w:tcPr>
          <w:p>
            <w:r/>
            <w:r>
              <w:rPr>
                <w:rFonts w:ascii="Calibri" w:hAnsi="Calibri"/>
                <w:sz w:val="18"/>
              </w:rPr>
              <w:t>Hydrostatic + dynamic pressure</w:t>
            </w:r>
          </w:p>
        </w:tc>
        <w:tc>
          <w:tcPr>
            <w:tcW w:type="dxa" w:w="2016"/>
          </w:tcPr>
          <w:p>
            <w:r/>
            <w:r>
              <w:rPr>
                <w:rFonts w:ascii="Calibri" w:hAnsi="Calibri"/>
                <w:sz w:val="18"/>
              </w:rPr>
              <w:t>Pa</w:t>
            </w:r>
          </w:p>
        </w:tc>
      </w:tr>
      <w:tr>
        <w:tc>
          <w:tcPr>
            <w:tcW w:type="dxa" w:w="1296"/>
          </w:tcPr>
          <w:p>
            <w:r/>
            <w:r>
              <w:rPr>
                <w:rFonts w:ascii="Cambria Math" w:hAnsi="Cambria Math"/>
                <w:sz w:val="18"/>
              </w:rPr>
              <w:t>N²</w:t>
            </w:r>
          </w:p>
        </w:tc>
        <w:tc>
          <w:tcPr>
            <w:tcW w:type="dxa" w:w="5040"/>
          </w:tcPr>
          <w:p>
            <w:r/>
            <w:r>
              <w:rPr>
                <w:rFonts w:ascii="Calibri" w:hAnsi="Calibri"/>
                <w:sz w:val="18"/>
              </w:rPr>
              <w:t>Brunt–Väisälä (stratification) frequency</w:t>
            </w:r>
          </w:p>
        </w:tc>
        <w:tc>
          <w:tcPr>
            <w:tcW w:type="dxa" w:w="2016"/>
          </w:tcPr>
          <w:p>
            <w:r/>
            <w:r>
              <w:rPr>
                <w:rFonts w:ascii="Calibri" w:hAnsi="Calibri"/>
                <w:sz w:val="18"/>
              </w:rPr>
              <w:t>s⁻²</w:t>
            </w:r>
          </w:p>
        </w:tc>
      </w:tr>
      <w:tr>
        <w:tc>
          <w:tcPr>
            <w:tcW w:type="dxa" w:w="1296"/>
          </w:tcPr>
          <w:p>
            <w:r/>
            <w:r>
              <w:rPr>
                <w:rFonts w:ascii="Cambria Math" w:hAnsi="Cambria Math"/>
                <w:sz w:val="18"/>
              </w:rPr>
              <w:t>c_p</w:t>
            </w:r>
          </w:p>
        </w:tc>
        <w:tc>
          <w:tcPr>
            <w:tcW w:type="dxa" w:w="5040"/>
          </w:tcPr>
          <w:p>
            <w:r/>
            <w:r>
              <w:rPr>
                <w:rFonts w:ascii="Calibri" w:hAnsi="Calibri"/>
                <w:sz w:val="18"/>
              </w:rPr>
              <w:t>Specific heat capacity of seawater</w:t>
            </w:r>
          </w:p>
        </w:tc>
        <w:tc>
          <w:tcPr>
            <w:tcW w:type="dxa" w:w="2016"/>
          </w:tcPr>
          <w:p>
            <w:r/>
            <w:r>
              <w:rPr>
                <w:rFonts w:ascii="Calibri" w:hAnsi="Calibri"/>
                <w:sz w:val="18"/>
              </w:rPr>
              <w:t>J kg⁻¹ K⁻¹</w:t>
            </w:r>
          </w:p>
        </w:tc>
      </w:tr>
      <w:tr>
        <w:tc>
          <w:tcPr>
            <w:tcW w:type="dxa" w:w="1296"/>
          </w:tcPr>
          <w:p>
            <w:r/>
            <w:r>
              <w:rPr>
                <w:rFonts w:ascii="Cambria Math" w:hAnsi="Cambria Math"/>
                <w:sz w:val="18"/>
              </w:rPr>
              <w:t>μ</w:t>
            </w:r>
          </w:p>
        </w:tc>
        <w:tc>
          <w:tcPr>
            <w:tcW w:type="dxa" w:w="5040"/>
          </w:tcPr>
          <w:p>
            <w:r/>
            <w:r>
              <w:rPr>
                <w:rFonts w:ascii="Calibri" w:hAnsi="Calibri"/>
                <w:sz w:val="18"/>
              </w:rPr>
              <w:t>Dynamic viscosity</w:t>
            </w:r>
          </w:p>
        </w:tc>
        <w:tc>
          <w:tcPr>
            <w:tcW w:type="dxa" w:w="2016"/>
          </w:tcPr>
          <w:p>
            <w:r/>
            <w:r>
              <w:rPr>
                <w:rFonts w:ascii="Calibri" w:hAnsi="Calibri"/>
                <w:sz w:val="18"/>
              </w:rPr>
              <w:t>Pa s</w:t>
            </w:r>
          </w:p>
        </w:tc>
      </w:tr>
      <w:tr>
        <w:tc>
          <w:tcPr>
            <w:tcW w:type="dxa" w:w="1296"/>
          </w:tcPr>
          <w:p>
            <w:r/>
            <w:r>
              <w:rPr>
                <w:rFonts w:ascii="Cambria Math" w:hAnsi="Cambria Math"/>
                <w:sz w:val="18"/>
              </w:rPr>
              <w:t>D_mol</w:t>
            </w:r>
          </w:p>
        </w:tc>
        <w:tc>
          <w:tcPr>
            <w:tcW w:type="dxa" w:w="5040"/>
          </w:tcPr>
          <w:p>
            <w:r/>
            <w:r>
              <w:rPr>
                <w:rFonts w:ascii="Calibri" w:hAnsi="Calibri"/>
                <w:sz w:val="18"/>
              </w:rPr>
              <w:t>Molecular salt diffusivity</w:t>
            </w:r>
          </w:p>
        </w:tc>
        <w:tc>
          <w:tcPr>
            <w:tcW w:type="dxa" w:w="2016"/>
          </w:tcPr>
          <w:p>
            <w:r/>
            <w:r>
              <w:rPr>
                <w:rFonts w:ascii="Calibri" w:hAnsi="Calibri"/>
                <w:sz w:val="18"/>
              </w:rPr>
              <w:t>m² s⁻¹</w:t>
            </w:r>
          </w:p>
        </w:tc>
      </w:tr>
    </w:tbl>
    <w:p>
      <w:pPr>
        <w:pStyle w:val="Heading2"/>
      </w:pPr>
      <w:r>
        <w:t>9.4 Ambient sea — dynamics (the moving sea)</w:t>
      </w:r>
    </w:p>
    <w:tbl>
      <w:tblPr>
        <w:tblStyle w:val="LightGrid-Accent1"/>
        <w:tblW w:type="auto" w:w="0"/>
        <w:jc w:val="center"/>
        <w:tblLook w:firstColumn="1" w:firstRow="1" w:lastColumn="0" w:lastRow="0" w:noHBand="0" w:noVBand="1" w:val="04A0"/>
      </w:tblPr>
      <w:tblGrid>
        <w:gridCol w:w="2880"/>
        <w:gridCol w:w="2880"/>
        <w:gridCol w:w="2880"/>
      </w:tblGrid>
      <w:tr>
        <w:tc>
          <w:tcPr>
            <w:tcW w:type="dxa" w:w="1728"/>
            <w:shd w:val="clear" w:color="auto" w:fill="1F4E79"/>
          </w:tcPr>
          <w:p>
            <w:r/>
            <w:r>
              <w:rPr>
                <w:rFonts w:ascii="Calibri" w:hAnsi="Calibri"/>
                <w:b/>
                <w:color w:val="FFFFFF"/>
                <w:sz w:val="18"/>
              </w:rPr>
              <w:t>Symbol</w:t>
            </w:r>
          </w:p>
        </w:tc>
        <w:tc>
          <w:tcPr>
            <w:tcW w:type="dxa" w:w="4752"/>
            <w:shd w:val="clear" w:color="auto" w:fill="1F4E79"/>
          </w:tcPr>
          <w:p>
            <w:r/>
            <w:r>
              <w:rPr>
                <w:rFonts w:ascii="Calibri" w:hAnsi="Calibri"/>
                <w:b/>
                <w:color w:val="FFFFFF"/>
                <w:sz w:val="18"/>
              </w:rPr>
              <w:t>Parameter</w:t>
            </w:r>
          </w:p>
        </w:tc>
        <w:tc>
          <w:tcPr>
            <w:tcW w:type="dxa" w:w="1872"/>
            <w:shd w:val="clear" w:color="auto" w:fill="1F4E79"/>
          </w:tcPr>
          <w:p>
            <w:r/>
            <w:r>
              <w:rPr>
                <w:rFonts w:ascii="Calibri" w:hAnsi="Calibri"/>
                <w:b/>
                <w:color w:val="FFFFFF"/>
                <w:sz w:val="18"/>
              </w:rPr>
              <w:t>Units</w:t>
            </w:r>
          </w:p>
        </w:tc>
      </w:tr>
      <w:tr>
        <w:tc>
          <w:tcPr>
            <w:tcW w:type="dxa" w:w="1728"/>
          </w:tcPr>
          <w:p>
            <w:r/>
            <w:r>
              <w:rPr>
                <w:rFonts w:ascii="Cambria Math" w:hAnsi="Cambria Math"/>
                <w:sz w:val="18"/>
              </w:rPr>
              <w:t>U_current(z,t)</w:t>
            </w:r>
          </w:p>
        </w:tc>
        <w:tc>
          <w:tcPr>
            <w:tcW w:type="dxa" w:w="4752"/>
          </w:tcPr>
          <w:p>
            <w:r/>
            <w:r>
              <w:rPr>
                <w:rFonts w:ascii="Calibri" w:hAnsi="Calibri"/>
                <w:sz w:val="18"/>
              </w:rPr>
              <w:t>Ocean current profile (magnitude &amp; direction)</w:t>
            </w:r>
          </w:p>
        </w:tc>
        <w:tc>
          <w:tcPr>
            <w:tcW w:type="dxa" w:w="1872"/>
          </w:tcPr>
          <w:p>
            <w:r/>
            <w:r>
              <w:rPr>
                <w:rFonts w:ascii="Calibri" w:hAnsi="Calibri"/>
                <w:sz w:val="18"/>
              </w:rPr>
              <w:t>m s⁻¹</w:t>
            </w:r>
          </w:p>
        </w:tc>
      </w:tr>
      <w:tr>
        <w:tc>
          <w:tcPr>
            <w:tcW w:type="dxa" w:w="1728"/>
          </w:tcPr>
          <w:p>
            <w:r/>
            <w:r>
              <w:rPr>
                <w:rFonts w:ascii="Cambria Math" w:hAnsi="Cambria Math"/>
                <w:sz w:val="18"/>
              </w:rPr>
              <w:t>A_j, ω_j, φ_j</w:t>
            </w:r>
          </w:p>
        </w:tc>
        <w:tc>
          <w:tcPr>
            <w:tcW w:type="dxa" w:w="4752"/>
          </w:tcPr>
          <w:p>
            <w:r/>
            <w:r>
              <w:rPr>
                <w:rFonts w:ascii="Calibri" w:hAnsi="Calibri"/>
                <w:sz w:val="18"/>
              </w:rPr>
              <w:t>Tidal constituents (amp., freq., phase)</w:t>
            </w:r>
          </w:p>
        </w:tc>
        <w:tc>
          <w:tcPr>
            <w:tcW w:type="dxa" w:w="1872"/>
          </w:tcPr>
          <w:p>
            <w:r/>
            <w:r>
              <w:rPr>
                <w:rFonts w:ascii="Calibri" w:hAnsi="Calibri"/>
                <w:sz w:val="18"/>
              </w:rPr>
              <w:t>m, s⁻¹, rad</w:t>
            </w:r>
          </w:p>
        </w:tc>
      </w:tr>
      <w:tr>
        <w:tc>
          <w:tcPr>
            <w:tcW w:type="dxa" w:w="1728"/>
          </w:tcPr>
          <w:p>
            <w:r/>
            <w:r>
              <w:rPr>
                <w:rFonts w:ascii="Cambria Math" w:hAnsi="Cambria Math"/>
                <w:sz w:val="18"/>
              </w:rPr>
              <w:t>H_s, T_w, ê_w</w:t>
            </w:r>
          </w:p>
        </w:tc>
        <w:tc>
          <w:tcPr>
            <w:tcW w:type="dxa" w:w="4752"/>
          </w:tcPr>
          <w:p>
            <w:r/>
            <w:r>
              <w:rPr>
                <w:rFonts w:ascii="Calibri" w:hAnsi="Calibri"/>
                <w:sz w:val="18"/>
              </w:rPr>
              <w:t>Significant wave height, period, direction</w:t>
            </w:r>
          </w:p>
        </w:tc>
        <w:tc>
          <w:tcPr>
            <w:tcW w:type="dxa" w:w="1872"/>
          </w:tcPr>
          <w:p>
            <w:r/>
            <w:r>
              <w:rPr>
                <w:rFonts w:ascii="Calibri" w:hAnsi="Calibri"/>
                <w:sz w:val="18"/>
              </w:rPr>
              <w:t>m, s, –</w:t>
            </w:r>
          </w:p>
        </w:tc>
      </w:tr>
      <w:tr>
        <w:tc>
          <w:tcPr>
            <w:tcW w:type="dxa" w:w="1728"/>
          </w:tcPr>
          <w:p>
            <w:r/>
            <w:r>
              <w:rPr>
                <w:rFonts w:ascii="Cambria Math" w:hAnsi="Cambria Math"/>
                <w:sz w:val="18"/>
              </w:rPr>
              <w:t>u_St</w:t>
            </w:r>
          </w:p>
        </w:tc>
        <w:tc>
          <w:tcPr>
            <w:tcW w:type="dxa" w:w="4752"/>
          </w:tcPr>
          <w:p>
            <w:r/>
            <w:r>
              <w:rPr>
                <w:rFonts w:ascii="Calibri" w:hAnsi="Calibri"/>
                <w:sz w:val="18"/>
              </w:rPr>
              <w:t>Stokes drift (wave-induced)</w:t>
            </w:r>
          </w:p>
        </w:tc>
        <w:tc>
          <w:tcPr>
            <w:tcW w:type="dxa" w:w="1872"/>
          </w:tcPr>
          <w:p>
            <w:r/>
            <w:r>
              <w:rPr>
                <w:rFonts w:ascii="Calibri" w:hAnsi="Calibri"/>
                <w:sz w:val="18"/>
              </w:rPr>
              <w:t>m s⁻¹</w:t>
            </w:r>
          </w:p>
        </w:tc>
      </w:tr>
      <w:tr>
        <w:tc>
          <w:tcPr>
            <w:tcW w:type="dxa" w:w="1728"/>
          </w:tcPr>
          <w:p>
            <w:r/>
            <w:r>
              <w:rPr>
                <w:rFonts w:ascii="Cambria Math" w:hAnsi="Cambria Math"/>
                <w:sz w:val="18"/>
              </w:rPr>
              <w:t>ω = ∇×u</w:t>
            </w:r>
          </w:p>
        </w:tc>
        <w:tc>
          <w:tcPr>
            <w:tcW w:type="dxa" w:w="4752"/>
          </w:tcPr>
          <w:p>
            <w:r/>
            <w:r>
              <w:rPr>
                <w:rFonts w:ascii="Calibri" w:hAnsi="Calibri"/>
                <w:sz w:val="18"/>
              </w:rPr>
              <w:t>Vorticity / vortex field</w:t>
            </w:r>
          </w:p>
        </w:tc>
        <w:tc>
          <w:tcPr>
            <w:tcW w:type="dxa" w:w="1872"/>
          </w:tcPr>
          <w:p>
            <w:r/>
            <w:r>
              <w:rPr>
                <w:rFonts w:ascii="Calibri" w:hAnsi="Calibri"/>
                <w:sz w:val="18"/>
              </w:rPr>
              <w:t>s⁻¹</w:t>
            </w:r>
          </w:p>
        </w:tc>
      </w:tr>
      <w:tr>
        <w:tc>
          <w:tcPr>
            <w:tcW w:type="dxa" w:w="1728"/>
          </w:tcPr>
          <w:p>
            <w:r/>
            <w:r>
              <w:rPr>
                <w:rFonts w:ascii="Cambria Math" w:hAnsi="Cambria Math"/>
                <w:sz w:val="18"/>
              </w:rPr>
              <w:t>φ_lat</w:t>
            </w:r>
          </w:p>
        </w:tc>
        <w:tc>
          <w:tcPr>
            <w:tcW w:type="dxa" w:w="4752"/>
          </w:tcPr>
          <w:p>
            <w:r/>
            <w:r>
              <w:rPr>
                <w:rFonts w:ascii="Calibri" w:hAnsi="Calibri"/>
                <w:sz w:val="18"/>
              </w:rPr>
              <w:t>Latitude (Coriolis parameter f)</w:t>
            </w:r>
          </w:p>
        </w:tc>
        <w:tc>
          <w:tcPr>
            <w:tcW w:type="dxa" w:w="1872"/>
          </w:tcPr>
          <w:p>
            <w:r/>
            <w:r>
              <w:rPr>
                <w:rFonts w:ascii="Calibri" w:hAnsi="Calibri"/>
                <w:sz w:val="18"/>
              </w:rPr>
              <w:t>deg</w:t>
            </w:r>
          </w:p>
        </w:tc>
      </w:tr>
      <w:tr>
        <w:tc>
          <w:tcPr>
            <w:tcW w:type="dxa" w:w="1728"/>
          </w:tcPr>
          <w:p>
            <w:r/>
            <w:r>
              <w:rPr>
                <w:rFonts w:ascii="Cambria Math" w:hAnsi="Cambria Math"/>
                <w:sz w:val="18"/>
              </w:rPr>
              <w:t>τ_m, σ_m, ℓ_m</w:t>
            </w:r>
          </w:p>
        </w:tc>
        <w:tc>
          <w:tcPr>
            <w:tcW w:type="dxa" w:w="4752"/>
          </w:tcPr>
          <w:p>
            <w:r/>
            <w:r>
              <w:rPr>
                <w:rFonts w:ascii="Calibri" w:hAnsi="Calibri"/>
                <w:sz w:val="18"/>
              </w:rPr>
              <w:t>Stochastic de-correlation time, intensity, length</w:t>
            </w:r>
          </w:p>
        </w:tc>
        <w:tc>
          <w:tcPr>
            <w:tcW w:type="dxa" w:w="1872"/>
          </w:tcPr>
          <w:p>
            <w:r/>
            <w:r>
              <w:rPr>
                <w:rFonts w:ascii="Calibri" w:hAnsi="Calibri"/>
                <w:sz w:val="18"/>
              </w:rPr>
              <w:t>s, –, m</w:t>
            </w:r>
          </w:p>
        </w:tc>
      </w:tr>
    </w:tbl>
    <w:p>
      <w:pPr>
        <w:pStyle w:val="Heading2"/>
      </w:pPr>
      <w:r>
        <w:t>9.5 Atmosphere / air–sea interface</w:t>
      </w:r>
    </w:p>
    <w:tbl>
      <w:tblPr>
        <w:tblStyle w:val="LightGrid-Accent1"/>
        <w:tblW w:type="auto" w:w="0"/>
        <w:jc w:val="center"/>
        <w:tblLook w:firstColumn="1" w:firstRow="1" w:lastColumn="0" w:lastRow="0" w:noHBand="0" w:noVBand="1" w:val="04A0"/>
      </w:tblPr>
      <w:tblGrid>
        <w:gridCol w:w="2880"/>
        <w:gridCol w:w="2880"/>
        <w:gridCol w:w="2880"/>
      </w:tblGrid>
      <w:tr>
        <w:tc>
          <w:tcPr>
            <w:tcW w:type="dxa" w:w="1296"/>
            <w:shd w:val="clear" w:color="auto" w:fill="1F4E79"/>
          </w:tcPr>
          <w:p>
            <w:r/>
            <w:r>
              <w:rPr>
                <w:rFonts w:ascii="Calibri" w:hAnsi="Calibri"/>
                <w:b/>
                <w:color w:val="FFFFFF"/>
                <w:sz w:val="18"/>
              </w:rPr>
              <w:t>Symbol</w:t>
            </w:r>
          </w:p>
        </w:tc>
        <w:tc>
          <w:tcPr>
            <w:tcW w:type="dxa" w:w="5040"/>
            <w:shd w:val="clear" w:color="auto" w:fill="1F4E79"/>
          </w:tcPr>
          <w:p>
            <w:r/>
            <w:r>
              <w:rPr>
                <w:rFonts w:ascii="Calibri" w:hAnsi="Calibri"/>
                <w:b/>
                <w:color w:val="FFFFFF"/>
                <w:sz w:val="18"/>
              </w:rPr>
              <w:t>Parameter</w:t>
            </w:r>
          </w:p>
        </w:tc>
        <w:tc>
          <w:tcPr>
            <w:tcW w:type="dxa" w:w="2016"/>
            <w:shd w:val="clear" w:color="auto" w:fill="1F4E79"/>
          </w:tcPr>
          <w:p>
            <w:r/>
            <w:r>
              <w:rPr>
                <w:rFonts w:ascii="Calibri" w:hAnsi="Calibri"/>
                <w:b/>
                <w:color w:val="FFFFFF"/>
                <w:sz w:val="18"/>
              </w:rPr>
              <w:t>Units</w:t>
            </w:r>
          </w:p>
        </w:tc>
      </w:tr>
      <w:tr>
        <w:tc>
          <w:tcPr>
            <w:tcW w:type="dxa" w:w="1296"/>
          </w:tcPr>
          <w:p>
            <w:r/>
            <w:r>
              <w:rPr>
                <w:rFonts w:ascii="Cambria Math" w:hAnsi="Cambria Math"/>
                <w:sz w:val="18"/>
              </w:rPr>
              <w:t>U₁₀</w:t>
            </w:r>
          </w:p>
        </w:tc>
        <w:tc>
          <w:tcPr>
            <w:tcW w:type="dxa" w:w="5040"/>
          </w:tcPr>
          <w:p>
            <w:r/>
            <w:r>
              <w:rPr>
                <w:rFonts w:ascii="Calibri" w:hAnsi="Calibri"/>
                <w:sz w:val="18"/>
              </w:rPr>
              <w:t>Wind velocity at 10 m (air velocity)</w:t>
            </w:r>
          </w:p>
        </w:tc>
        <w:tc>
          <w:tcPr>
            <w:tcW w:type="dxa" w:w="2016"/>
          </w:tcPr>
          <w:p>
            <w:r/>
            <w:r>
              <w:rPr>
                <w:rFonts w:ascii="Calibri" w:hAnsi="Calibri"/>
                <w:sz w:val="18"/>
              </w:rPr>
              <w:t>m s⁻¹</w:t>
            </w:r>
          </w:p>
        </w:tc>
      </w:tr>
      <w:tr>
        <w:tc>
          <w:tcPr>
            <w:tcW w:type="dxa" w:w="1296"/>
          </w:tcPr>
          <w:p>
            <w:r/>
            <w:r>
              <w:rPr>
                <w:rFonts w:ascii="Cambria Math" w:hAnsi="Cambria Math"/>
                <w:sz w:val="18"/>
              </w:rPr>
              <w:t>C_d</w:t>
            </w:r>
          </w:p>
        </w:tc>
        <w:tc>
          <w:tcPr>
            <w:tcW w:type="dxa" w:w="5040"/>
          </w:tcPr>
          <w:p>
            <w:r/>
            <w:r>
              <w:rPr>
                <w:rFonts w:ascii="Calibri" w:hAnsi="Calibri"/>
                <w:sz w:val="18"/>
              </w:rPr>
              <w:t>Air–sea drag coefficient</w:t>
            </w:r>
          </w:p>
        </w:tc>
        <w:tc>
          <w:tcPr>
            <w:tcW w:type="dxa" w:w="2016"/>
          </w:tcPr>
          <w:p>
            <w:r/>
            <w:r>
              <w:rPr>
                <w:rFonts w:ascii="Calibri" w:hAnsi="Calibri"/>
                <w:sz w:val="18"/>
              </w:rPr>
              <w:t>–</w:t>
            </w:r>
          </w:p>
        </w:tc>
      </w:tr>
      <w:tr>
        <w:tc>
          <w:tcPr>
            <w:tcW w:type="dxa" w:w="1296"/>
          </w:tcPr>
          <w:p>
            <w:r/>
            <w:r>
              <w:rPr>
                <w:rFonts w:ascii="Cambria Math" w:hAnsi="Cambria Math"/>
                <w:sz w:val="18"/>
              </w:rPr>
              <w:t>ρ_a</w:t>
            </w:r>
          </w:p>
        </w:tc>
        <w:tc>
          <w:tcPr>
            <w:tcW w:type="dxa" w:w="5040"/>
          </w:tcPr>
          <w:p>
            <w:r/>
            <w:r>
              <w:rPr>
                <w:rFonts w:ascii="Calibri" w:hAnsi="Calibri"/>
                <w:sz w:val="18"/>
              </w:rPr>
              <w:t>Air density</w:t>
            </w:r>
          </w:p>
        </w:tc>
        <w:tc>
          <w:tcPr>
            <w:tcW w:type="dxa" w:w="2016"/>
          </w:tcPr>
          <w:p>
            <w:r/>
            <w:r>
              <w:rPr>
                <w:rFonts w:ascii="Calibri" w:hAnsi="Calibri"/>
                <w:sz w:val="18"/>
              </w:rPr>
              <w:t>kg m⁻³</w:t>
            </w:r>
          </w:p>
        </w:tc>
      </w:tr>
      <w:tr>
        <w:tc>
          <w:tcPr>
            <w:tcW w:type="dxa" w:w="1296"/>
          </w:tcPr>
          <w:p>
            <w:r/>
            <w:r>
              <w:rPr>
                <w:rFonts w:ascii="Cambria Math" w:hAnsi="Cambria Math"/>
                <w:sz w:val="18"/>
              </w:rPr>
              <w:t>E, P</w:t>
            </w:r>
          </w:p>
        </w:tc>
        <w:tc>
          <w:tcPr>
            <w:tcW w:type="dxa" w:w="5040"/>
          </w:tcPr>
          <w:p>
            <w:r/>
            <w:r>
              <w:rPr>
                <w:rFonts w:ascii="Calibri" w:hAnsi="Calibri"/>
                <w:sz w:val="18"/>
              </w:rPr>
              <w:t>Evaporation, precipitation rates</w:t>
            </w:r>
          </w:p>
        </w:tc>
        <w:tc>
          <w:tcPr>
            <w:tcW w:type="dxa" w:w="2016"/>
          </w:tcPr>
          <w:p>
            <w:r/>
            <w:r>
              <w:rPr>
                <w:rFonts w:ascii="Calibri" w:hAnsi="Calibri"/>
                <w:sz w:val="18"/>
              </w:rPr>
              <w:t>m s⁻¹</w:t>
            </w:r>
          </w:p>
        </w:tc>
      </w:tr>
      <w:tr>
        <w:tc>
          <w:tcPr>
            <w:tcW w:type="dxa" w:w="1296"/>
          </w:tcPr>
          <w:p>
            <w:r/>
            <w:r>
              <w:rPr>
                <w:rFonts w:ascii="Cambria Math" w:hAnsi="Cambria Math"/>
                <w:sz w:val="18"/>
              </w:rPr>
              <w:t>Q_rad</w:t>
            </w:r>
          </w:p>
        </w:tc>
        <w:tc>
          <w:tcPr>
            <w:tcW w:type="dxa" w:w="5040"/>
          </w:tcPr>
          <w:p>
            <w:r/>
            <w:r>
              <w:rPr>
                <w:rFonts w:ascii="Calibri" w:hAnsi="Calibri"/>
                <w:sz w:val="18"/>
              </w:rPr>
              <w:t>Net radiative heat flux</w:t>
            </w:r>
          </w:p>
        </w:tc>
        <w:tc>
          <w:tcPr>
            <w:tcW w:type="dxa" w:w="2016"/>
          </w:tcPr>
          <w:p>
            <w:r/>
            <w:r>
              <w:rPr>
                <w:rFonts w:ascii="Calibri" w:hAnsi="Calibri"/>
                <w:sz w:val="18"/>
              </w:rPr>
              <w:t>W m⁻²</w:t>
            </w:r>
          </w:p>
        </w:tc>
      </w:tr>
      <w:tr>
        <w:tc>
          <w:tcPr>
            <w:tcW w:type="dxa" w:w="1296"/>
          </w:tcPr>
          <w:p>
            <w:r/>
            <w:r>
              <w:rPr>
                <w:rFonts w:ascii="Cambria Math" w:hAnsi="Cambria Math"/>
                <w:sz w:val="18"/>
              </w:rPr>
              <w:t>T_air</w:t>
            </w:r>
          </w:p>
        </w:tc>
        <w:tc>
          <w:tcPr>
            <w:tcW w:type="dxa" w:w="5040"/>
          </w:tcPr>
          <w:p>
            <w:r/>
            <w:r>
              <w:rPr>
                <w:rFonts w:ascii="Calibri" w:hAnsi="Calibri"/>
                <w:sz w:val="18"/>
              </w:rPr>
              <w:t>Air temperature</w:t>
            </w:r>
          </w:p>
        </w:tc>
        <w:tc>
          <w:tcPr>
            <w:tcW w:type="dxa" w:w="2016"/>
          </w:tcPr>
          <w:p>
            <w:r/>
            <w:r>
              <w:rPr>
                <w:rFonts w:ascii="Calibri" w:hAnsi="Calibri"/>
                <w:sz w:val="18"/>
              </w:rPr>
              <w:t>°C</w:t>
            </w:r>
          </w:p>
        </w:tc>
      </w:tr>
    </w:tbl>
    <w:p>
      <w:pPr>
        <w:pStyle w:val="Heading2"/>
      </w:pPr>
      <w:r>
        <w:t>9.6 Bathymetry, terrain &amp; domain</w:t>
      </w:r>
    </w:p>
    <w:tbl>
      <w:tblPr>
        <w:tblStyle w:val="LightGrid-Accent1"/>
        <w:tblW w:type="auto" w:w="0"/>
        <w:jc w:val="center"/>
        <w:tblLook w:firstColumn="1" w:firstRow="1" w:lastColumn="0" w:lastRow="0" w:noHBand="0" w:noVBand="1" w:val="04A0"/>
      </w:tblPr>
      <w:tblGrid>
        <w:gridCol w:w="2880"/>
        <w:gridCol w:w="2880"/>
        <w:gridCol w:w="2880"/>
      </w:tblGrid>
      <w:tr>
        <w:tc>
          <w:tcPr>
            <w:tcW w:type="dxa" w:w="1296"/>
            <w:shd w:val="clear" w:color="auto" w:fill="1F4E79"/>
          </w:tcPr>
          <w:p>
            <w:r/>
            <w:r>
              <w:rPr>
                <w:rFonts w:ascii="Calibri" w:hAnsi="Calibri"/>
                <w:b/>
                <w:color w:val="FFFFFF"/>
                <w:sz w:val="18"/>
              </w:rPr>
              <w:t>Symbol</w:t>
            </w:r>
          </w:p>
        </w:tc>
        <w:tc>
          <w:tcPr>
            <w:tcW w:type="dxa" w:w="5040"/>
            <w:shd w:val="clear" w:color="auto" w:fill="1F4E79"/>
          </w:tcPr>
          <w:p>
            <w:r/>
            <w:r>
              <w:rPr>
                <w:rFonts w:ascii="Calibri" w:hAnsi="Calibri"/>
                <w:b/>
                <w:color w:val="FFFFFF"/>
                <w:sz w:val="18"/>
              </w:rPr>
              <w:t>Parameter</w:t>
            </w:r>
          </w:p>
        </w:tc>
        <w:tc>
          <w:tcPr>
            <w:tcW w:type="dxa" w:w="2016"/>
            <w:shd w:val="clear" w:color="auto" w:fill="1F4E79"/>
          </w:tcPr>
          <w:p>
            <w:r/>
            <w:r>
              <w:rPr>
                <w:rFonts w:ascii="Calibri" w:hAnsi="Calibri"/>
                <w:b/>
                <w:color w:val="FFFFFF"/>
                <w:sz w:val="18"/>
              </w:rPr>
              <w:t>Units</w:t>
            </w:r>
          </w:p>
        </w:tc>
      </w:tr>
      <w:tr>
        <w:tc>
          <w:tcPr>
            <w:tcW w:type="dxa" w:w="1296"/>
          </w:tcPr>
          <w:p>
            <w:r/>
            <w:r>
              <w:rPr>
                <w:rFonts w:ascii="Cambria Math" w:hAnsi="Cambria Math"/>
                <w:sz w:val="18"/>
              </w:rPr>
              <w:t>H(x,y)</w:t>
            </w:r>
          </w:p>
        </w:tc>
        <w:tc>
          <w:tcPr>
            <w:tcW w:type="dxa" w:w="5040"/>
          </w:tcPr>
          <w:p>
            <w:r/>
            <w:r>
              <w:rPr>
                <w:rFonts w:ascii="Calibri" w:hAnsi="Calibri"/>
                <w:sz w:val="18"/>
              </w:rPr>
              <w:t>Bathymetry / seabed depth</w:t>
            </w:r>
          </w:p>
        </w:tc>
        <w:tc>
          <w:tcPr>
            <w:tcW w:type="dxa" w:w="2016"/>
          </w:tcPr>
          <w:p>
            <w:r/>
            <w:r>
              <w:rPr>
                <w:rFonts w:ascii="Calibri" w:hAnsi="Calibri"/>
                <w:sz w:val="18"/>
              </w:rPr>
              <w:t>m</w:t>
            </w:r>
          </w:p>
        </w:tc>
      </w:tr>
      <w:tr>
        <w:tc>
          <w:tcPr>
            <w:tcW w:type="dxa" w:w="1296"/>
          </w:tcPr>
          <w:p>
            <w:r/>
            <w:r>
              <w:rPr>
                <w:rFonts w:ascii="Cambria Math" w:hAnsi="Cambria Math"/>
                <w:sz w:val="18"/>
              </w:rPr>
              <w:t>∇H</w:t>
            </w:r>
          </w:p>
        </w:tc>
        <w:tc>
          <w:tcPr>
            <w:tcW w:type="dxa" w:w="5040"/>
          </w:tcPr>
          <w:p>
            <w:r/>
            <w:r>
              <w:rPr>
                <w:rFonts w:ascii="Calibri" w:hAnsi="Calibri"/>
                <w:sz w:val="18"/>
              </w:rPr>
              <w:t>Bed slope (continental-shelf geometry)</w:t>
            </w:r>
          </w:p>
        </w:tc>
        <w:tc>
          <w:tcPr>
            <w:tcW w:type="dxa" w:w="2016"/>
          </w:tcPr>
          <w:p>
            <w:r/>
            <w:r>
              <w:rPr>
                <w:rFonts w:ascii="Calibri" w:hAnsi="Calibri"/>
                <w:sz w:val="18"/>
              </w:rPr>
              <w:t>–</w:t>
            </w:r>
          </w:p>
        </w:tc>
      </w:tr>
      <w:tr>
        <w:tc>
          <w:tcPr>
            <w:tcW w:type="dxa" w:w="1296"/>
          </w:tcPr>
          <w:p>
            <w:r/>
            <w:r>
              <w:rPr>
                <w:rFonts w:ascii="Cambria Math" w:hAnsi="Cambria Math"/>
                <w:sz w:val="18"/>
              </w:rPr>
              <w:t>C_D^bed</w:t>
            </w:r>
          </w:p>
        </w:tc>
        <w:tc>
          <w:tcPr>
            <w:tcW w:type="dxa" w:w="5040"/>
          </w:tcPr>
          <w:p>
            <w:r/>
            <w:r>
              <w:rPr>
                <w:rFonts w:ascii="Calibri" w:hAnsi="Calibri"/>
                <w:sz w:val="18"/>
              </w:rPr>
              <w:t>Bed friction coefficient</w:t>
            </w:r>
          </w:p>
        </w:tc>
        <w:tc>
          <w:tcPr>
            <w:tcW w:type="dxa" w:w="2016"/>
          </w:tcPr>
          <w:p>
            <w:r/>
            <w:r>
              <w:rPr>
                <w:rFonts w:ascii="Calibri" w:hAnsi="Calibri"/>
                <w:sz w:val="18"/>
              </w:rPr>
              <w:t>–</w:t>
            </w:r>
          </w:p>
        </w:tc>
      </w:tr>
      <w:tr>
        <w:tc>
          <w:tcPr>
            <w:tcW w:type="dxa" w:w="1296"/>
          </w:tcPr>
          <w:p>
            <w:r/>
            <w:r>
              <w:rPr>
                <w:rFonts w:ascii="Cambria Math" w:hAnsi="Cambria Math"/>
                <w:sz w:val="18"/>
              </w:rPr>
              <w:t>x_d</w:t>
            </w:r>
          </w:p>
        </w:tc>
        <w:tc>
          <w:tcPr>
            <w:tcW w:type="dxa" w:w="5040"/>
          </w:tcPr>
          <w:p>
            <w:r/>
            <w:r>
              <w:rPr>
                <w:rFonts w:ascii="Calibri" w:hAnsi="Calibri"/>
                <w:sz w:val="18"/>
              </w:rPr>
              <w:t>Discharge location</w:t>
            </w:r>
          </w:p>
        </w:tc>
        <w:tc>
          <w:tcPr>
            <w:tcW w:type="dxa" w:w="2016"/>
          </w:tcPr>
          <w:p>
            <w:r/>
            <w:r>
              <w:rPr>
                <w:rFonts w:ascii="Calibri" w:hAnsi="Calibri"/>
                <w:sz w:val="18"/>
              </w:rPr>
              <w:t>m</w:t>
            </w:r>
          </w:p>
        </w:tc>
      </w:tr>
      <w:tr>
        <w:tc>
          <w:tcPr>
            <w:tcW w:type="dxa" w:w="1296"/>
          </w:tcPr>
          <w:p>
            <w:r/>
            <w:r>
              <w:rPr>
                <w:rFonts w:ascii="Cambria Math" w:hAnsi="Cambria Math"/>
                <w:sz w:val="18"/>
              </w:rPr>
              <w:t>L_x,L_y,D</w:t>
            </w:r>
          </w:p>
        </w:tc>
        <w:tc>
          <w:tcPr>
            <w:tcW w:type="dxa" w:w="5040"/>
          </w:tcPr>
          <w:p>
            <w:r/>
            <w:r>
              <w:rPr>
                <w:rFonts w:ascii="Calibri" w:hAnsi="Calibri"/>
                <w:sz w:val="18"/>
              </w:rPr>
              <w:t>Domain extent &amp; total depth</w:t>
            </w:r>
          </w:p>
        </w:tc>
        <w:tc>
          <w:tcPr>
            <w:tcW w:type="dxa" w:w="2016"/>
          </w:tcPr>
          <w:p>
            <w:r/>
            <w:r>
              <w:rPr>
                <w:rFonts w:ascii="Calibri" w:hAnsi="Calibri"/>
                <w:sz w:val="18"/>
              </w:rPr>
              <w:t>m</w:t>
            </w:r>
          </w:p>
        </w:tc>
      </w:tr>
    </w:tbl>
    <w:p>
      <w:pPr>
        <w:pStyle w:val="Heading2"/>
      </w:pPr>
      <w:r>
        <w:t>9.7 Thermodynamic / coupling coefficients</w:t>
      </w:r>
    </w:p>
    <w:tbl>
      <w:tblPr>
        <w:tblStyle w:val="LightGrid-Accent1"/>
        <w:tblW w:type="auto" w:w="0"/>
        <w:jc w:val="center"/>
        <w:tblLook w:firstColumn="1" w:firstRow="1" w:lastColumn="0" w:lastRow="0" w:noHBand="0" w:noVBand="1" w:val="04A0"/>
      </w:tblPr>
      <w:tblGrid>
        <w:gridCol w:w="2880"/>
        <w:gridCol w:w="2880"/>
        <w:gridCol w:w="2880"/>
      </w:tblGrid>
      <w:tr>
        <w:tc>
          <w:tcPr>
            <w:tcW w:type="dxa" w:w="1584"/>
            <w:shd w:val="clear" w:color="auto" w:fill="1F4E79"/>
          </w:tcPr>
          <w:p>
            <w:r/>
            <w:r>
              <w:rPr>
                <w:rFonts w:ascii="Calibri" w:hAnsi="Calibri"/>
                <w:b/>
                <w:color w:val="FFFFFF"/>
                <w:sz w:val="18"/>
              </w:rPr>
              <w:t>Symbol</w:t>
            </w:r>
          </w:p>
        </w:tc>
        <w:tc>
          <w:tcPr>
            <w:tcW w:type="dxa" w:w="4896"/>
            <w:shd w:val="clear" w:color="auto" w:fill="1F4E79"/>
          </w:tcPr>
          <w:p>
            <w:r/>
            <w:r>
              <w:rPr>
                <w:rFonts w:ascii="Calibri" w:hAnsi="Calibri"/>
                <w:b/>
                <w:color w:val="FFFFFF"/>
                <w:sz w:val="18"/>
              </w:rPr>
              <w:t>Parameter</w:t>
            </w:r>
          </w:p>
        </w:tc>
        <w:tc>
          <w:tcPr>
            <w:tcW w:type="dxa" w:w="2016"/>
            <w:shd w:val="clear" w:color="auto" w:fill="1F4E79"/>
          </w:tcPr>
          <w:p>
            <w:r/>
            <w:r>
              <w:rPr>
                <w:rFonts w:ascii="Calibri" w:hAnsi="Calibri"/>
                <w:b/>
                <w:color w:val="FFFFFF"/>
                <w:sz w:val="18"/>
              </w:rPr>
              <w:t>Units</w:t>
            </w:r>
          </w:p>
        </w:tc>
      </w:tr>
      <w:tr>
        <w:tc>
          <w:tcPr>
            <w:tcW w:type="dxa" w:w="1584"/>
          </w:tcPr>
          <w:p>
            <w:r/>
            <w:r>
              <w:rPr>
                <w:rFonts w:ascii="Cambria Math" w:hAnsi="Cambria Math"/>
                <w:sz w:val="18"/>
              </w:rPr>
              <w:t>α_T, β_S, γ_p</w:t>
            </w:r>
          </w:p>
        </w:tc>
        <w:tc>
          <w:tcPr>
            <w:tcW w:type="dxa" w:w="4896"/>
          </w:tcPr>
          <w:p>
            <w:r/>
            <w:r>
              <w:rPr>
                <w:rFonts w:ascii="Calibri" w:hAnsi="Calibri"/>
                <w:sz w:val="18"/>
              </w:rPr>
              <w:t>Thermal-expansion, haline-contraction, compressibility</w:t>
            </w:r>
          </w:p>
        </w:tc>
        <w:tc>
          <w:tcPr>
            <w:tcW w:type="dxa" w:w="2016"/>
          </w:tcPr>
          <w:p>
            <w:r/>
            <w:r>
              <w:rPr>
                <w:rFonts w:ascii="Calibri" w:hAnsi="Calibri"/>
                <w:sz w:val="18"/>
              </w:rPr>
              <w:t>K⁻¹, kg g⁻¹, Pa⁻¹</w:t>
            </w:r>
          </w:p>
        </w:tc>
      </w:tr>
      <w:tr>
        <w:tc>
          <w:tcPr>
            <w:tcW w:type="dxa" w:w="1584"/>
          </w:tcPr>
          <w:p>
            <w:r/>
            <w:r>
              <w:rPr>
                <w:rFonts w:ascii="Cambria Math" w:hAnsi="Cambria Math"/>
                <w:sz w:val="18"/>
              </w:rPr>
              <w:t>φ_os</w:t>
            </w:r>
          </w:p>
        </w:tc>
        <w:tc>
          <w:tcPr>
            <w:tcW w:type="dxa" w:w="4896"/>
          </w:tcPr>
          <w:p>
            <w:r/>
            <w:r>
              <w:rPr>
                <w:rFonts w:ascii="Calibri" w:hAnsi="Calibri"/>
                <w:sz w:val="18"/>
              </w:rPr>
              <w:t>Osmotic (activity) coefficient</w:t>
            </w:r>
          </w:p>
        </w:tc>
        <w:tc>
          <w:tcPr>
            <w:tcW w:type="dxa" w:w="2016"/>
          </w:tcPr>
          <w:p>
            <w:r/>
            <w:r>
              <w:rPr>
                <w:rFonts w:ascii="Calibri" w:hAnsi="Calibri"/>
                <w:sz w:val="18"/>
              </w:rPr>
              <w:t>–</w:t>
            </w:r>
          </w:p>
        </w:tc>
      </w:tr>
      <w:tr>
        <w:tc>
          <w:tcPr>
            <w:tcW w:type="dxa" w:w="1584"/>
          </w:tcPr>
          <w:p>
            <w:r/>
            <w:r>
              <w:rPr>
                <w:rFonts w:ascii="Cambria Math" w:hAnsi="Cambria Math"/>
                <w:sz w:val="18"/>
              </w:rPr>
              <w:t>L_p</w:t>
            </w:r>
          </w:p>
        </w:tc>
        <w:tc>
          <w:tcPr>
            <w:tcW w:type="dxa" w:w="4896"/>
          </w:tcPr>
          <w:p>
            <w:r/>
            <w:r>
              <w:rPr>
                <w:rFonts w:ascii="Calibri" w:hAnsi="Calibri"/>
                <w:sz w:val="18"/>
              </w:rPr>
              <w:t>Osmotic permeability coefficient</w:t>
            </w:r>
          </w:p>
        </w:tc>
        <w:tc>
          <w:tcPr>
            <w:tcW w:type="dxa" w:w="2016"/>
          </w:tcPr>
          <w:p>
            <w:r/>
            <w:r>
              <w:rPr>
                <w:rFonts w:ascii="Calibri" w:hAnsi="Calibri"/>
                <w:sz w:val="18"/>
              </w:rPr>
              <w:t>s</w:t>
            </w:r>
          </w:p>
        </w:tc>
      </w:tr>
      <w:tr>
        <w:tc>
          <w:tcPr>
            <w:tcW w:type="dxa" w:w="1584"/>
          </w:tcPr>
          <w:p>
            <w:r/>
            <w:r>
              <w:rPr>
                <w:rFonts w:ascii="Cambria Math" w:hAnsi="Cambria Math"/>
                <w:sz w:val="18"/>
              </w:rPr>
              <w:t>D_ST, D_TS</w:t>
            </w:r>
          </w:p>
        </w:tc>
        <w:tc>
          <w:tcPr>
            <w:tcW w:type="dxa" w:w="4896"/>
          </w:tcPr>
          <w:p>
            <w:r/>
            <w:r>
              <w:rPr>
                <w:rFonts w:ascii="Calibri" w:hAnsi="Calibri"/>
                <w:sz w:val="18"/>
              </w:rPr>
              <w:t>Soret &amp; Dufour cross-diffusion coefficients</w:t>
            </w:r>
          </w:p>
        </w:tc>
        <w:tc>
          <w:tcPr>
            <w:tcW w:type="dxa" w:w="2016"/>
          </w:tcPr>
          <w:p>
            <w:r/>
            <w:r>
              <w:rPr>
                <w:rFonts w:ascii="Calibri" w:hAnsi="Calibri"/>
                <w:sz w:val="18"/>
              </w:rPr>
              <w:t>m² s⁻¹ K⁻¹ (eq.)</w:t>
            </w:r>
          </w:p>
        </w:tc>
      </w:tr>
      <w:tr>
        <w:tc>
          <w:tcPr>
            <w:tcW w:type="dxa" w:w="1584"/>
          </w:tcPr>
          <w:p>
            <w:r/>
            <w:r>
              <w:rPr>
                <w:rFonts w:ascii="Cambria Math" w:hAnsi="Cambria Math"/>
                <w:sz w:val="18"/>
              </w:rPr>
              <w:t>Sc_t, Pr_t</w:t>
            </w:r>
          </w:p>
        </w:tc>
        <w:tc>
          <w:tcPr>
            <w:tcW w:type="dxa" w:w="4896"/>
          </w:tcPr>
          <w:p>
            <w:r/>
            <w:r>
              <w:rPr>
                <w:rFonts w:ascii="Calibri" w:hAnsi="Calibri"/>
                <w:sz w:val="18"/>
              </w:rPr>
              <w:t>Turbulent Schmidt &amp; Prandtl numbers</w:t>
            </w:r>
          </w:p>
        </w:tc>
        <w:tc>
          <w:tcPr>
            <w:tcW w:type="dxa" w:w="2016"/>
          </w:tcPr>
          <w:p>
            <w:r/>
            <w:r>
              <w:rPr>
                <w:rFonts w:ascii="Calibri" w:hAnsi="Calibri"/>
                <w:sz w:val="18"/>
              </w:rPr>
              <w:t>–</w:t>
            </w:r>
          </w:p>
        </w:tc>
      </w:tr>
      <w:tr>
        <w:tc>
          <w:tcPr>
            <w:tcW w:type="dxa" w:w="1584"/>
          </w:tcPr>
          <w:p>
            <w:r/>
            <w:r>
              <w:rPr>
                <w:rFonts w:ascii="Cambria Math" w:hAnsi="Cambria Math"/>
                <w:sz w:val="18"/>
              </w:rPr>
              <w:t>v̄_w, M_s, ν</w:t>
            </w:r>
          </w:p>
        </w:tc>
        <w:tc>
          <w:tcPr>
            <w:tcW w:type="dxa" w:w="4896"/>
          </w:tcPr>
          <w:p>
            <w:r/>
            <w:r>
              <w:rPr>
                <w:rFonts w:ascii="Calibri" w:hAnsi="Calibri"/>
                <w:sz w:val="18"/>
              </w:rPr>
              <w:t>Partial molar volume, salt molar mass, ion number</w:t>
            </w:r>
          </w:p>
        </w:tc>
        <w:tc>
          <w:tcPr>
            <w:tcW w:type="dxa" w:w="2016"/>
          </w:tcPr>
          <w:p>
            <w:r/>
            <w:r>
              <w:rPr>
                <w:rFonts w:ascii="Calibri" w:hAnsi="Calibri"/>
                <w:sz w:val="18"/>
              </w:rPr>
              <w:t>m³ mol⁻¹, kg mol⁻¹, –</w:t>
            </w:r>
          </w:p>
        </w:tc>
      </w:tr>
    </w:tbl>
    <w:p>
      <w:pPr>
        <w:pStyle w:val="Heading1"/>
      </w:pPr>
      <w:r>
        <w:t>10. Recommended Numerical Solution Strategy</w:t>
      </w:r>
    </w:p>
    <w:p>
      <w:pPr>
        <w:pStyle w:val="ListNumber"/>
        <w:spacing w:after="40"/>
      </w:pPr>
      <w:r>
        <w:rPr>
          <w:rFonts w:ascii="Calibri" w:hAnsi="Calibri"/>
          <w:sz w:val="22"/>
        </w:rPr>
        <w:t>Spatial discretization on a terrain-following σ-grid by a finite-volume method, refined near the diffuser and the bed; unstructured horizontal mesh to capture the coastline and bathymetry.</w:t>
      </w:r>
    </w:p>
    <w:p>
      <w:pPr>
        <w:pStyle w:val="ListNumber"/>
        <w:spacing w:after="40"/>
      </w:pPr>
      <w:r>
        <w:rPr>
          <w:rFonts w:ascii="Calibri" w:hAnsi="Calibri"/>
          <w:sz w:val="22"/>
        </w:rPr>
        <w:t>Pressure–velocity coupling for variable density by a PISO/SIMPLE projection with the non-Boussinesq continuity constraint.</w:t>
      </w:r>
    </w:p>
    <w:p>
      <w:pPr>
        <w:pStyle w:val="ListNumber"/>
        <w:spacing w:after="40"/>
      </w:pPr>
      <w:r>
        <w:rPr>
          <w:rFonts w:ascii="Calibri" w:hAnsi="Calibri"/>
          <w:sz w:val="22"/>
        </w:rPr>
        <w:t>Scalar transport (S, T) with a high-resolution, monotone (TVD) advection scheme to avoid spurious salinity over/undershoots.</w:t>
      </w:r>
    </w:p>
    <w:p>
      <w:pPr>
        <w:pStyle w:val="ListNumber"/>
        <w:spacing w:after="40"/>
      </w:pPr>
      <w:r>
        <w:rPr>
          <w:rFonts w:ascii="Calibri" w:hAnsi="Calibri"/>
          <w:sz w:val="22"/>
        </w:rPr>
        <w:t>Semi-implicit time integration; CFL- and buoyancy-limited adaptive time step for the unsteady evolution from discharge to far field.</w:t>
      </w:r>
    </w:p>
    <w:p>
      <w:pPr>
        <w:pStyle w:val="ListNumber"/>
        <w:spacing w:after="40"/>
      </w:pPr>
      <w:r>
        <w:rPr>
          <w:rFonts w:ascii="Calibri" w:hAnsi="Calibri"/>
          <w:sz w:val="22"/>
        </w:rPr>
        <w:t>Stochastic layer by Monte-Carlo ensemble (or polynomial-chaos / stochastic-Galerkin surrogate) over OU realizations to build P[S(x,t)], the mean, variance and exceedance maps.</w:t>
      </w:r>
    </w:p>
    <w:p>
      <w:pPr>
        <w:pStyle w:val="ListNumber"/>
        <w:spacing w:after="40"/>
      </w:pPr>
      <w:r>
        <w:rPr>
          <w:rFonts w:ascii="Calibri" w:hAnsi="Calibri"/>
          <w:sz w:val="22"/>
        </w:rPr>
        <w:t>Two-phase free surface by VOF (α) with the wind-stress and evaporation surface fluxes.</w:t>
      </w:r>
    </w:p>
    <w:p>
      <w:pPr>
        <w:pStyle w:val="ListNumber"/>
        <w:spacing w:after="40"/>
      </w:pPr>
      <w:r>
        <w:rPr>
          <w:rFonts w:ascii="Calibri" w:hAnsi="Calibri"/>
          <w:sz w:val="22"/>
        </w:rPr>
        <w:t>Coupling solved by an outer Picard/Newton iteration each step until ρ, u, S, T, k, ε are mutually converged.</w:t>
      </w:r>
    </w:p>
    <w:p>
      <w:pPr>
        <w:pStyle w:val="Heading1"/>
      </w:pPr>
      <w:r>
        <w:t>11. Validation Plan and Well-Posedness</w:t>
      </w:r>
    </w:p>
    <w:p>
      <w:pPr>
        <w:pStyle w:val="ListBullet"/>
        <w:spacing w:after="40"/>
      </w:pPr>
      <w:r>
        <w:rPr>
          <w:rFonts w:ascii="Calibri" w:hAnsi="Calibri"/>
          <w:sz w:val="22"/>
        </w:rPr>
        <w:t>Analytical limits: recover the classical 30°/45°/60° inclined dense-jet trajectory and dilution scaling (Roberts et al.) when stochastic, osmotic and rotation terms are switched off.</w:t>
      </w:r>
    </w:p>
    <w:p>
      <w:pPr>
        <w:pStyle w:val="ListBullet"/>
        <w:spacing w:after="40"/>
      </w:pPr>
      <w:r>
        <w:rPr>
          <w:rFonts w:ascii="Calibri" w:hAnsi="Calibri"/>
          <w:sz w:val="22"/>
        </w:rPr>
        <w:t>Laboratory benchmarks: compare rise height, return-point dilution and spreading-layer thickness against published dense-jet experiments.</w:t>
      </w:r>
    </w:p>
    <w:p>
      <w:pPr>
        <w:pStyle w:val="ListBullet"/>
        <w:spacing w:after="40"/>
      </w:pPr>
      <w:r>
        <w:rPr>
          <w:rFonts w:ascii="Calibri" w:hAnsi="Calibri"/>
          <w:sz w:val="22"/>
        </w:rPr>
        <w:t>Field validation: CTD / ADCP transects of an operating SWRO outfall; verify the predicted P[S] envelope contains the observed salinities at the stated confidence.</w:t>
      </w:r>
    </w:p>
    <w:p>
      <w:pPr>
        <w:pStyle w:val="ListBullet"/>
        <w:spacing w:after="40"/>
      </w:pPr>
      <w:r>
        <w:rPr>
          <w:rFonts w:ascii="Calibri" w:hAnsi="Calibri"/>
          <w:sz w:val="22"/>
        </w:rPr>
        <w:t>Conservation checks: global salt and mass budgets closed to machine precision; entropy-production positivity of the Onsager fluxes guarantees thermodynamic consistency and dissipativity (a sufficient condition for well-posedness of the coupled parabolic-hyperbolic system).</w:t>
      </w:r>
    </w:p>
    <w:p>
      <w:pPr>
        <w:pStyle w:val="Heading1"/>
      </w:pPr>
      <w:r>
        <w:t>12. Assumptions and Limitations</w:t>
      </w:r>
    </w:p>
    <w:p>
      <w:pPr>
        <w:pStyle w:val="ListBullet"/>
        <w:spacing w:after="40"/>
      </w:pPr>
      <w:r>
        <w:rPr>
          <w:rFonts w:ascii="Calibri" w:hAnsi="Calibri"/>
          <w:sz w:val="22"/>
        </w:rPr>
        <w:t>Seawater is a Newtonian continuum; the reject carries no significant suspended-solid rheology (extendable via a particle-laden closure).</w:t>
      </w:r>
    </w:p>
    <w:p>
      <w:pPr>
        <w:pStyle w:val="ListBullet"/>
        <w:spacing w:after="40"/>
      </w:pPr>
      <w:r>
        <w:rPr>
          <w:rFonts w:ascii="Calibri" w:hAnsi="Calibri"/>
          <w:sz w:val="22"/>
        </w:rPr>
        <w:t>The OU stochastic forcing is Gaussian and stationary over the forecast window; non-stationary storm forcing requires re-estimated (τ_m, σ_m, ℓ_m).</w:t>
      </w:r>
    </w:p>
    <w:p>
      <w:pPr>
        <w:pStyle w:val="ListBullet"/>
        <w:spacing w:after="40"/>
      </w:pPr>
      <w:r>
        <w:rPr>
          <w:rFonts w:ascii="Calibri" w:hAnsi="Calibri"/>
          <w:sz w:val="22"/>
        </w:rPr>
        <w:t>Chemical speciation is lumped into a single absolute-salinity scalar; multi-ion reverse-osmosis selectivity is a possible extension via Maxwell–Stefan multicomponent fluxes.</w:t>
      </w:r>
    </w:p>
    <w:p>
      <w:pPr>
        <w:pStyle w:val="ListBullet"/>
        <w:spacing w:after="40"/>
      </w:pPr>
      <w:r>
        <w:rPr>
          <w:rFonts w:ascii="Calibri" w:hAnsi="Calibri"/>
          <w:sz w:val="22"/>
        </w:rPr>
        <w:t>Soret/Dufour and osmotic coefficients must be supplied for the specific brine chemistry; defaults are provided for NaCl-dominated SWRO reject.</w:t>
      </w:r>
    </w:p>
    <w:p>
      <w:r>
        <w:br w:type="page"/>
      </w:r>
    </w:p>
    <w:p>
      <w:pPr>
        <w:pStyle w:val="Heading1"/>
      </w:pPr>
      <w:r>
        <w:t>13. Nomenclature (Principal Symbols)</w:t>
      </w:r>
    </w:p>
    <w:tbl>
      <w:tblPr>
        <w:tblStyle w:val="LightGrid-Accent1"/>
        <w:tblW w:type="auto" w:w="0"/>
        <w:jc w:val="center"/>
        <w:tblLook w:firstColumn="1" w:firstRow="1" w:lastColumn="0" w:lastRow="0" w:noHBand="0" w:noVBand="1" w:val="04A0"/>
      </w:tblPr>
      <w:tblGrid>
        <w:gridCol w:w="2880"/>
        <w:gridCol w:w="2880"/>
        <w:gridCol w:w="2880"/>
      </w:tblGrid>
      <w:tr>
        <w:tc>
          <w:tcPr>
            <w:tcW w:type="dxa" w:w="1872"/>
            <w:shd w:val="clear" w:color="auto" w:fill="1F4E79"/>
          </w:tcPr>
          <w:p>
            <w:r/>
            <w:r>
              <w:rPr>
                <w:rFonts w:ascii="Calibri" w:hAnsi="Calibri"/>
                <w:b/>
                <w:color w:val="FFFFFF"/>
                <w:sz w:val="18"/>
              </w:rPr>
              <w:t>Symbol</w:t>
            </w:r>
          </w:p>
        </w:tc>
        <w:tc>
          <w:tcPr>
            <w:tcW w:type="dxa" w:w="4752"/>
            <w:shd w:val="clear" w:color="auto" w:fill="1F4E79"/>
          </w:tcPr>
          <w:p>
            <w:r/>
            <w:r>
              <w:rPr>
                <w:rFonts w:ascii="Calibri" w:hAnsi="Calibri"/>
                <w:b/>
                <w:color w:val="FFFFFF"/>
                <w:sz w:val="18"/>
              </w:rPr>
              <w:t>Meaning</w:t>
            </w:r>
          </w:p>
        </w:tc>
        <w:tc>
          <w:tcPr>
            <w:tcW w:type="dxa" w:w="1728"/>
            <w:shd w:val="clear" w:color="auto" w:fill="1F4E79"/>
          </w:tcPr>
          <w:p>
            <w:r/>
            <w:r>
              <w:rPr>
                <w:rFonts w:ascii="Calibri" w:hAnsi="Calibri"/>
                <w:b/>
                <w:color w:val="FFFFFF"/>
                <w:sz w:val="18"/>
              </w:rPr>
              <w:t>Units</w:t>
            </w:r>
          </w:p>
        </w:tc>
      </w:tr>
      <w:tr>
        <w:tc>
          <w:tcPr>
            <w:tcW w:type="dxa" w:w="1872"/>
          </w:tcPr>
          <w:p>
            <w:r/>
            <w:r>
              <w:rPr>
                <w:rFonts w:ascii="Cambria Math" w:hAnsi="Cambria Math"/>
                <w:sz w:val="18"/>
              </w:rPr>
              <w:t>ρ, ρ₀</w:t>
            </w:r>
          </w:p>
        </w:tc>
        <w:tc>
          <w:tcPr>
            <w:tcW w:type="dxa" w:w="4752"/>
          </w:tcPr>
          <w:p>
            <w:r/>
            <w:r>
              <w:rPr>
                <w:rFonts w:ascii="Calibri" w:hAnsi="Calibri"/>
                <w:sz w:val="18"/>
              </w:rPr>
              <w:t>Density, reference density</w:t>
            </w:r>
          </w:p>
        </w:tc>
        <w:tc>
          <w:tcPr>
            <w:tcW w:type="dxa" w:w="1728"/>
          </w:tcPr>
          <w:p>
            <w:r/>
            <w:r>
              <w:rPr>
                <w:rFonts w:ascii="Calibri" w:hAnsi="Calibri"/>
                <w:sz w:val="18"/>
              </w:rPr>
              <w:t>kg m⁻³</w:t>
            </w:r>
          </w:p>
        </w:tc>
      </w:tr>
      <w:tr>
        <w:tc>
          <w:tcPr>
            <w:tcW w:type="dxa" w:w="1872"/>
          </w:tcPr>
          <w:p>
            <w:r/>
            <w:r>
              <w:rPr>
                <w:rFonts w:ascii="Cambria Math" w:hAnsi="Cambria Math"/>
                <w:sz w:val="18"/>
              </w:rPr>
              <w:t>u=(u,v,w)</w:t>
            </w:r>
          </w:p>
        </w:tc>
        <w:tc>
          <w:tcPr>
            <w:tcW w:type="dxa" w:w="4752"/>
          </w:tcPr>
          <w:p>
            <w:r/>
            <w:r>
              <w:rPr>
                <w:rFonts w:ascii="Calibri" w:hAnsi="Calibri"/>
                <w:sz w:val="18"/>
              </w:rPr>
              <w:t>Velocity vector</w:t>
            </w:r>
          </w:p>
        </w:tc>
        <w:tc>
          <w:tcPr>
            <w:tcW w:type="dxa" w:w="1728"/>
          </w:tcPr>
          <w:p>
            <w:r/>
            <w:r>
              <w:rPr>
                <w:rFonts w:ascii="Calibri" w:hAnsi="Calibri"/>
                <w:sz w:val="18"/>
              </w:rPr>
              <w:t>m s⁻¹</w:t>
            </w:r>
          </w:p>
        </w:tc>
      </w:tr>
      <w:tr>
        <w:tc>
          <w:tcPr>
            <w:tcW w:type="dxa" w:w="1872"/>
          </w:tcPr>
          <w:p>
            <w:r/>
            <w:r>
              <w:rPr>
                <w:rFonts w:ascii="Cambria Math" w:hAnsi="Cambria Math"/>
                <w:sz w:val="18"/>
              </w:rPr>
              <w:t>p</w:t>
            </w:r>
          </w:p>
        </w:tc>
        <w:tc>
          <w:tcPr>
            <w:tcW w:type="dxa" w:w="4752"/>
          </w:tcPr>
          <w:p>
            <w:r/>
            <w:r>
              <w:rPr>
                <w:rFonts w:ascii="Calibri" w:hAnsi="Calibri"/>
                <w:sz w:val="18"/>
              </w:rPr>
              <w:t>Pressure</w:t>
            </w:r>
          </w:p>
        </w:tc>
        <w:tc>
          <w:tcPr>
            <w:tcW w:type="dxa" w:w="1728"/>
          </w:tcPr>
          <w:p>
            <w:r/>
            <w:r>
              <w:rPr>
                <w:rFonts w:ascii="Calibri" w:hAnsi="Calibri"/>
                <w:sz w:val="18"/>
              </w:rPr>
              <w:t>Pa</w:t>
            </w:r>
          </w:p>
        </w:tc>
      </w:tr>
      <w:tr>
        <w:tc>
          <w:tcPr>
            <w:tcW w:type="dxa" w:w="1872"/>
          </w:tcPr>
          <w:p>
            <w:r/>
            <w:r>
              <w:rPr>
                <w:rFonts w:ascii="Cambria Math" w:hAnsi="Cambria Math"/>
                <w:sz w:val="18"/>
              </w:rPr>
              <w:t>S</w:t>
            </w:r>
          </w:p>
        </w:tc>
        <w:tc>
          <w:tcPr>
            <w:tcW w:type="dxa" w:w="4752"/>
          </w:tcPr>
          <w:p>
            <w:r/>
            <w:r>
              <w:rPr>
                <w:rFonts w:ascii="Calibri" w:hAnsi="Calibri"/>
                <w:sz w:val="18"/>
              </w:rPr>
              <w:t>Absolute salinity</w:t>
            </w:r>
          </w:p>
        </w:tc>
        <w:tc>
          <w:tcPr>
            <w:tcW w:type="dxa" w:w="1728"/>
          </w:tcPr>
          <w:p>
            <w:r/>
            <w:r>
              <w:rPr>
                <w:rFonts w:ascii="Calibri" w:hAnsi="Calibri"/>
                <w:sz w:val="18"/>
              </w:rPr>
              <w:t>g kg⁻¹</w:t>
            </w:r>
          </w:p>
        </w:tc>
      </w:tr>
      <w:tr>
        <w:tc>
          <w:tcPr>
            <w:tcW w:type="dxa" w:w="1872"/>
          </w:tcPr>
          <w:p>
            <w:r/>
            <w:r>
              <w:rPr>
                <w:rFonts w:ascii="Cambria Math" w:hAnsi="Cambria Math"/>
                <w:sz w:val="18"/>
              </w:rPr>
              <w:t>T</w:t>
            </w:r>
          </w:p>
        </w:tc>
        <w:tc>
          <w:tcPr>
            <w:tcW w:type="dxa" w:w="4752"/>
          </w:tcPr>
          <w:p>
            <w:r/>
            <w:r>
              <w:rPr>
                <w:rFonts w:ascii="Calibri" w:hAnsi="Calibri"/>
                <w:sz w:val="18"/>
              </w:rPr>
              <w:t>Conservative temperature</w:t>
            </w:r>
          </w:p>
        </w:tc>
        <w:tc>
          <w:tcPr>
            <w:tcW w:type="dxa" w:w="1728"/>
          </w:tcPr>
          <w:p>
            <w:r/>
            <w:r>
              <w:rPr>
                <w:rFonts w:ascii="Calibri" w:hAnsi="Calibri"/>
                <w:sz w:val="18"/>
              </w:rPr>
              <w:t>°C / K</w:t>
            </w:r>
          </w:p>
        </w:tc>
      </w:tr>
      <w:tr>
        <w:tc>
          <w:tcPr>
            <w:tcW w:type="dxa" w:w="1872"/>
          </w:tcPr>
          <w:p>
            <w:r/>
            <w:r>
              <w:rPr>
                <w:rFonts w:ascii="Cambria Math" w:hAnsi="Cambria Math"/>
                <w:sz w:val="18"/>
              </w:rPr>
              <w:t>k, ε</w:t>
            </w:r>
          </w:p>
        </w:tc>
        <w:tc>
          <w:tcPr>
            <w:tcW w:type="dxa" w:w="4752"/>
          </w:tcPr>
          <w:p>
            <w:r/>
            <w:r>
              <w:rPr>
                <w:rFonts w:ascii="Calibri" w:hAnsi="Calibri"/>
                <w:sz w:val="18"/>
              </w:rPr>
              <w:t>Turbulent kinetic energy, dissipation</w:t>
            </w:r>
          </w:p>
        </w:tc>
        <w:tc>
          <w:tcPr>
            <w:tcW w:type="dxa" w:w="1728"/>
          </w:tcPr>
          <w:p>
            <w:r/>
            <w:r>
              <w:rPr>
                <w:rFonts w:ascii="Calibri" w:hAnsi="Calibri"/>
                <w:sz w:val="18"/>
              </w:rPr>
              <w:t>m² s⁻², m² s⁻³</w:t>
            </w:r>
          </w:p>
        </w:tc>
      </w:tr>
      <w:tr>
        <w:tc>
          <w:tcPr>
            <w:tcW w:type="dxa" w:w="1872"/>
          </w:tcPr>
          <w:p>
            <w:r/>
            <w:r>
              <w:rPr>
                <w:rFonts w:ascii="Cambria Math" w:hAnsi="Cambria Math"/>
                <w:sz w:val="18"/>
              </w:rPr>
              <w:t>μ, μ_t</w:t>
            </w:r>
          </w:p>
        </w:tc>
        <w:tc>
          <w:tcPr>
            <w:tcW w:type="dxa" w:w="4752"/>
          </w:tcPr>
          <w:p>
            <w:r/>
            <w:r>
              <w:rPr>
                <w:rFonts w:ascii="Calibri" w:hAnsi="Calibri"/>
                <w:sz w:val="18"/>
              </w:rPr>
              <w:t>Molecular, turbulent (eddy) viscosity</w:t>
            </w:r>
          </w:p>
        </w:tc>
        <w:tc>
          <w:tcPr>
            <w:tcW w:type="dxa" w:w="1728"/>
          </w:tcPr>
          <w:p>
            <w:r/>
            <w:r>
              <w:rPr>
                <w:rFonts w:ascii="Calibri" w:hAnsi="Calibri"/>
                <w:sz w:val="18"/>
              </w:rPr>
              <w:t>Pa s</w:t>
            </w:r>
          </w:p>
        </w:tc>
      </w:tr>
      <w:tr>
        <w:tc>
          <w:tcPr>
            <w:tcW w:type="dxa" w:w="1872"/>
          </w:tcPr>
          <w:p>
            <w:r/>
            <w:r>
              <w:rPr>
                <w:rFonts w:ascii="Cambria Math" w:hAnsi="Cambria Math"/>
                <w:sz w:val="18"/>
              </w:rPr>
              <w:t>D_S, D_T</w:t>
            </w:r>
          </w:p>
        </w:tc>
        <w:tc>
          <w:tcPr>
            <w:tcW w:type="dxa" w:w="4752"/>
          </w:tcPr>
          <w:p>
            <w:r/>
            <w:r>
              <w:rPr>
                <w:rFonts w:ascii="Calibri" w:hAnsi="Calibri"/>
                <w:sz w:val="18"/>
              </w:rPr>
              <w:t>Salt, heat dispersion tensors</w:t>
            </w:r>
          </w:p>
        </w:tc>
        <w:tc>
          <w:tcPr>
            <w:tcW w:type="dxa" w:w="1728"/>
          </w:tcPr>
          <w:p>
            <w:r/>
            <w:r>
              <w:rPr>
                <w:rFonts w:ascii="Calibri" w:hAnsi="Calibri"/>
                <w:sz w:val="18"/>
              </w:rPr>
              <w:t>m² s⁻¹</w:t>
            </w:r>
          </w:p>
        </w:tc>
      </w:tr>
      <w:tr>
        <w:tc>
          <w:tcPr>
            <w:tcW w:type="dxa" w:w="1872"/>
          </w:tcPr>
          <w:p>
            <w:r/>
            <w:r>
              <w:rPr>
                <w:rFonts w:ascii="Cambria Math" w:hAnsi="Cambria Math"/>
                <w:sz w:val="18"/>
              </w:rPr>
              <w:t>Π</w:t>
            </w:r>
          </w:p>
        </w:tc>
        <w:tc>
          <w:tcPr>
            <w:tcW w:type="dxa" w:w="4752"/>
          </w:tcPr>
          <w:p>
            <w:r/>
            <w:r>
              <w:rPr>
                <w:rFonts w:ascii="Calibri" w:hAnsi="Calibri"/>
                <w:sz w:val="18"/>
              </w:rPr>
              <w:t>Osmotic pressure</w:t>
            </w:r>
          </w:p>
        </w:tc>
        <w:tc>
          <w:tcPr>
            <w:tcW w:type="dxa" w:w="1728"/>
          </w:tcPr>
          <w:p>
            <w:r/>
            <w:r>
              <w:rPr>
                <w:rFonts w:ascii="Calibri" w:hAnsi="Calibri"/>
                <w:sz w:val="18"/>
              </w:rPr>
              <w:t>Pa</w:t>
            </w:r>
          </w:p>
        </w:tc>
      </w:tr>
      <w:tr>
        <w:tc>
          <w:tcPr>
            <w:tcW w:type="dxa" w:w="1872"/>
          </w:tcPr>
          <w:p>
            <w:r/>
            <w:r>
              <w:rPr>
                <w:rFonts w:ascii="Cambria Math" w:hAnsi="Cambria Math"/>
                <w:sz w:val="18"/>
              </w:rPr>
              <w:t>g, g'</w:t>
            </w:r>
          </w:p>
        </w:tc>
        <w:tc>
          <w:tcPr>
            <w:tcW w:type="dxa" w:w="4752"/>
          </w:tcPr>
          <w:p>
            <w:r/>
            <w:r>
              <w:rPr>
                <w:rFonts w:ascii="Calibri" w:hAnsi="Calibri"/>
                <w:sz w:val="18"/>
              </w:rPr>
              <w:t>Gravity, reduced gravity</w:t>
            </w:r>
          </w:p>
        </w:tc>
        <w:tc>
          <w:tcPr>
            <w:tcW w:type="dxa" w:w="1728"/>
          </w:tcPr>
          <w:p>
            <w:r/>
            <w:r>
              <w:rPr>
                <w:rFonts w:ascii="Calibri" w:hAnsi="Calibri"/>
                <w:sz w:val="18"/>
              </w:rPr>
              <w:t>m s⁻²</w:t>
            </w:r>
          </w:p>
        </w:tc>
      </w:tr>
      <w:tr>
        <w:tc>
          <w:tcPr>
            <w:tcW w:type="dxa" w:w="1872"/>
          </w:tcPr>
          <w:p>
            <w:r/>
            <w:r>
              <w:rPr>
                <w:rFonts w:ascii="Cambria Math" w:hAnsi="Cambria Math"/>
                <w:sz w:val="18"/>
              </w:rPr>
              <w:t>Ω, f</w:t>
            </w:r>
          </w:p>
        </w:tc>
        <w:tc>
          <w:tcPr>
            <w:tcW w:type="dxa" w:w="4752"/>
          </w:tcPr>
          <w:p>
            <w:r/>
            <w:r>
              <w:rPr>
                <w:rFonts w:ascii="Calibri" w:hAnsi="Calibri"/>
                <w:sz w:val="18"/>
              </w:rPr>
              <w:t>Rotation vector, Coriolis parameter</w:t>
            </w:r>
          </w:p>
        </w:tc>
        <w:tc>
          <w:tcPr>
            <w:tcW w:type="dxa" w:w="1728"/>
          </w:tcPr>
          <w:p>
            <w:r/>
            <w:r>
              <w:rPr>
                <w:rFonts w:ascii="Calibri" w:hAnsi="Calibri"/>
                <w:sz w:val="18"/>
              </w:rPr>
              <w:t>s⁻¹</w:t>
            </w:r>
          </w:p>
        </w:tc>
      </w:tr>
      <w:tr>
        <w:tc>
          <w:tcPr>
            <w:tcW w:type="dxa" w:w="1872"/>
          </w:tcPr>
          <w:p>
            <w:r/>
            <w:r>
              <w:rPr>
                <w:rFonts w:ascii="Cambria Math" w:hAnsi="Cambria Math"/>
                <w:sz w:val="18"/>
              </w:rPr>
              <w:t>η, α</w:t>
            </w:r>
          </w:p>
        </w:tc>
        <w:tc>
          <w:tcPr>
            <w:tcW w:type="dxa" w:w="4752"/>
          </w:tcPr>
          <w:p>
            <w:r/>
            <w:r>
              <w:rPr>
                <w:rFonts w:ascii="Calibri" w:hAnsi="Calibri"/>
                <w:sz w:val="18"/>
              </w:rPr>
              <w:t>Free-surface elevation, water fraction</w:t>
            </w:r>
          </w:p>
        </w:tc>
        <w:tc>
          <w:tcPr>
            <w:tcW w:type="dxa" w:w="1728"/>
          </w:tcPr>
          <w:p>
            <w:r/>
            <w:r>
              <w:rPr>
                <w:rFonts w:ascii="Calibri" w:hAnsi="Calibri"/>
                <w:sz w:val="18"/>
              </w:rPr>
              <w:t>m, –</w:t>
            </w:r>
          </w:p>
        </w:tc>
      </w:tr>
      <w:tr>
        <w:tc>
          <w:tcPr>
            <w:tcW w:type="dxa" w:w="1872"/>
          </w:tcPr>
          <w:p>
            <w:r/>
            <w:r>
              <w:rPr>
                <w:rFonts w:ascii="Cambria Math" w:hAnsi="Cambria Math"/>
                <w:sz w:val="18"/>
              </w:rPr>
              <w:t>S_rad</w:t>
            </w:r>
          </w:p>
        </w:tc>
        <w:tc>
          <w:tcPr>
            <w:tcW w:type="dxa" w:w="4752"/>
          </w:tcPr>
          <w:p>
            <w:r/>
            <w:r>
              <w:rPr>
                <w:rFonts w:ascii="Calibri" w:hAnsi="Calibri"/>
                <w:sz w:val="18"/>
              </w:rPr>
              <w:t>Wave radiation-stress tensor</w:t>
            </w:r>
          </w:p>
        </w:tc>
        <w:tc>
          <w:tcPr>
            <w:tcW w:type="dxa" w:w="1728"/>
          </w:tcPr>
          <w:p>
            <w:r/>
            <w:r>
              <w:rPr>
                <w:rFonts w:ascii="Calibri" w:hAnsi="Calibri"/>
                <w:sz w:val="18"/>
              </w:rPr>
              <w:t>N m⁻¹</w:t>
            </w:r>
          </w:p>
        </w:tc>
      </w:tr>
      <w:tr>
        <w:tc>
          <w:tcPr>
            <w:tcW w:type="dxa" w:w="1872"/>
          </w:tcPr>
          <w:p>
            <w:r/>
            <w:r>
              <w:rPr>
                <w:rFonts w:ascii="Cambria Math" w:hAnsi="Cambria Math"/>
                <w:sz w:val="18"/>
              </w:rPr>
              <w:t>ζ_m, ξ_S, ξ_T</w:t>
            </w:r>
          </w:p>
        </w:tc>
        <w:tc>
          <w:tcPr>
            <w:tcW w:type="dxa" w:w="4752"/>
          </w:tcPr>
          <w:p>
            <w:r/>
            <w:r>
              <w:rPr>
                <w:rFonts w:ascii="Calibri" w:hAnsi="Calibri"/>
                <w:sz w:val="18"/>
              </w:rPr>
              <w:t>Stochastic forcing channels &amp; scalar noise</w:t>
            </w:r>
          </w:p>
        </w:tc>
        <w:tc>
          <w:tcPr>
            <w:tcW w:type="dxa" w:w="1728"/>
          </w:tcPr>
          <w:p>
            <w:r/>
            <w:r>
              <w:rPr>
                <w:rFonts w:ascii="Calibri" w:hAnsi="Calibri"/>
                <w:sz w:val="18"/>
              </w:rPr>
              <w:t>various</w:t>
            </w:r>
          </w:p>
        </w:tc>
      </w:tr>
      <w:tr>
        <w:tc>
          <w:tcPr>
            <w:tcW w:type="dxa" w:w="1872"/>
          </w:tcPr>
          <w:p>
            <w:r/>
            <w:r>
              <w:rPr>
                <w:rFonts w:ascii="Cambria Math" w:hAnsi="Cambria Math"/>
                <w:sz w:val="18"/>
              </w:rPr>
              <w:t>F_osm, F_wave</w:t>
            </w:r>
          </w:p>
        </w:tc>
        <w:tc>
          <w:tcPr>
            <w:tcW w:type="dxa" w:w="4752"/>
          </w:tcPr>
          <w:p>
            <w:r/>
            <w:r>
              <w:rPr>
                <w:rFonts w:ascii="Calibri" w:hAnsi="Calibri"/>
                <w:sz w:val="18"/>
              </w:rPr>
              <w:t>Osmotic, wave body forces</w:t>
            </w:r>
          </w:p>
        </w:tc>
        <w:tc>
          <w:tcPr>
            <w:tcW w:type="dxa" w:w="1728"/>
          </w:tcPr>
          <w:p>
            <w:r/>
            <w:r>
              <w:rPr>
                <w:rFonts w:ascii="Calibri" w:hAnsi="Calibri"/>
                <w:sz w:val="18"/>
              </w:rPr>
              <w:t>N m⁻³</w:t>
            </w:r>
          </w:p>
        </w:tc>
      </w:tr>
      <w:tr>
        <w:tc>
          <w:tcPr>
            <w:tcW w:type="dxa" w:w="1872"/>
          </w:tcPr>
          <w:p>
            <w:r/>
            <w:r>
              <w:rPr>
                <w:rFonts w:ascii="Cambria Math" w:hAnsi="Cambria Math"/>
                <w:sz w:val="18"/>
              </w:rPr>
              <w:t>𝒟, 𝒜, r_max, z_max</w:t>
            </w:r>
          </w:p>
        </w:tc>
        <w:tc>
          <w:tcPr>
            <w:tcW w:type="dxa" w:w="4752"/>
          </w:tcPr>
          <w:p>
            <w:r/>
            <w:r>
              <w:rPr>
                <w:rFonts w:ascii="Calibri" w:hAnsi="Calibri"/>
                <w:sz w:val="18"/>
              </w:rPr>
              <w:t>Dilution, footprint, reach, depth of impact</w:t>
            </w:r>
          </w:p>
        </w:tc>
        <w:tc>
          <w:tcPr>
            <w:tcW w:type="dxa" w:w="1728"/>
          </w:tcPr>
          <w:p>
            <w:r/>
            <w:r>
              <w:rPr>
                <w:rFonts w:ascii="Calibri" w:hAnsi="Calibri"/>
                <w:sz w:val="18"/>
              </w:rPr>
              <w:t>–, m², m, m</w:t>
            </w:r>
          </w:p>
        </w:tc>
      </w:tr>
    </w:tbl>
    <w:p>
      <w:pPr>
        <w:pStyle w:val="Heading1"/>
      </w:pPr>
      <w:r>
        <w:t>14. Summary</w:t>
      </w:r>
    </w:p>
    <w:p>
      <w:pPr>
        <w:spacing w:after="120"/>
      </w:pPr>
      <w:r>
        <w:rPr>
          <w:rFonts w:ascii="Calibri" w:hAnsi="Calibri"/>
          <w:b w:val="0"/>
          <w:i w:val="0"/>
          <w:sz w:val="22"/>
        </w:rPr>
        <w:t>NEREID-B unifies, for the first time in a single self-consistent PDE system, the non-Boussinesq hydrodynamics of a dense brine jet, the nonlinear haline-thermal-baric equation of state, irreversible-thermodynamics (Soret/Dufour) cross-diffusion, an explicit osmotic / reverse-osmosis coupling, a state-dependent anisotropic dispersion tensor, terrain-following bathymetry, two-phase splash-zone air-sea exchange, and an intrinsic stochastic-forcing layer that converts the model into a predictor of the full probability density of salinity. The result is a model that predicts, at every instant and with quantified uncertainty, the three-dimensional salinity field around a submarine outfall and precisely how far and how deep the discharged brine penetrates a moving, unpredictable sea — accurately, sustainably, and in a form suitable for patent protection.</w:t>
      </w:r>
    </w:p>
    <w:p>
      <w:pPr>
        <w:jc w:val="center"/>
      </w:pPr>
      <w:r>
        <w:rPr>
          <w:rFonts w:ascii="Calibri" w:hAnsi="Calibri"/>
          <w:b/>
          <w:color w:val="1F4E79"/>
          <w:sz w:val="46"/>
        </w:rPr>
        <w:t>NEREID-B — Input Data Requirements</w:t>
      </w:r>
    </w:p>
    <w:p>
      <w:pPr>
        <w:jc w:val="center"/>
      </w:pPr>
      <w:r>
        <w:rPr>
          <w:rFonts w:ascii="Calibri" w:hAnsi="Calibri"/>
          <w:i/>
          <w:sz w:val="26"/>
        </w:rPr>
        <w:t>Data Acquisition, Measurement and Pre-Processing Plan Required to Drive the Coupled Stochastic PDE Brine-Salinity Model</w:t>
      </w:r>
    </w:p>
    <w:p>
      <w:pPr>
        <w:jc w:val="center"/>
      </w:pPr>
      <w:r>
        <w:rPr>
          <w:rFonts w:ascii="Calibri" w:hAnsi="Calibri"/>
          <w:color w:val="555555"/>
          <w:sz w:val="22"/>
        </w:rPr>
        <w:t>Companion to salinity.docx &amp; output.docx  ·  Rev. 1.0  ·  11 June 2026</w:t>
      </w:r>
    </w:p>
    <w:p>
      <w:pPr>
        <w:spacing w:after="160"/>
      </w:pPr>
    </w:p>
    <w:p>
      <w:pPr>
        <w:spacing w:after="120"/>
      </w:pPr>
      <w:r>
        <w:rPr>
          <w:rFonts w:ascii="Calibri" w:hAnsi="Calibri"/>
          <w:b w:val="0"/>
          <w:i w:val="0"/>
          <w:sz w:val="22"/>
        </w:rPr>
        <w:t>This document specifies every input the NEREID-B model requires, how each input is obtained (measurement instrument, survey, model or literature), the spatial and temporal resolution and accuracy needed, and the update frequency. Inputs are grouped by physical category. Each table lists the symbol, the quantity, how it is acquired, the required resolution / accuracy, and its update cadence. A priority tier (Required / Recommended / Optional) is given so a project can scope a minimum-viable dataset and grow it. The document closes with the field-survey / monitoring programme, data-format and QA-QC requirements, and a readiness checklist.</w:t>
      </w:r>
    </w:p>
    <w:p>
      <w:pPr>
        <w:spacing w:after="120"/>
      </w:pPr>
      <w:r>
        <w:rPr>
          <w:rFonts w:ascii="Calibri" w:hAnsi="Calibri"/>
          <w:b w:val="0"/>
          <w:i/>
          <w:sz w:val="20"/>
        </w:rPr>
        <w:t>Priority key:  R = Required (model will not run without it)   ·   S = Strongly recommended (materially affects accuracy)   ·   O = Optional (refinement / specific scenarios).</w:t>
      </w:r>
    </w:p>
    <w:p>
      <w:pPr>
        <w:pStyle w:val="Heading1"/>
      </w:pPr>
      <w:r>
        <w:t>1. Input Data Classes</w:t>
      </w:r>
    </w:p>
    <w:p>
      <w:pPr>
        <w:spacing w:after="120"/>
      </w:pPr>
      <w:r>
        <w:rPr>
          <w:rFonts w:ascii="Calibri" w:hAnsi="Calibri"/>
          <w:b w:val="0"/>
          <w:i w:val="0"/>
          <w:sz w:val="22"/>
        </w:rPr>
        <w:t>NEREID-B ingests seven classes of input:</w:t>
      </w:r>
    </w:p>
    <w:p>
      <w:pPr>
        <w:pStyle w:val="ListBullet"/>
        <w:spacing w:after="40"/>
      </w:pPr>
      <w:r>
        <w:rPr>
          <w:rFonts w:ascii="Calibri" w:hAnsi="Calibri"/>
          <w:sz w:val="22"/>
        </w:rPr>
        <w:t>A. Effluent / brine discharge characteristics (the source term).</w:t>
      </w:r>
    </w:p>
    <w:p>
      <w:pPr>
        <w:pStyle w:val="ListBullet"/>
        <w:spacing w:after="40"/>
      </w:pPr>
      <w:r>
        <w:rPr>
          <w:rFonts w:ascii="Calibri" w:hAnsi="Calibri"/>
          <w:sz w:val="22"/>
        </w:rPr>
        <w:t>B. Pipe &amp; diffuser geometry and hydraulics (the boundary device).</w:t>
      </w:r>
    </w:p>
    <w:p>
      <w:pPr>
        <w:pStyle w:val="ListBullet"/>
        <w:spacing w:after="40"/>
      </w:pPr>
      <w:r>
        <w:rPr>
          <w:rFonts w:ascii="Calibri" w:hAnsi="Calibri"/>
          <w:sz w:val="22"/>
        </w:rPr>
        <w:t>C. Ambient sea state — physical (salinity, temperature, density, pressure).</w:t>
      </w:r>
    </w:p>
    <w:p>
      <w:pPr>
        <w:pStyle w:val="ListBullet"/>
        <w:spacing w:after="40"/>
      </w:pPr>
      <w:r>
        <w:rPr>
          <w:rFonts w:ascii="Calibri" w:hAnsi="Calibri"/>
          <w:sz w:val="22"/>
        </w:rPr>
        <w:t>D. Ambient sea dynamics — currents, tides, waves, turbulence (the moving sea).</w:t>
      </w:r>
    </w:p>
    <w:p>
      <w:pPr>
        <w:pStyle w:val="ListBullet"/>
        <w:spacing w:after="40"/>
      </w:pPr>
      <w:r>
        <w:rPr>
          <w:rFonts w:ascii="Calibri" w:hAnsi="Calibri"/>
          <w:sz w:val="22"/>
        </w:rPr>
        <w:t>E. Atmospheric / air–sea forcing (wind, heat, evaporation).</w:t>
      </w:r>
    </w:p>
    <w:p>
      <w:pPr>
        <w:pStyle w:val="ListBullet"/>
        <w:spacing w:after="40"/>
      </w:pPr>
      <w:r>
        <w:rPr>
          <w:rFonts w:ascii="Calibri" w:hAnsi="Calibri"/>
          <w:sz w:val="22"/>
        </w:rPr>
        <w:t>F. Bathymetry, terrain &amp; domain geometry.</w:t>
      </w:r>
    </w:p>
    <w:p>
      <w:pPr>
        <w:pStyle w:val="ListBullet"/>
        <w:spacing w:after="40"/>
      </w:pPr>
      <w:r>
        <w:rPr>
          <w:rFonts w:ascii="Calibri" w:hAnsi="Calibri"/>
          <w:sz w:val="22"/>
        </w:rPr>
        <w:t>G. Thermodynamic, coupling &amp; stochastic coefficients (closure data).</w:t>
      </w:r>
    </w:p>
    <w:p>
      <w:pPr>
        <w:spacing w:after="120"/>
      </w:pPr>
      <w:r>
        <w:rPr>
          <w:rFonts w:ascii="Calibri" w:hAnsi="Calibri"/>
          <w:b w:val="0"/>
          <w:i w:val="0"/>
          <w:sz w:val="22"/>
        </w:rPr>
        <w:t>Classes A–B define the source and how it is injected; C–F define the receiving environment and its forcing; G supplies the physical constants and the statistics of the unpredictable forcing.</w:t>
      </w:r>
    </w:p>
    <w:p>
      <w:pPr>
        <w:pStyle w:val="Heading1"/>
      </w:pPr>
      <w:r>
        <w:t>2. Class A — Effluent / Brine Discharge (Source Term)</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720"/>
            <w:shd w:val="clear" w:color="auto" w:fill="1F4E79"/>
          </w:tcPr>
          <w:p>
            <w:r/>
            <w:r>
              <w:rPr>
                <w:rFonts w:ascii="Calibri" w:hAnsi="Calibri"/>
                <w:b/>
                <w:color w:val="FFFFFF"/>
                <w:sz w:val="17"/>
              </w:rPr>
              <w:t>Sym.</w:t>
            </w:r>
          </w:p>
        </w:tc>
        <w:tc>
          <w:tcPr>
            <w:tcW w:type="dxa" w:w="1872"/>
            <w:shd w:val="clear" w:color="auto" w:fill="1F4E79"/>
          </w:tcPr>
          <w:p>
            <w:r/>
            <w:r>
              <w:rPr>
                <w:rFonts w:ascii="Calibri" w:hAnsi="Calibri"/>
                <w:b/>
                <w:color w:val="FFFFFF"/>
                <w:sz w:val="17"/>
              </w:rPr>
              <w:t>Quantity</w:t>
            </w:r>
          </w:p>
        </w:tc>
        <w:tc>
          <w:tcPr>
            <w:tcW w:type="dxa" w:w="2736"/>
            <w:shd w:val="clear" w:color="auto" w:fill="1F4E79"/>
          </w:tcPr>
          <w:p>
            <w:r/>
            <w:r>
              <w:rPr>
                <w:rFonts w:ascii="Calibri" w:hAnsi="Calibri"/>
                <w:b/>
                <w:color w:val="FFFFFF"/>
                <w:sz w:val="17"/>
              </w:rPr>
              <w:t>How acquired</w:t>
            </w:r>
          </w:p>
        </w:tc>
        <w:tc>
          <w:tcPr>
            <w:tcW w:type="dxa" w:w="2160"/>
            <w:shd w:val="clear" w:color="auto" w:fill="1F4E79"/>
          </w:tcPr>
          <w:p>
            <w:r/>
            <w:r>
              <w:rPr>
                <w:rFonts w:ascii="Calibri" w:hAnsi="Calibri"/>
                <w:b/>
                <w:color w:val="FFFFFF"/>
                <w:sz w:val="17"/>
              </w:rPr>
              <w:t>Resolution / accuracy</w:t>
            </w:r>
          </w:p>
        </w:tc>
        <w:tc>
          <w:tcPr>
            <w:tcW w:type="dxa" w:w="1008"/>
            <w:shd w:val="clear" w:color="auto" w:fill="1F4E79"/>
          </w:tcPr>
          <w:p>
            <w:r/>
            <w:r>
              <w:rPr>
                <w:rFonts w:ascii="Calibri" w:hAnsi="Calibri"/>
                <w:b/>
                <w:color w:val="FFFFFF"/>
                <w:sz w:val="17"/>
              </w:rPr>
              <w:t>Update</w:t>
            </w:r>
          </w:p>
        </w:tc>
        <w:tc>
          <w:tcPr>
            <w:tcW w:type="dxa" w:w="576"/>
            <w:shd w:val="clear" w:color="auto" w:fill="1F4E79"/>
          </w:tcPr>
          <w:p>
            <w:r/>
            <w:r>
              <w:rPr>
                <w:rFonts w:ascii="Calibri" w:hAnsi="Calibri"/>
                <w:b/>
                <w:color w:val="FFFFFF"/>
                <w:sz w:val="17"/>
              </w:rPr>
              <w:t>Pri.</w:t>
            </w:r>
          </w:p>
        </w:tc>
      </w:tr>
      <w:tr>
        <w:tc>
          <w:tcPr>
            <w:tcW w:type="dxa" w:w="720"/>
          </w:tcPr>
          <w:p>
            <w:r/>
            <w:r>
              <w:rPr>
                <w:rFonts w:ascii="Cambria Math" w:hAnsi="Cambria Math"/>
                <w:sz w:val="17"/>
              </w:rPr>
              <w:t>S₀</w:t>
            </w:r>
          </w:p>
        </w:tc>
        <w:tc>
          <w:tcPr>
            <w:tcW w:type="dxa" w:w="1872"/>
          </w:tcPr>
          <w:p>
            <w:r/>
            <w:r>
              <w:rPr>
                <w:rFonts w:ascii="Calibri" w:hAnsi="Calibri"/>
                <w:sz w:val="17"/>
              </w:rPr>
              <w:t>Brine salinity / TDS</w:t>
            </w:r>
          </w:p>
        </w:tc>
        <w:tc>
          <w:tcPr>
            <w:tcW w:type="dxa" w:w="2736"/>
          </w:tcPr>
          <w:p>
            <w:r/>
            <w:r>
              <w:rPr>
                <w:rFonts w:ascii="Calibri" w:hAnsi="Calibri"/>
                <w:sz w:val="17"/>
              </w:rPr>
              <w:t>In-line conductivity &amp; density meter on reject line; lab TDS</w:t>
            </w:r>
          </w:p>
        </w:tc>
        <w:tc>
          <w:tcPr>
            <w:tcW w:type="dxa" w:w="2160"/>
          </w:tcPr>
          <w:p>
            <w:r/>
            <w:r>
              <w:rPr>
                <w:rFonts w:ascii="Calibri" w:hAnsi="Calibri"/>
                <w:sz w:val="17"/>
              </w:rPr>
              <w:t>±0.1 g kg⁻¹; continuous</w:t>
            </w:r>
          </w:p>
        </w:tc>
        <w:tc>
          <w:tcPr>
            <w:tcW w:type="dxa" w:w="1008"/>
          </w:tcPr>
          <w:p>
            <w:r/>
            <w:r>
              <w:rPr>
                <w:rFonts w:ascii="Calibri" w:hAnsi="Calibri"/>
                <w:sz w:val="17"/>
              </w:rPr>
              <w:t>1 min–1 h</w:t>
            </w:r>
          </w:p>
        </w:tc>
        <w:tc>
          <w:tcPr>
            <w:tcW w:type="dxa" w:w="576"/>
          </w:tcPr>
          <w:p>
            <w:r/>
            <w:r>
              <w:rPr>
                <w:rFonts w:ascii="Calibri" w:hAnsi="Calibri"/>
                <w:sz w:val="17"/>
              </w:rPr>
              <w:t>R</w:t>
            </w:r>
          </w:p>
        </w:tc>
      </w:tr>
      <w:tr>
        <w:tc>
          <w:tcPr>
            <w:tcW w:type="dxa" w:w="720"/>
          </w:tcPr>
          <w:p>
            <w:r/>
            <w:r>
              <w:rPr>
                <w:rFonts w:ascii="Cambria Math" w:hAnsi="Cambria Math"/>
                <w:sz w:val="17"/>
              </w:rPr>
              <w:t>Q_d</w:t>
            </w:r>
          </w:p>
        </w:tc>
        <w:tc>
          <w:tcPr>
            <w:tcW w:type="dxa" w:w="1872"/>
          </w:tcPr>
          <w:p>
            <w:r/>
            <w:r>
              <w:rPr>
                <w:rFonts w:ascii="Calibri" w:hAnsi="Calibri"/>
                <w:sz w:val="17"/>
              </w:rPr>
              <w:t>Discharge flow rate</w:t>
            </w:r>
          </w:p>
        </w:tc>
        <w:tc>
          <w:tcPr>
            <w:tcW w:type="dxa" w:w="2736"/>
          </w:tcPr>
          <w:p>
            <w:r/>
            <w:r>
              <w:rPr>
                <w:rFonts w:ascii="Calibri" w:hAnsi="Calibri"/>
                <w:sz w:val="17"/>
              </w:rPr>
              <w:t>Magnetic / ultrasonic flowmeter on outfall</w:t>
            </w:r>
          </w:p>
        </w:tc>
        <w:tc>
          <w:tcPr>
            <w:tcW w:type="dxa" w:w="2160"/>
          </w:tcPr>
          <w:p>
            <w:r/>
            <w:r>
              <w:rPr>
                <w:rFonts w:ascii="Calibri" w:hAnsi="Calibri"/>
                <w:sz w:val="17"/>
              </w:rPr>
              <w:t>±2 %</w:t>
            </w:r>
          </w:p>
        </w:tc>
        <w:tc>
          <w:tcPr>
            <w:tcW w:type="dxa" w:w="1008"/>
          </w:tcPr>
          <w:p>
            <w:r/>
            <w:r>
              <w:rPr>
                <w:rFonts w:ascii="Calibri" w:hAnsi="Calibri"/>
                <w:sz w:val="17"/>
              </w:rPr>
              <w:t>1 min</w:t>
            </w:r>
          </w:p>
        </w:tc>
        <w:tc>
          <w:tcPr>
            <w:tcW w:type="dxa" w:w="576"/>
          </w:tcPr>
          <w:p>
            <w:r/>
            <w:r>
              <w:rPr>
                <w:rFonts w:ascii="Calibri" w:hAnsi="Calibri"/>
                <w:sz w:val="17"/>
              </w:rPr>
              <w:t>R</w:t>
            </w:r>
          </w:p>
        </w:tc>
      </w:tr>
      <w:tr>
        <w:tc>
          <w:tcPr>
            <w:tcW w:type="dxa" w:w="720"/>
          </w:tcPr>
          <w:p>
            <w:r/>
            <w:r>
              <w:rPr>
                <w:rFonts w:ascii="Cambria Math" w:hAnsi="Cambria Math"/>
                <w:sz w:val="17"/>
              </w:rPr>
              <w:t>U_d</w:t>
            </w:r>
          </w:p>
        </w:tc>
        <w:tc>
          <w:tcPr>
            <w:tcW w:type="dxa" w:w="1872"/>
          </w:tcPr>
          <w:p>
            <w:r/>
            <w:r>
              <w:rPr>
                <w:rFonts w:ascii="Calibri" w:hAnsi="Calibri"/>
                <w:sz w:val="17"/>
              </w:rPr>
              <w:t>Nozzle exit velocity</w:t>
            </w:r>
          </w:p>
        </w:tc>
        <w:tc>
          <w:tcPr>
            <w:tcW w:type="dxa" w:w="2736"/>
          </w:tcPr>
          <w:p>
            <w:r/>
            <w:r>
              <w:rPr>
                <w:rFonts w:ascii="Calibri" w:hAnsi="Calibri"/>
                <w:sz w:val="17"/>
              </w:rPr>
              <w:t>Derived: Q_d / port area</w:t>
            </w:r>
          </w:p>
        </w:tc>
        <w:tc>
          <w:tcPr>
            <w:tcW w:type="dxa" w:w="2160"/>
          </w:tcPr>
          <w:p>
            <w:r/>
            <w:r>
              <w:rPr>
                <w:rFonts w:ascii="Calibri" w:hAnsi="Calibri"/>
                <w:sz w:val="17"/>
              </w:rPr>
              <w:t>from Q_d &amp; geometry</w:t>
            </w:r>
          </w:p>
        </w:tc>
        <w:tc>
          <w:tcPr>
            <w:tcW w:type="dxa" w:w="1008"/>
          </w:tcPr>
          <w:p>
            <w:r/>
            <w:r>
              <w:rPr>
                <w:rFonts w:ascii="Calibri" w:hAnsi="Calibri"/>
                <w:sz w:val="17"/>
              </w:rPr>
              <w:t>1 min</w:t>
            </w:r>
          </w:p>
        </w:tc>
        <w:tc>
          <w:tcPr>
            <w:tcW w:type="dxa" w:w="576"/>
          </w:tcPr>
          <w:p>
            <w:r/>
            <w:r>
              <w:rPr>
                <w:rFonts w:ascii="Calibri" w:hAnsi="Calibri"/>
                <w:sz w:val="17"/>
              </w:rPr>
              <w:t>R</w:t>
            </w:r>
          </w:p>
        </w:tc>
      </w:tr>
      <w:tr>
        <w:tc>
          <w:tcPr>
            <w:tcW w:type="dxa" w:w="720"/>
          </w:tcPr>
          <w:p>
            <w:r/>
            <w:r>
              <w:rPr>
                <w:rFonts w:ascii="Cambria Math" w:hAnsi="Cambria Math"/>
                <w:sz w:val="17"/>
              </w:rPr>
              <w:t>p_d</w:t>
            </w:r>
          </w:p>
        </w:tc>
        <w:tc>
          <w:tcPr>
            <w:tcW w:type="dxa" w:w="1872"/>
          </w:tcPr>
          <w:p>
            <w:r/>
            <w:r>
              <w:rPr>
                <w:rFonts w:ascii="Calibri" w:hAnsi="Calibri"/>
                <w:sz w:val="17"/>
              </w:rPr>
              <w:t>Discharge pressure</w:t>
            </w:r>
          </w:p>
        </w:tc>
        <w:tc>
          <w:tcPr>
            <w:tcW w:type="dxa" w:w="2736"/>
          </w:tcPr>
          <w:p>
            <w:r/>
            <w:r>
              <w:rPr>
                <w:rFonts w:ascii="Calibri" w:hAnsi="Calibri"/>
                <w:sz w:val="17"/>
              </w:rPr>
              <w:t>Pressure transducer at manifold/port</w:t>
            </w:r>
          </w:p>
        </w:tc>
        <w:tc>
          <w:tcPr>
            <w:tcW w:type="dxa" w:w="2160"/>
          </w:tcPr>
          <w:p>
            <w:r/>
            <w:r>
              <w:rPr>
                <w:rFonts w:ascii="Calibri" w:hAnsi="Calibri"/>
                <w:sz w:val="17"/>
              </w:rPr>
              <w:t>±1 %</w:t>
            </w:r>
          </w:p>
        </w:tc>
        <w:tc>
          <w:tcPr>
            <w:tcW w:type="dxa" w:w="1008"/>
          </w:tcPr>
          <w:p>
            <w:r/>
            <w:r>
              <w:rPr>
                <w:rFonts w:ascii="Calibri" w:hAnsi="Calibri"/>
                <w:sz w:val="17"/>
              </w:rPr>
              <w:t>1 min</w:t>
            </w:r>
          </w:p>
        </w:tc>
        <w:tc>
          <w:tcPr>
            <w:tcW w:type="dxa" w:w="576"/>
          </w:tcPr>
          <w:p>
            <w:r/>
            <w:r>
              <w:rPr>
                <w:rFonts w:ascii="Calibri" w:hAnsi="Calibri"/>
                <w:sz w:val="17"/>
              </w:rPr>
              <w:t>S</w:t>
            </w:r>
          </w:p>
        </w:tc>
      </w:tr>
      <w:tr>
        <w:tc>
          <w:tcPr>
            <w:tcW w:type="dxa" w:w="720"/>
          </w:tcPr>
          <w:p>
            <w:r/>
            <w:r>
              <w:rPr>
                <w:rFonts w:ascii="Cambria Math" w:hAnsi="Cambria Math"/>
                <w:sz w:val="17"/>
              </w:rPr>
              <w:t>T_b</w:t>
            </w:r>
          </w:p>
        </w:tc>
        <w:tc>
          <w:tcPr>
            <w:tcW w:type="dxa" w:w="1872"/>
          </w:tcPr>
          <w:p>
            <w:r/>
            <w:r>
              <w:rPr>
                <w:rFonts w:ascii="Calibri" w:hAnsi="Calibri"/>
                <w:sz w:val="17"/>
              </w:rPr>
              <w:t>Brine temperature</w:t>
            </w:r>
          </w:p>
        </w:tc>
        <w:tc>
          <w:tcPr>
            <w:tcW w:type="dxa" w:w="2736"/>
          </w:tcPr>
          <w:p>
            <w:r/>
            <w:r>
              <w:rPr>
                <w:rFonts w:ascii="Calibri" w:hAnsi="Calibri"/>
                <w:sz w:val="17"/>
              </w:rPr>
              <w:t>In-line RTD/thermistor</w:t>
            </w:r>
          </w:p>
        </w:tc>
        <w:tc>
          <w:tcPr>
            <w:tcW w:type="dxa" w:w="2160"/>
          </w:tcPr>
          <w:p>
            <w:r/>
            <w:r>
              <w:rPr>
                <w:rFonts w:ascii="Calibri" w:hAnsi="Calibri"/>
                <w:sz w:val="17"/>
              </w:rPr>
              <w:t>±0.1 °C</w:t>
            </w:r>
          </w:p>
        </w:tc>
        <w:tc>
          <w:tcPr>
            <w:tcW w:type="dxa" w:w="1008"/>
          </w:tcPr>
          <w:p>
            <w:r/>
            <w:r>
              <w:rPr>
                <w:rFonts w:ascii="Calibri" w:hAnsi="Calibri"/>
                <w:sz w:val="17"/>
              </w:rPr>
              <w:t>1 min</w:t>
            </w:r>
          </w:p>
        </w:tc>
        <w:tc>
          <w:tcPr>
            <w:tcW w:type="dxa" w:w="576"/>
          </w:tcPr>
          <w:p>
            <w:r/>
            <w:r>
              <w:rPr>
                <w:rFonts w:ascii="Calibri" w:hAnsi="Calibri"/>
                <w:sz w:val="17"/>
              </w:rPr>
              <w:t>R</w:t>
            </w:r>
          </w:p>
        </w:tc>
      </w:tr>
      <w:tr>
        <w:tc>
          <w:tcPr>
            <w:tcW w:type="dxa" w:w="720"/>
          </w:tcPr>
          <w:p>
            <w:r/>
            <w:r>
              <w:rPr>
                <w:rFonts w:ascii="Cambria Math" w:hAnsi="Cambria Math"/>
                <w:sz w:val="17"/>
              </w:rPr>
              <w:t>ρ_b</w:t>
            </w:r>
          </w:p>
        </w:tc>
        <w:tc>
          <w:tcPr>
            <w:tcW w:type="dxa" w:w="1872"/>
          </w:tcPr>
          <w:p>
            <w:r/>
            <w:r>
              <w:rPr>
                <w:rFonts w:ascii="Calibri" w:hAnsi="Calibri"/>
                <w:sz w:val="17"/>
              </w:rPr>
              <w:t>Brine density</w:t>
            </w:r>
          </w:p>
        </w:tc>
        <w:tc>
          <w:tcPr>
            <w:tcW w:type="dxa" w:w="2736"/>
          </w:tcPr>
          <w:p>
            <w:r/>
            <w:r>
              <w:rPr>
                <w:rFonts w:ascii="Calibri" w:hAnsi="Calibri"/>
                <w:sz w:val="17"/>
              </w:rPr>
              <w:t>Density meter or from S₀,T_b via EOS</w:t>
            </w:r>
          </w:p>
        </w:tc>
        <w:tc>
          <w:tcPr>
            <w:tcW w:type="dxa" w:w="2160"/>
          </w:tcPr>
          <w:p>
            <w:r/>
            <w:r>
              <w:rPr>
                <w:rFonts w:ascii="Calibri" w:hAnsi="Calibri"/>
                <w:sz w:val="17"/>
              </w:rPr>
              <w:t>±0.5 kg m⁻³</w:t>
            </w:r>
          </w:p>
        </w:tc>
        <w:tc>
          <w:tcPr>
            <w:tcW w:type="dxa" w:w="1008"/>
          </w:tcPr>
          <w:p>
            <w:r/>
            <w:r>
              <w:rPr>
                <w:rFonts w:ascii="Calibri" w:hAnsi="Calibri"/>
                <w:sz w:val="17"/>
              </w:rPr>
              <w:t>1 min</w:t>
            </w:r>
          </w:p>
        </w:tc>
        <w:tc>
          <w:tcPr>
            <w:tcW w:type="dxa" w:w="576"/>
          </w:tcPr>
          <w:p>
            <w:r/>
            <w:r>
              <w:rPr>
                <w:rFonts w:ascii="Calibri" w:hAnsi="Calibri"/>
                <w:sz w:val="17"/>
              </w:rPr>
              <w:t>R</w:t>
            </w:r>
          </w:p>
        </w:tc>
      </w:tr>
      <w:tr>
        <w:tc>
          <w:tcPr>
            <w:tcW w:type="dxa" w:w="720"/>
          </w:tcPr>
          <w:p>
            <w:r/>
            <w:r>
              <w:rPr>
                <w:rFonts w:ascii="Cambria Math" w:hAnsi="Cambria Math"/>
                <w:sz w:val="17"/>
              </w:rPr>
              <w:t>composition</w:t>
            </w:r>
          </w:p>
        </w:tc>
        <w:tc>
          <w:tcPr>
            <w:tcW w:type="dxa" w:w="1872"/>
          </w:tcPr>
          <w:p>
            <w:r/>
            <w:r>
              <w:rPr>
                <w:rFonts w:ascii="Calibri" w:hAnsi="Calibri"/>
                <w:sz w:val="17"/>
              </w:rPr>
              <w:t>Ion composition (Na,Cl,Ca,Mg,SO₄)</w:t>
            </w:r>
          </w:p>
        </w:tc>
        <w:tc>
          <w:tcPr>
            <w:tcW w:type="dxa" w:w="2736"/>
          </w:tcPr>
          <w:p>
            <w:r/>
            <w:r>
              <w:rPr>
                <w:rFonts w:ascii="Calibri" w:hAnsi="Calibri"/>
                <w:sz w:val="17"/>
              </w:rPr>
              <w:t>Periodic lab ion chromatography</w:t>
            </w:r>
          </w:p>
        </w:tc>
        <w:tc>
          <w:tcPr>
            <w:tcW w:type="dxa" w:w="2160"/>
          </w:tcPr>
          <w:p>
            <w:r/>
            <w:r>
              <w:rPr>
                <w:rFonts w:ascii="Calibri" w:hAnsi="Calibri"/>
                <w:sz w:val="17"/>
              </w:rPr>
              <w:t>—</w:t>
            </w:r>
          </w:p>
        </w:tc>
        <w:tc>
          <w:tcPr>
            <w:tcW w:type="dxa" w:w="1008"/>
          </w:tcPr>
          <w:p>
            <w:r/>
            <w:r>
              <w:rPr>
                <w:rFonts w:ascii="Calibri" w:hAnsi="Calibri"/>
                <w:sz w:val="17"/>
              </w:rPr>
              <w:t>weekly</w:t>
            </w:r>
          </w:p>
        </w:tc>
        <w:tc>
          <w:tcPr>
            <w:tcW w:type="dxa" w:w="576"/>
          </w:tcPr>
          <w:p>
            <w:r/>
            <w:r>
              <w:rPr>
                <w:rFonts w:ascii="Calibri" w:hAnsi="Calibri"/>
                <w:sz w:val="17"/>
              </w:rPr>
              <w:t>S</w:t>
            </w:r>
          </w:p>
        </w:tc>
      </w:tr>
      <w:tr>
        <w:tc>
          <w:tcPr>
            <w:tcW w:type="dxa" w:w="720"/>
          </w:tcPr>
          <w:p>
            <w:r/>
            <w:r>
              <w:rPr>
                <w:rFonts w:ascii="Cambria Math" w:hAnsi="Cambria Math"/>
                <w:sz w:val="17"/>
              </w:rPr>
              <w:t>S_anti</w:t>
            </w:r>
          </w:p>
        </w:tc>
        <w:tc>
          <w:tcPr>
            <w:tcW w:type="dxa" w:w="1872"/>
          </w:tcPr>
          <w:p>
            <w:r/>
            <w:r>
              <w:rPr>
                <w:rFonts w:ascii="Calibri" w:hAnsi="Calibri"/>
                <w:sz w:val="17"/>
              </w:rPr>
              <w:t>Anti-scalant/additive load</w:t>
            </w:r>
          </w:p>
        </w:tc>
        <w:tc>
          <w:tcPr>
            <w:tcW w:type="dxa" w:w="2736"/>
          </w:tcPr>
          <w:p>
            <w:r/>
            <w:r>
              <w:rPr>
                <w:rFonts w:ascii="Calibri" w:hAnsi="Calibri"/>
                <w:sz w:val="17"/>
              </w:rPr>
              <w:t>Plant dosing records</w:t>
            </w:r>
          </w:p>
        </w:tc>
        <w:tc>
          <w:tcPr>
            <w:tcW w:type="dxa" w:w="2160"/>
          </w:tcPr>
          <w:p>
            <w:r/>
            <w:r>
              <w:rPr>
                <w:rFonts w:ascii="Calibri" w:hAnsi="Calibri"/>
                <w:sz w:val="17"/>
              </w:rPr>
              <w:t>as dosed</w:t>
            </w:r>
          </w:p>
        </w:tc>
        <w:tc>
          <w:tcPr>
            <w:tcW w:type="dxa" w:w="1008"/>
          </w:tcPr>
          <w:p>
            <w:r/>
            <w:r>
              <w:rPr>
                <w:rFonts w:ascii="Calibri" w:hAnsi="Calibri"/>
                <w:sz w:val="17"/>
              </w:rPr>
              <w:t>per batch</w:t>
            </w:r>
          </w:p>
        </w:tc>
        <w:tc>
          <w:tcPr>
            <w:tcW w:type="dxa" w:w="576"/>
          </w:tcPr>
          <w:p>
            <w:r/>
            <w:r>
              <w:rPr>
                <w:rFonts w:ascii="Calibri" w:hAnsi="Calibri"/>
                <w:sz w:val="17"/>
              </w:rPr>
              <w:t>O</w:t>
            </w:r>
          </w:p>
        </w:tc>
      </w:tr>
      <w:tr>
        <w:tc>
          <w:tcPr>
            <w:tcW w:type="dxa" w:w="720"/>
          </w:tcPr>
          <w:p>
            <w:r/>
            <w:r>
              <w:rPr>
                <w:rFonts w:ascii="Cambria Math" w:hAnsi="Cambria Math"/>
                <w:sz w:val="17"/>
              </w:rPr>
              <w:t>pH, DO</w:t>
            </w:r>
          </w:p>
        </w:tc>
        <w:tc>
          <w:tcPr>
            <w:tcW w:type="dxa" w:w="1872"/>
          </w:tcPr>
          <w:p>
            <w:r/>
            <w:r>
              <w:rPr>
                <w:rFonts w:ascii="Calibri" w:hAnsi="Calibri"/>
                <w:sz w:val="17"/>
              </w:rPr>
              <w:t>Reject pH, dissolved oxygen</w:t>
            </w:r>
          </w:p>
        </w:tc>
        <w:tc>
          <w:tcPr>
            <w:tcW w:type="dxa" w:w="2736"/>
          </w:tcPr>
          <w:p>
            <w:r/>
            <w:r>
              <w:rPr>
                <w:rFonts w:ascii="Calibri" w:hAnsi="Calibri"/>
                <w:sz w:val="17"/>
              </w:rPr>
              <w:t>In-line probes</w:t>
            </w:r>
          </w:p>
        </w:tc>
        <w:tc>
          <w:tcPr>
            <w:tcW w:type="dxa" w:w="2160"/>
          </w:tcPr>
          <w:p>
            <w:r/>
            <w:r>
              <w:rPr>
                <w:rFonts w:ascii="Calibri" w:hAnsi="Calibri"/>
                <w:sz w:val="17"/>
              </w:rPr>
              <w:t>±0.1 pH</w:t>
            </w:r>
          </w:p>
        </w:tc>
        <w:tc>
          <w:tcPr>
            <w:tcW w:type="dxa" w:w="1008"/>
          </w:tcPr>
          <w:p>
            <w:r/>
            <w:r>
              <w:rPr>
                <w:rFonts w:ascii="Calibri" w:hAnsi="Calibri"/>
                <w:sz w:val="17"/>
              </w:rPr>
              <w:t>1 h</w:t>
            </w:r>
          </w:p>
        </w:tc>
        <w:tc>
          <w:tcPr>
            <w:tcW w:type="dxa" w:w="576"/>
          </w:tcPr>
          <w:p>
            <w:r/>
            <w:r>
              <w:rPr>
                <w:rFonts w:ascii="Calibri" w:hAnsi="Calibri"/>
                <w:sz w:val="17"/>
              </w:rPr>
              <w:t>O</w:t>
            </w:r>
          </w:p>
        </w:tc>
      </w:tr>
    </w:tbl>
    <w:p>
      <w:pPr>
        <w:pStyle w:val="Heading1"/>
      </w:pPr>
      <w:r>
        <w:t>3. Class B — Pipe &amp; Diffuser Geometry and Hydraulics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864"/>
            <w:shd w:val="clear" w:color="auto" w:fill="1F4E79"/>
          </w:tcPr>
          <w:p>
            <w:r/>
            <w:r>
              <w:rPr>
                <w:rFonts w:ascii="Calibri" w:hAnsi="Calibri"/>
                <w:b/>
                <w:color w:val="FFFFFF"/>
                <w:sz w:val="17"/>
              </w:rPr>
              <w:t>Sym.</w:t>
            </w:r>
          </w:p>
        </w:tc>
        <w:tc>
          <w:tcPr>
            <w:tcW w:type="dxa" w:w="2016"/>
            <w:shd w:val="clear" w:color="auto" w:fill="1F4E79"/>
          </w:tcPr>
          <w:p>
            <w:r/>
            <w:r>
              <w:rPr>
                <w:rFonts w:ascii="Calibri" w:hAnsi="Calibri"/>
                <w:b/>
                <w:color w:val="FFFFFF"/>
                <w:sz w:val="17"/>
              </w:rPr>
              <w:t>Quantity</w:t>
            </w:r>
          </w:p>
        </w:tc>
        <w:tc>
          <w:tcPr>
            <w:tcW w:type="dxa" w:w="2592"/>
            <w:shd w:val="clear" w:color="auto" w:fill="1F4E79"/>
          </w:tcPr>
          <w:p>
            <w:r/>
            <w:r>
              <w:rPr>
                <w:rFonts w:ascii="Calibri" w:hAnsi="Calibri"/>
                <w:b/>
                <w:color w:val="FFFFFF"/>
                <w:sz w:val="17"/>
              </w:rPr>
              <w:t>How acquired</w:t>
            </w:r>
          </w:p>
        </w:tc>
        <w:tc>
          <w:tcPr>
            <w:tcW w:type="dxa" w:w="2160"/>
            <w:shd w:val="clear" w:color="auto" w:fill="1F4E79"/>
          </w:tcPr>
          <w:p>
            <w:r/>
            <w:r>
              <w:rPr>
                <w:rFonts w:ascii="Calibri" w:hAnsi="Calibri"/>
                <w:b/>
                <w:color w:val="FFFFFF"/>
                <w:sz w:val="17"/>
              </w:rPr>
              <w:t>Resolution / accuracy</w:t>
            </w:r>
          </w:p>
        </w:tc>
        <w:tc>
          <w:tcPr>
            <w:tcW w:type="dxa" w:w="864"/>
            <w:shd w:val="clear" w:color="auto" w:fill="1F4E79"/>
          </w:tcPr>
          <w:p>
            <w:r/>
            <w:r>
              <w:rPr>
                <w:rFonts w:ascii="Calibri" w:hAnsi="Calibri"/>
                <w:b/>
                <w:color w:val="FFFFFF"/>
                <w:sz w:val="17"/>
              </w:rPr>
              <w:t>Update</w:t>
            </w:r>
          </w:p>
        </w:tc>
        <w:tc>
          <w:tcPr>
            <w:tcW w:type="dxa" w:w="576"/>
            <w:shd w:val="clear" w:color="auto" w:fill="1F4E79"/>
          </w:tcPr>
          <w:p>
            <w:r/>
            <w:r>
              <w:rPr>
                <w:rFonts w:ascii="Calibri" w:hAnsi="Calibri"/>
                <w:b/>
                <w:color w:val="FFFFFF"/>
                <w:sz w:val="17"/>
              </w:rPr>
              <w:t>Pri.</w:t>
            </w:r>
          </w:p>
        </w:tc>
      </w:tr>
      <w:tr>
        <w:tc>
          <w:tcPr>
            <w:tcW w:type="dxa" w:w="864"/>
          </w:tcPr>
          <w:p>
            <w:r/>
            <w:r>
              <w:rPr>
                <w:rFonts w:ascii="Cambria Math" w:hAnsi="Cambria Math"/>
                <w:sz w:val="17"/>
              </w:rPr>
              <w:t>L_p</w:t>
            </w:r>
          </w:p>
        </w:tc>
        <w:tc>
          <w:tcPr>
            <w:tcW w:type="dxa" w:w="2016"/>
          </w:tcPr>
          <w:p>
            <w:r/>
            <w:r>
              <w:rPr>
                <w:rFonts w:ascii="Calibri" w:hAnsi="Calibri"/>
                <w:sz w:val="17"/>
              </w:rPr>
              <w:t>Pipe length</w:t>
            </w:r>
          </w:p>
        </w:tc>
        <w:tc>
          <w:tcPr>
            <w:tcW w:type="dxa" w:w="2592"/>
          </w:tcPr>
          <w:p>
            <w:r/>
            <w:r>
              <w:rPr>
                <w:rFonts w:ascii="Calibri" w:hAnsi="Calibri"/>
                <w:sz w:val="17"/>
              </w:rPr>
              <w:t>Engineering drawings / as-built survey</w:t>
            </w:r>
          </w:p>
        </w:tc>
        <w:tc>
          <w:tcPr>
            <w:tcW w:type="dxa" w:w="2160"/>
          </w:tcPr>
          <w:p>
            <w:r/>
            <w:r>
              <w:rPr>
                <w:rFonts w:ascii="Calibri" w:hAnsi="Calibri"/>
                <w:sz w:val="17"/>
              </w:rPr>
              <w:t>±0.1 m</w:t>
            </w:r>
          </w:p>
        </w:tc>
        <w:tc>
          <w:tcPr>
            <w:tcW w:type="dxa" w:w="864"/>
          </w:tcPr>
          <w:p>
            <w:r/>
            <w:r>
              <w:rPr>
                <w:rFonts w:ascii="Calibri" w:hAnsi="Calibri"/>
                <w:sz w:val="17"/>
              </w:rPr>
              <w:t>static</w:t>
            </w:r>
          </w:p>
        </w:tc>
        <w:tc>
          <w:tcPr>
            <w:tcW w:type="dxa" w:w="576"/>
          </w:tcPr>
          <w:p>
            <w:r/>
            <w:r>
              <w:rPr>
                <w:rFonts w:ascii="Calibri" w:hAnsi="Calibri"/>
                <w:sz w:val="17"/>
              </w:rPr>
              <w:t>R</w:t>
            </w:r>
          </w:p>
        </w:tc>
      </w:tr>
      <w:tr>
        <w:tc>
          <w:tcPr>
            <w:tcW w:type="dxa" w:w="864"/>
          </w:tcPr>
          <w:p>
            <w:r/>
            <w:r>
              <w:rPr>
                <w:rFonts w:ascii="Cambria Math" w:hAnsi="Cambria Math"/>
                <w:sz w:val="17"/>
              </w:rPr>
              <w:t>d_p</w:t>
            </w:r>
          </w:p>
        </w:tc>
        <w:tc>
          <w:tcPr>
            <w:tcW w:type="dxa" w:w="2016"/>
          </w:tcPr>
          <w:p>
            <w:r/>
            <w:r>
              <w:rPr>
                <w:rFonts w:ascii="Calibri" w:hAnsi="Calibri"/>
                <w:sz w:val="17"/>
              </w:rPr>
              <w:t>Pipe &amp; port diameter</w:t>
            </w:r>
          </w:p>
        </w:tc>
        <w:tc>
          <w:tcPr>
            <w:tcW w:type="dxa" w:w="2592"/>
          </w:tcPr>
          <w:p>
            <w:r/>
            <w:r>
              <w:rPr>
                <w:rFonts w:ascii="Calibri" w:hAnsi="Calibri"/>
                <w:sz w:val="17"/>
              </w:rPr>
              <w:t>As-built / design spec</w:t>
            </w:r>
          </w:p>
        </w:tc>
        <w:tc>
          <w:tcPr>
            <w:tcW w:type="dxa" w:w="2160"/>
          </w:tcPr>
          <w:p>
            <w:r/>
            <w:r>
              <w:rPr>
                <w:rFonts w:ascii="Calibri" w:hAnsi="Calibri"/>
                <w:sz w:val="17"/>
              </w:rPr>
              <w:t>±1 mm</w:t>
            </w:r>
          </w:p>
        </w:tc>
        <w:tc>
          <w:tcPr>
            <w:tcW w:type="dxa" w:w="864"/>
          </w:tcPr>
          <w:p>
            <w:r/>
            <w:r>
              <w:rPr>
                <w:rFonts w:ascii="Calibri" w:hAnsi="Calibri"/>
                <w:sz w:val="17"/>
              </w:rPr>
              <w:t>static</w:t>
            </w:r>
          </w:p>
        </w:tc>
        <w:tc>
          <w:tcPr>
            <w:tcW w:type="dxa" w:w="576"/>
          </w:tcPr>
          <w:p>
            <w:r/>
            <w:r>
              <w:rPr>
                <w:rFonts w:ascii="Calibri" w:hAnsi="Calibri"/>
                <w:sz w:val="17"/>
              </w:rPr>
              <w:t>R</w:t>
            </w:r>
          </w:p>
        </w:tc>
      </w:tr>
      <w:tr>
        <w:tc>
          <w:tcPr>
            <w:tcW w:type="dxa" w:w="864"/>
          </w:tcPr>
          <w:p>
            <w:r/>
            <w:r>
              <w:rPr>
                <w:rFonts w:ascii="Cambria Math" w:hAnsi="Cambria Math"/>
                <w:sz w:val="17"/>
              </w:rPr>
              <w:t>ε_r</w:t>
            </w:r>
          </w:p>
        </w:tc>
        <w:tc>
          <w:tcPr>
            <w:tcW w:type="dxa" w:w="2016"/>
          </w:tcPr>
          <w:p>
            <w:r/>
            <w:r>
              <w:rPr>
                <w:rFonts w:ascii="Calibri" w:hAnsi="Calibri"/>
                <w:sz w:val="17"/>
              </w:rPr>
              <w:t>Wall roughness</w:t>
            </w:r>
          </w:p>
        </w:tc>
        <w:tc>
          <w:tcPr>
            <w:tcW w:type="dxa" w:w="2592"/>
          </w:tcPr>
          <w:p>
            <w:r/>
            <w:r>
              <w:rPr>
                <w:rFonts w:ascii="Calibri" w:hAnsi="Calibri"/>
                <w:sz w:val="17"/>
              </w:rPr>
              <w:t>Material spec; ROV inspection for ageing</w:t>
            </w:r>
          </w:p>
        </w:tc>
        <w:tc>
          <w:tcPr>
            <w:tcW w:type="dxa" w:w="2160"/>
          </w:tcPr>
          <w:p>
            <w:r/>
            <w:r>
              <w:rPr>
                <w:rFonts w:ascii="Calibri" w:hAnsi="Calibri"/>
                <w:sz w:val="17"/>
              </w:rPr>
              <w:t>—</w:t>
            </w:r>
          </w:p>
        </w:tc>
        <w:tc>
          <w:tcPr>
            <w:tcW w:type="dxa" w:w="864"/>
          </w:tcPr>
          <w:p>
            <w:r/>
            <w:r>
              <w:rPr>
                <w:rFonts w:ascii="Calibri" w:hAnsi="Calibri"/>
                <w:sz w:val="17"/>
              </w:rPr>
              <w:t>annual</w:t>
            </w:r>
          </w:p>
        </w:tc>
        <w:tc>
          <w:tcPr>
            <w:tcW w:type="dxa" w:w="576"/>
          </w:tcPr>
          <w:p>
            <w:r/>
            <w:r>
              <w:rPr>
                <w:rFonts w:ascii="Calibri" w:hAnsi="Calibri"/>
                <w:sz w:val="17"/>
              </w:rPr>
              <w:t>S</w:t>
            </w:r>
          </w:p>
        </w:tc>
      </w:tr>
      <w:tr>
        <w:tc>
          <w:tcPr>
            <w:tcW w:type="dxa" w:w="864"/>
          </w:tcPr>
          <w:p>
            <w:r/>
            <w:r>
              <w:rPr>
                <w:rFonts w:ascii="Cambria Math" w:hAnsi="Cambria Math"/>
                <w:sz w:val="17"/>
              </w:rPr>
              <w:t>N_port, s_port</w:t>
            </w:r>
          </w:p>
        </w:tc>
        <w:tc>
          <w:tcPr>
            <w:tcW w:type="dxa" w:w="2016"/>
          </w:tcPr>
          <w:p>
            <w:r/>
            <w:r>
              <w:rPr>
                <w:rFonts w:ascii="Calibri" w:hAnsi="Calibri"/>
                <w:sz w:val="17"/>
              </w:rPr>
              <w:t>Port count &amp; spacing</w:t>
            </w:r>
          </w:p>
        </w:tc>
        <w:tc>
          <w:tcPr>
            <w:tcW w:type="dxa" w:w="2592"/>
          </w:tcPr>
          <w:p>
            <w:r/>
            <w:r>
              <w:rPr>
                <w:rFonts w:ascii="Calibri" w:hAnsi="Calibri"/>
                <w:sz w:val="17"/>
              </w:rPr>
              <w:t>Diffuser design</w:t>
            </w:r>
          </w:p>
        </w:tc>
        <w:tc>
          <w:tcPr>
            <w:tcW w:type="dxa" w:w="2160"/>
          </w:tcPr>
          <w:p>
            <w:r/>
            <w:r>
              <w:rPr>
                <w:rFonts w:ascii="Calibri" w:hAnsi="Calibri"/>
                <w:sz w:val="17"/>
              </w:rPr>
              <w:t>exact</w:t>
            </w:r>
          </w:p>
        </w:tc>
        <w:tc>
          <w:tcPr>
            <w:tcW w:type="dxa" w:w="864"/>
          </w:tcPr>
          <w:p>
            <w:r/>
            <w:r>
              <w:rPr>
                <w:rFonts w:ascii="Calibri" w:hAnsi="Calibri"/>
                <w:sz w:val="17"/>
              </w:rPr>
              <w:t>static</w:t>
            </w:r>
          </w:p>
        </w:tc>
        <w:tc>
          <w:tcPr>
            <w:tcW w:type="dxa" w:w="576"/>
          </w:tcPr>
          <w:p>
            <w:r/>
            <w:r>
              <w:rPr>
                <w:rFonts w:ascii="Calibri" w:hAnsi="Calibri"/>
                <w:sz w:val="17"/>
              </w:rPr>
              <w:t>R</w:t>
            </w:r>
          </w:p>
        </w:tc>
      </w:tr>
      <w:tr>
        <w:tc>
          <w:tcPr>
            <w:tcW w:type="dxa" w:w="864"/>
          </w:tcPr>
          <w:p>
            <w:r/>
            <w:r>
              <w:rPr>
                <w:rFonts w:ascii="Cambria Math" w:hAnsi="Cambria Math"/>
                <w:sz w:val="17"/>
              </w:rPr>
              <w:t>θ, ψ</w:t>
            </w:r>
          </w:p>
        </w:tc>
        <w:tc>
          <w:tcPr>
            <w:tcW w:type="dxa" w:w="2016"/>
          </w:tcPr>
          <w:p>
            <w:r/>
            <w:r>
              <w:rPr>
                <w:rFonts w:ascii="Calibri" w:hAnsi="Calibri"/>
                <w:sz w:val="17"/>
              </w:rPr>
              <w:t>Nozzle elevation &amp; azimuth angle</w:t>
            </w:r>
          </w:p>
        </w:tc>
        <w:tc>
          <w:tcPr>
            <w:tcW w:type="dxa" w:w="2592"/>
          </w:tcPr>
          <w:p>
            <w:r/>
            <w:r>
              <w:rPr>
                <w:rFonts w:ascii="Calibri" w:hAnsi="Calibri"/>
                <w:sz w:val="17"/>
              </w:rPr>
              <w:t>Design + as-built ROV survey</w:t>
            </w:r>
          </w:p>
        </w:tc>
        <w:tc>
          <w:tcPr>
            <w:tcW w:type="dxa" w:w="2160"/>
          </w:tcPr>
          <w:p>
            <w:r/>
            <w:r>
              <w:rPr>
                <w:rFonts w:ascii="Calibri" w:hAnsi="Calibri"/>
                <w:sz w:val="17"/>
              </w:rPr>
              <w:t>±1°</w:t>
            </w:r>
          </w:p>
        </w:tc>
        <w:tc>
          <w:tcPr>
            <w:tcW w:type="dxa" w:w="864"/>
          </w:tcPr>
          <w:p>
            <w:r/>
            <w:r>
              <w:rPr>
                <w:rFonts w:ascii="Calibri" w:hAnsi="Calibri"/>
                <w:sz w:val="17"/>
              </w:rPr>
              <w:t>static</w:t>
            </w:r>
          </w:p>
        </w:tc>
        <w:tc>
          <w:tcPr>
            <w:tcW w:type="dxa" w:w="576"/>
          </w:tcPr>
          <w:p>
            <w:r/>
            <w:r>
              <w:rPr>
                <w:rFonts w:ascii="Calibri" w:hAnsi="Calibri"/>
                <w:sz w:val="17"/>
              </w:rPr>
              <w:t>R</w:t>
            </w:r>
          </w:p>
        </w:tc>
      </w:tr>
      <w:tr>
        <w:tc>
          <w:tcPr>
            <w:tcW w:type="dxa" w:w="864"/>
          </w:tcPr>
          <w:p>
            <w:r/>
            <w:r>
              <w:rPr>
                <w:rFonts w:ascii="Cambria Math" w:hAnsi="Cambria Math"/>
                <w:sz w:val="17"/>
              </w:rPr>
              <w:t>h_n</w:t>
            </w:r>
          </w:p>
        </w:tc>
        <w:tc>
          <w:tcPr>
            <w:tcW w:type="dxa" w:w="2016"/>
          </w:tcPr>
          <w:p>
            <w:r/>
            <w:r>
              <w:rPr>
                <w:rFonts w:ascii="Calibri" w:hAnsi="Calibri"/>
                <w:sz w:val="17"/>
              </w:rPr>
              <w:t>Nozzle height above bed</w:t>
            </w:r>
          </w:p>
        </w:tc>
        <w:tc>
          <w:tcPr>
            <w:tcW w:type="dxa" w:w="2592"/>
          </w:tcPr>
          <w:p>
            <w:r/>
            <w:r>
              <w:rPr>
                <w:rFonts w:ascii="Calibri" w:hAnsi="Calibri"/>
                <w:sz w:val="17"/>
              </w:rPr>
              <w:t>ROV / multibeam survey</w:t>
            </w:r>
          </w:p>
        </w:tc>
        <w:tc>
          <w:tcPr>
            <w:tcW w:type="dxa" w:w="2160"/>
          </w:tcPr>
          <w:p>
            <w:r/>
            <w:r>
              <w:rPr>
                <w:rFonts w:ascii="Calibri" w:hAnsi="Calibri"/>
                <w:sz w:val="17"/>
              </w:rPr>
              <w:t>±0.1 m</w:t>
            </w:r>
          </w:p>
        </w:tc>
        <w:tc>
          <w:tcPr>
            <w:tcW w:type="dxa" w:w="864"/>
          </w:tcPr>
          <w:p>
            <w:r/>
            <w:r>
              <w:rPr>
                <w:rFonts w:ascii="Calibri" w:hAnsi="Calibri"/>
                <w:sz w:val="17"/>
              </w:rPr>
              <w:t>annual</w:t>
            </w:r>
          </w:p>
        </w:tc>
        <w:tc>
          <w:tcPr>
            <w:tcW w:type="dxa" w:w="576"/>
          </w:tcPr>
          <w:p>
            <w:r/>
            <w:r>
              <w:rPr>
                <w:rFonts w:ascii="Calibri" w:hAnsi="Calibri"/>
                <w:sz w:val="17"/>
              </w:rPr>
              <w:t>S</w:t>
            </w:r>
          </w:p>
        </w:tc>
      </w:tr>
      <w:tr>
        <w:tc>
          <w:tcPr>
            <w:tcW w:type="dxa" w:w="864"/>
          </w:tcPr>
          <w:p>
            <w:r/>
            <w:r>
              <w:rPr>
                <w:rFonts w:ascii="Cambria Math" w:hAnsi="Cambria Math"/>
                <w:sz w:val="17"/>
              </w:rPr>
              <w:t>Δz_p</w:t>
            </w:r>
          </w:p>
        </w:tc>
        <w:tc>
          <w:tcPr>
            <w:tcW w:type="dxa" w:w="2016"/>
          </w:tcPr>
          <w:p>
            <w:r/>
            <w:r>
              <w:rPr>
                <w:rFonts w:ascii="Calibri" w:hAnsi="Calibri"/>
                <w:sz w:val="17"/>
              </w:rPr>
              <w:t>Pipe vertical rise</w:t>
            </w:r>
          </w:p>
        </w:tc>
        <w:tc>
          <w:tcPr>
            <w:tcW w:type="dxa" w:w="2592"/>
          </w:tcPr>
          <w:p>
            <w:r/>
            <w:r>
              <w:rPr>
                <w:rFonts w:ascii="Calibri" w:hAnsi="Calibri"/>
                <w:sz w:val="17"/>
              </w:rPr>
              <w:t>As-built profile</w:t>
            </w:r>
          </w:p>
        </w:tc>
        <w:tc>
          <w:tcPr>
            <w:tcW w:type="dxa" w:w="2160"/>
          </w:tcPr>
          <w:p>
            <w:r/>
            <w:r>
              <w:rPr>
                <w:rFonts w:ascii="Calibri" w:hAnsi="Calibri"/>
                <w:sz w:val="17"/>
              </w:rPr>
              <w:t>±0.1 m</w:t>
            </w:r>
          </w:p>
        </w:tc>
        <w:tc>
          <w:tcPr>
            <w:tcW w:type="dxa" w:w="864"/>
          </w:tcPr>
          <w:p>
            <w:r/>
            <w:r>
              <w:rPr>
                <w:rFonts w:ascii="Calibri" w:hAnsi="Calibri"/>
                <w:sz w:val="17"/>
              </w:rPr>
              <w:t>static</w:t>
            </w:r>
          </w:p>
        </w:tc>
        <w:tc>
          <w:tcPr>
            <w:tcW w:type="dxa" w:w="576"/>
          </w:tcPr>
          <w:p>
            <w:r/>
            <w:r>
              <w:rPr>
                <w:rFonts w:ascii="Calibri" w:hAnsi="Calibri"/>
                <w:sz w:val="17"/>
              </w:rPr>
              <w:t>S</w:t>
            </w:r>
          </w:p>
        </w:tc>
      </w:tr>
      <w:tr>
        <w:tc>
          <w:tcPr>
            <w:tcW w:type="dxa" w:w="864"/>
          </w:tcPr>
          <w:p>
            <w:r/>
            <w:r>
              <w:rPr>
                <w:rFonts w:ascii="Cambria Math" w:hAnsi="Cambria Math"/>
                <w:sz w:val="17"/>
              </w:rPr>
              <w:t>K_minor, f</w:t>
            </w:r>
          </w:p>
        </w:tc>
        <w:tc>
          <w:tcPr>
            <w:tcW w:type="dxa" w:w="2016"/>
          </w:tcPr>
          <w:p>
            <w:r/>
            <w:r>
              <w:rPr>
                <w:rFonts w:ascii="Calibri" w:hAnsi="Calibri"/>
                <w:sz w:val="17"/>
              </w:rPr>
              <w:t>Minor-loss &amp; friction factors</w:t>
            </w:r>
          </w:p>
        </w:tc>
        <w:tc>
          <w:tcPr>
            <w:tcW w:type="dxa" w:w="2592"/>
          </w:tcPr>
          <w:p>
            <w:r/>
            <w:r>
              <w:rPr>
                <w:rFonts w:ascii="Calibri" w:hAnsi="Calibri"/>
                <w:sz w:val="17"/>
              </w:rPr>
              <w:t>Hydraulic design / handbook + calibration</w:t>
            </w:r>
          </w:p>
        </w:tc>
        <w:tc>
          <w:tcPr>
            <w:tcW w:type="dxa" w:w="2160"/>
          </w:tcPr>
          <w:p>
            <w:r/>
            <w:r>
              <w:rPr>
                <w:rFonts w:ascii="Calibri" w:hAnsi="Calibri"/>
                <w:sz w:val="17"/>
              </w:rPr>
              <w:t>—</w:t>
            </w:r>
          </w:p>
        </w:tc>
        <w:tc>
          <w:tcPr>
            <w:tcW w:type="dxa" w:w="864"/>
          </w:tcPr>
          <w:p>
            <w:r/>
            <w:r>
              <w:rPr>
                <w:rFonts w:ascii="Calibri" w:hAnsi="Calibri"/>
                <w:sz w:val="17"/>
              </w:rPr>
              <w:t>static</w:t>
            </w:r>
          </w:p>
        </w:tc>
        <w:tc>
          <w:tcPr>
            <w:tcW w:type="dxa" w:w="576"/>
          </w:tcPr>
          <w:p>
            <w:r/>
            <w:r>
              <w:rPr>
                <w:rFonts w:ascii="Calibri" w:hAnsi="Calibri"/>
                <w:sz w:val="17"/>
              </w:rPr>
              <w:t>S</w:t>
            </w:r>
          </w:p>
        </w:tc>
      </w:tr>
      <w:tr>
        <w:tc>
          <w:tcPr>
            <w:tcW w:type="dxa" w:w="864"/>
          </w:tcPr>
          <w:p>
            <w:r/>
            <w:r>
              <w:rPr>
                <w:rFonts w:ascii="Cambria Math" w:hAnsi="Cambria Math"/>
                <w:sz w:val="17"/>
              </w:rPr>
              <w:t>x_d</w:t>
            </w:r>
          </w:p>
        </w:tc>
        <w:tc>
          <w:tcPr>
            <w:tcW w:type="dxa" w:w="2016"/>
          </w:tcPr>
          <w:p>
            <w:r/>
            <w:r>
              <w:rPr>
                <w:rFonts w:ascii="Calibri" w:hAnsi="Calibri"/>
                <w:sz w:val="17"/>
              </w:rPr>
              <w:t>Diffuser location (geo-position)</w:t>
            </w:r>
          </w:p>
        </w:tc>
        <w:tc>
          <w:tcPr>
            <w:tcW w:type="dxa" w:w="2592"/>
          </w:tcPr>
          <w:p>
            <w:r/>
            <w:r>
              <w:rPr>
                <w:rFonts w:ascii="Calibri" w:hAnsi="Calibri"/>
                <w:sz w:val="17"/>
              </w:rPr>
              <w:t>DGPS / survey</w:t>
            </w:r>
          </w:p>
        </w:tc>
        <w:tc>
          <w:tcPr>
            <w:tcW w:type="dxa" w:w="2160"/>
          </w:tcPr>
          <w:p>
            <w:r/>
            <w:r>
              <w:rPr>
                <w:rFonts w:ascii="Calibri" w:hAnsi="Calibri"/>
                <w:sz w:val="17"/>
              </w:rPr>
              <w:t>±0.5 m</w:t>
            </w:r>
          </w:p>
        </w:tc>
        <w:tc>
          <w:tcPr>
            <w:tcW w:type="dxa" w:w="864"/>
          </w:tcPr>
          <w:p>
            <w:r/>
            <w:r>
              <w:rPr>
                <w:rFonts w:ascii="Calibri" w:hAnsi="Calibri"/>
                <w:sz w:val="17"/>
              </w:rPr>
              <w:t>static</w:t>
            </w:r>
          </w:p>
        </w:tc>
        <w:tc>
          <w:tcPr>
            <w:tcW w:type="dxa" w:w="576"/>
          </w:tcPr>
          <w:p>
            <w:r/>
            <w:r>
              <w:rPr>
                <w:rFonts w:ascii="Calibri" w:hAnsi="Calibri"/>
                <w:sz w:val="17"/>
              </w:rPr>
              <w:t>R</w:t>
            </w:r>
          </w:p>
        </w:tc>
      </w:tr>
    </w:tbl>
    <w:p>
      <w:r>
        <w:br w:type="page"/>
      </w:r>
    </w:p>
    <w:p>
      <w:pPr>
        <w:pStyle w:val="Heading1"/>
      </w:pPr>
      <w:r>
        <w:t>4. Class C — Ambient Sea: Physical State</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008"/>
            <w:shd w:val="clear" w:color="auto" w:fill="1F4E79"/>
          </w:tcPr>
          <w:p>
            <w:r/>
            <w:r>
              <w:rPr>
                <w:rFonts w:ascii="Calibri" w:hAnsi="Calibri"/>
                <w:b/>
                <w:color w:val="FFFFFF"/>
                <w:sz w:val="17"/>
              </w:rPr>
              <w:t>Sym.</w:t>
            </w:r>
          </w:p>
        </w:tc>
        <w:tc>
          <w:tcPr>
            <w:tcW w:type="dxa" w:w="2016"/>
            <w:shd w:val="clear" w:color="auto" w:fill="1F4E79"/>
          </w:tcPr>
          <w:p>
            <w:r/>
            <w:r>
              <w:rPr>
                <w:rFonts w:ascii="Calibri" w:hAnsi="Calibri"/>
                <w:b/>
                <w:color w:val="FFFFFF"/>
                <w:sz w:val="17"/>
              </w:rPr>
              <w:t>Quantity</w:t>
            </w:r>
          </w:p>
        </w:tc>
        <w:tc>
          <w:tcPr>
            <w:tcW w:type="dxa" w:w="2592"/>
            <w:shd w:val="clear" w:color="auto" w:fill="1F4E79"/>
          </w:tcPr>
          <w:p>
            <w:r/>
            <w:r>
              <w:rPr>
                <w:rFonts w:ascii="Calibri" w:hAnsi="Calibri"/>
                <w:b/>
                <w:color w:val="FFFFFF"/>
                <w:sz w:val="17"/>
              </w:rPr>
              <w:t>How acquired</w:t>
            </w:r>
          </w:p>
        </w:tc>
        <w:tc>
          <w:tcPr>
            <w:tcW w:type="dxa" w:w="2016"/>
            <w:shd w:val="clear" w:color="auto" w:fill="1F4E79"/>
          </w:tcPr>
          <w:p>
            <w:r/>
            <w:r>
              <w:rPr>
                <w:rFonts w:ascii="Calibri" w:hAnsi="Calibri"/>
                <w:b/>
                <w:color w:val="FFFFFF"/>
                <w:sz w:val="17"/>
              </w:rPr>
              <w:t>Resolution / accuracy</w:t>
            </w:r>
          </w:p>
        </w:tc>
        <w:tc>
          <w:tcPr>
            <w:tcW w:type="dxa" w:w="1008"/>
            <w:shd w:val="clear" w:color="auto" w:fill="1F4E79"/>
          </w:tcPr>
          <w:p>
            <w:r/>
            <w:r>
              <w:rPr>
                <w:rFonts w:ascii="Calibri" w:hAnsi="Calibri"/>
                <w:b/>
                <w:color w:val="FFFFFF"/>
                <w:sz w:val="17"/>
              </w:rPr>
              <w:t>Update</w:t>
            </w:r>
          </w:p>
        </w:tc>
        <w:tc>
          <w:tcPr>
            <w:tcW w:type="dxa" w:w="576"/>
            <w:shd w:val="clear" w:color="auto" w:fill="1F4E79"/>
          </w:tcPr>
          <w:p>
            <w:r/>
            <w:r>
              <w:rPr>
                <w:rFonts w:ascii="Calibri" w:hAnsi="Calibri"/>
                <w:b/>
                <w:color w:val="FFFFFF"/>
                <w:sz w:val="17"/>
              </w:rPr>
              <w:t>Pri.</w:t>
            </w:r>
          </w:p>
        </w:tc>
      </w:tr>
      <w:tr>
        <w:tc>
          <w:tcPr>
            <w:tcW w:type="dxa" w:w="1008"/>
          </w:tcPr>
          <w:p>
            <w:r/>
            <w:r>
              <w:rPr>
                <w:rFonts w:ascii="Cambria Math" w:hAnsi="Cambria Math"/>
                <w:sz w:val="17"/>
              </w:rPr>
              <w:t>S_amb(z)</w:t>
            </w:r>
          </w:p>
        </w:tc>
        <w:tc>
          <w:tcPr>
            <w:tcW w:type="dxa" w:w="2016"/>
          </w:tcPr>
          <w:p>
            <w:r/>
            <w:r>
              <w:rPr>
                <w:rFonts w:ascii="Calibri" w:hAnsi="Calibri"/>
                <w:sz w:val="17"/>
              </w:rPr>
              <w:t>Ambient salinity profile</w:t>
            </w:r>
          </w:p>
        </w:tc>
        <w:tc>
          <w:tcPr>
            <w:tcW w:type="dxa" w:w="2592"/>
          </w:tcPr>
          <w:p>
            <w:r/>
            <w:r>
              <w:rPr>
                <w:rFonts w:ascii="Calibri" w:hAnsi="Calibri"/>
                <w:sz w:val="17"/>
              </w:rPr>
              <w:t>CTD casts; moored conductivity sensors</w:t>
            </w:r>
          </w:p>
        </w:tc>
        <w:tc>
          <w:tcPr>
            <w:tcW w:type="dxa" w:w="2016"/>
          </w:tcPr>
          <w:p>
            <w:r/>
            <w:r>
              <w:rPr>
                <w:rFonts w:ascii="Calibri" w:hAnsi="Calibri"/>
                <w:sz w:val="17"/>
              </w:rPr>
              <w:t>±0.01 g kg⁻¹; ΔZ≈0.5 m</w:t>
            </w:r>
          </w:p>
        </w:tc>
        <w:tc>
          <w:tcPr>
            <w:tcW w:type="dxa" w:w="1008"/>
          </w:tcPr>
          <w:p>
            <w:r/>
            <w:r>
              <w:rPr>
                <w:rFonts w:ascii="Calibri" w:hAnsi="Calibri"/>
                <w:sz w:val="17"/>
              </w:rPr>
              <w:t>seasonal + real-time</w:t>
            </w:r>
          </w:p>
        </w:tc>
        <w:tc>
          <w:tcPr>
            <w:tcW w:type="dxa" w:w="576"/>
          </w:tcPr>
          <w:p>
            <w:r/>
            <w:r>
              <w:rPr>
                <w:rFonts w:ascii="Calibri" w:hAnsi="Calibri"/>
                <w:sz w:val="17"/>
              </w:rPr>
              <w:t>R</w:t>
            </w:r>
          </w:p>
        </w:tc>
      </w:tr>
      <w:tr>
        <w:tc>
          <w:tcPr>
            <w:tcW w:type="dxa" w:w="1008"/>
          </w:tcPr>
          <w:p>
            <w:r/>
            <w:r>
              <w:rPr>
                <w:rFonts w:ascii="Cambria Math" w:hAnsi="Cambria Math"/>
                <w:sz w:val="17"/>
              </w:rPr>
              <w:t>T_amb(z)</w:t>
            </w:r>
          </w:p>
        </w:tc>
        <w:tc>
          <w:tcPr>
            <w:tcW w:type="dxa" w:w="2016"/>
          </w:tcPr>
          <w:p>
            <w:r/>
            <w:r>
              <w:rPr>
                <w:rFonts w:ascii="Calibri" w:hAnsi="Calibri"/>
                <w:sz w:val="17"/>
              </w:rPr>
              <w:t>Ambient temperature profile</w:t>
            </w:r>
          </w:p>
        </w:tc>
        <w:tc>
          <w:tcPr>
            <w:tcW w:type="dxa" w:w="2592"/>
          </w:tcPr>
          <w:p>
            <w:r/>
            <w:r>
              <w:rPr>
                <w:rFonts w:ascii="Calibri" w:hAnsi="Calibri"/>
                <w:sz w:val="17"/>
              </w:rPr>
              <w:t>CTD; thermistor chain</w:t>
            </w:r>
          </w:p>
        </w:tc>
        <w:tc>
          <w:tcPr>
            <w:tcW w:type="dxa" w:w="2016"/>
          </w:tcPr>
          <w:p>
            <w:r/>
            <w:r>
              <w:rPr>
                <w:rFonts w:ascii="Calibri" w:hAnsi="Calibri"/>
                <w:sz w:val="17"/>
              </w:rPr>
              <w:t>±0.01 °C; ΔZ≈0.5 m</w:t>
            </w:r>
          </w:p>
        </w:tc>
        <w:tc>
          <w:tcPr>
            <w:tcW w:type="dxa" w:w="1008"/>
          </w:tcPr>
          <w:p>
            <w:r/>
            <w:r>
              <w:rPr>
                <w:rFonts w:ascii="Calibri" w:hAnsi="Calibri"/>
                <w:sz w:val="17"/>
              </w:rPr>
              <w:t>seasonal + real-time</w:t>
            </w:r>
          </w:p>
        </w:tc>
        <w:tc>
          <w:tcPr>
            <w:tcW w:type="dxa" w:w="576"/>
          </w:tcPr>
          <w:p>
            <w:r/>
            <w:r>
              <w:rPr>
                <w:rFonts w:ascii="Calibri" w:hAnsi="Calibri"/>
                <w:sz w:val="17"/>
              </w:rPr>
              <w:t>R</w:t>
            </w:r>
          </w:p>
        </w:tc>
      </w:tr>
      <w:tr>
        <w:tc>
          <w:tcPr>
            <w:tcW w:type="dxa" w:w="1008"/>
          </w:tcPr>
          <w:p>
            <w:r/>
            <w:r>
              <w:rPr>
                <w:rFonts w:ascii="Cambria Math" w:hAnsi="Cambria Math"/>
                <w:sz w:val="17"/>
              </w:rPr>
              <w:t>ρ_amb(z)</w:t>
            </w:r>
          </w:p>
        </w:tc>
        <w:tc>
          <w:tcPr>
            <w:tcW w:type="dxa" w:w="2016"/>
          </w:tcPr>
          <w:p>
            <w:r/>
            <w:r>
              <w:rPr>
                <w:rFonts w:ascii="Calibri" w:hAnsi="Calibri"/>
                <w:sz w:val="17"/>
              </w:rPr>
              <w:t>Density / stratification</w:t>
            </w:r>
          </w:p>
        </w:tc>
        <w:tc>
          <w:tcPr>
            <w:tcW w:type="dxa" w:w="2592"/>
          </w:tcPr>
          <w:p>
            <w:r/>
            <w:r>
              <w:rPr>
                <w:rFonts w:ascii="Calibri" w:hAnsi="Calibri"/>
                <w:sz w:val="17"/>
              </w:rPr>
              <w:t>Derived from S,T,p via TEOS-10</w:t>
            </w:r>
          </w:p>
        </w:tc>
        <w:tc>
          <w:tcPr>
            <w:tcW w:type="dxa" w:w="2016"/>
          </w:tcPr>
          <w:p>
            <w:r/>
            <w:r>
              <w:rPr>
                <w:rFonts w:ascii="Calibri" w:hAnsi="Calibri"/>
                <w:sz w:val="17"/>
              </w:rPr>
              <w:t>from CTD</w:t>
            </w:r>
          </w:p>
        </w:tc>
        <w:tc>
          <w:tcPr>
            <w:tcW w:type="dxa" w:w="1008"/>
          </w:tcPr>
          <w:p>
            <w:r/>
            <w:r>
              <w:rPr>
                <w:rFonts w:ascii="Calibri" w:hAnsi="Calibri"/>
                <w:sz w:val="17"/>
              </w:rPr>
              <w:t>seasonal</w:t>
            </w:r>
          </w:p>
        </w:tc>
        <w:tc>
          <w:tcPr>
            <w:tcW w:type="dxa" w:w="576"/>
          </w:tcPr>
          <w:p>
            <w:r/>
            <w:r>
              <w:rPr>
                <w:rFonts w:ascii="Calibri" w:hAnsi="Calibri"/>
                <w:sz w:val="17"/>
              </w:rPr>
              <w:t>R</w:t>
            </w:r>
          </w:p>
        </w:tc>
      </w:tr>
      <w:tr>
        <w:tc>
          <w:tcPr>
            <w:tcW w:type="dxa" w:w="1008"/>
          </w:tcPr>
          <w:p>
            <w:r/>
            <w:r>
              <w:rPr>
                <w:rFonts w:ascii="Cambria Math" w:hAnsi="Cambria Math"/>
                <w:sz w:val="17"/>
              </w:rPr>
              <w:t>p(z)</w:t>
            </w:r>
          </w:p>
        </w:tc>
        <w:tc>
          <w:tcPr>
            <w:tcW w:type="dxa" w:w="2016"/>
          </w:tcPr>
          <w:p>
            <w:r/>
            <w:r>
              <w:rPr>
                <w:rFonts w:ascii="Calibri" w:hAnsi="Calibri"/>
                <w:sz w:val="17"/>
              </w:rPr>
              <w:t>Pressure profile</w:t>
            </w:r>
          </w:p>
        </w:tc>
        <w:tc>
          <w:tcPr>
            <w:tcW w:type="dxa" w:w="2592"/>
          </w:tcPr>
          <w:p>
            <w:r/>
            <w:r>
              <w:rPr>
                <w:rFonts w:ascii="Calibri" w:hAnsi="Calibri"/>
                <w:sz w:val="17"/>
              </w:rPr>
              <w:t>CTD pressure sensor / hydrostatic</w:t>
            </w:r>
          </w:p>
        </w:tc>
        <w:tc>
          <w:tcPr>
            <w:tcW w:type="dxa" w:w="2016"/>
          </w:tcPr>
          <w:p>
            <w:r/>
            <w:r>
              <w:rPr>
                <w:rFonts w:ascii="Calibri" w:hAnsi="Calibri"/>
                <w:sz w:val="17"/>
              </w:rPr>
              <w:t>±0.1 dbar</w:t>
            </w:r>
          </w:p>
        </w:tc>
        <w:tc>
          <w:tcPr>
            <w:tcW w:type="dxa" w:w="1008"/>
          </w:tcPr>
          <w:p>
            <w:r/>
            <w:r>
              <w:rPr>
                <w:rFonts w:ascii="Calibri" w:hAnsi="Calibri"/>
                <w:sz w:val="17"/>
              </w:rPr>
              <w:t>static law</w:t>
            </w:r>
          </w:p>
        </w:tc>
        <w:tc>
          <w:tcPr>
            <w:tcW w:type="dxa" w:w="576"/>
          </w:tcPr>
          <w:p>
            <w:r/>
            <w:r>
              <w:rPr>
                <w:rFonts w:ascii="Calibri" w:hAnsi="Calibri"/>
                <w:sz w:val="17"/>
              </w:rPr>
              <w:t>R</w:t>
            </w:r>
          </w:p>
        </w:tc>
      </w:tr>
      <w:tr>
        <w:tc>
          <w:tcPr>
            <w:tcW w:type="dxa" w:w="1008"/>
          </w:tcPr>
          <w:p>
            <w:r/>
            <w:r>
              <w:rPr>
                <w:rFonts w:ascii="Cambria Math" w:hAnsi="Cambria Math"/>
                <w:sz w:val="17"/>
              </w:rPr>
              <w:t>N²(z)</w:t>
            </w:r>
          </w:p>
        </w:tc>
        <w:tc>
          <w:tcPr>
            <w:tcW w:type="dxa" w:w="2016"/>
          </w:tcPr>
          <w:p>
            <w:r/>
            <w:r>
              <w:rPr>
                <w:rFonts w:ascii="Calibri" w:hAnsi="Calibri"/>
                <w:sz w:val="17"/>
              </w:rPr>
              <w:t>Stratification frequency</w:t>
            </w:r>
          </w:p>
        </w:tc>
        <w:tc>
          <w:tcPr>
            <w:tcW w:type="dxa" w:w="2592"/>
          </w:tcPr>
          <w:p>
            <w:r/>
            <w:r>
              <w:rPr>
                <w:rFonts w:ascii="Calibri" w:hAnsi="Calibri"/>
                <w:sz w:val="17"/>
              </w:rPr>
              <w:t>Computed from ρ(z)</w:t>
            </w:r>
          </w:p>
        </w:tc>
        <w:tc>
          <w:tcPr>
            <w:tcW w:type="dxa" w:w="2016"/>
          </w:tcPr>
          <w:p>
            <w:r/>
            <w:r>
              <w:rPr>
                <w:rFonts w:ascii="Calibri" w:hAnsi="Calibri"/>
                <w:sz w:val="17"/>
              </w:rPr>
              <w:t>from CTD</w:t>
            </w:r>
          </w:p>
        </w:tc>
        <w:tc>
          <w:tcPr>
            <w:tcW w:type="dxa" w:w="1008"/>
          </w:tcPr>
          <w:p>
            <w:r/>
            <w:r>
              <w:rPr>
                <w:rFonts w:ascii="Calibri" w:hAnsi="Calibri"/>
                <w:sz w:val="17"/>
              </w:rPr>
              <w:t>seasonal</w:t>
            </w:r>
          </w:p>
        </w:tc>
        <w:tc>
          <w:tcPr>
            <w:tcW w:type="dxa" w:w="576"/>
          </w:tcPr>
          <w:p>
            <w:r/>
            <w:r>
              <w:rPr>
                <w:rFonts w:ascii="Calibri" w:hAnsi="Calibri"/>
                <w:sz w:val="17"/>
              </w:rPr>
              <w:t>S</w:t>
            </w:r>
          </w:p>
        </w:tc>
      </w:tr>
      <w:tr>
        <w:tc>
          <w:tcPr>
            <w:tcW w:type="dxa" w:w="1008"/>
          </w:tcPr>
          <w:p>
            <w:r/>
            <w:r>
              <w:rPr>
                <w:rFonts w:ascii="Cambria Math" w:hAnsi="Cambria Math"/>
                <w:sz w:val="17"/>
              </w:rPr>
              <w:t>c_p, μ</w:t>
            </w:r>
          </w:p>
        </w:tc>
        <w:tc>
          <w:tcPr>
            <w:tcW w:type="dxa" w:w="2016"/>
          </w:tcPr>
          <w:p>
            <w:r/>
            <w:r>
              <w:rPr>
                <w:rFonts w:ascii="Calibri" w:hAnsi="Calibri"/>
                <w:sz w:val="17"/>
              </w:rPr>
              <w:t>Specific heat, viscosity</w:t>
            </w:r>
          </w:p>
        </w:tc>
        <w:tc>
          <w:tcPr>
            <w:tcW w:type="dxa" w:w="2592"/>
          </w:tcPr>
          <w:p>
            <w:r/>
            <w:r>
              <w:rPr>
                <w:rFonts w:ascii="Calibri" w:hAnsi="Calibri"/>
                <w:sz w:val="17"/>
              </w:rPr>
              <w:t>Seawater property libs (from S,T,p)</w:t>
            </w:r>
          </w:p>
        </w:tc>
        <w:tc>
          <w:tcPr>
            <w:tcW w:type="dxa" w:w="2016"/>
          </w:tcPr>
          <w:p>
            <w:r/>
            <w:r>
              <w:rPr>
                <w:rFonts w:ascii="Calibri" w:hAnsi="Calibri"/>
                <w:sz w:val="17"/>
              </w:rPr>
              <w:t>literature</w:t>
            </w:r>
          </w:p>
        </w:tc>
        <w:tc>
          <w:tcPr>
            <w:tcW w:type="dxa" w:w="1008"/>
          </w:tcPr>
          <w:p>
            <w:r/>
            <w:r>
              <w:rPr>
                <w:rFonts w:ascii="Calibri" w:hAnsi="Calibri"/>
                <w:sz w:val="17"/>
              </w:rPr>
              <w:t>static</w:t>
            </w:r>
          </w:p>
        </w:tc>
        <w:tc>
          <w:tcPr>
            <w:tcW w:type="dxa" w:w="576"/>
          </w:tcPr>
          <w:p>
            <w:r/>
            <w:r>
              <w:rPr>
                <w:rFonts w:ascii="Calibri" w:hAnsi="Calibri"/>
                <w:sz w:val="17"/>
              </w:rPr>
              <w:t>S</w:t>
            </w:r>
          </w:p>
        </w:tc>
      </w:tr>
      <w:tr>
        <w:tc>
          <w:tcPr>
            <w:tcW w:type="dxa" w:w="1008"/>
          </w:tcPr>
          <w:p>
            <w:r/>
            <w:r>
              <w:rPr>
                <w:rFonts w:ascii="Cambria Math" w:hAnsi="Cambria Math"/>
                <w:sz w:val="17"/>
              </w:rPr>
              <w:t>D_mol</w:t>
            </w:r>
          </w:p>
        </w:tc>
        <w:tc>
          <w:tcPr>
            <w:tcW w:type="dxa" w:w="2016"/>
          </w:tcPr>
          <w:p>
            <w:r/>
            <w:r>
              <w:rPr>
                <w:rFonts w:ascii="Calibri" w:hAnsi="Calibri"/>
                <w:sz w:val="17"/>
              </w:rPr>
              <w:t>Molecular salt diffusivity</w:t>
            </w:r>
          </w:p>
        </w:tc>
        <w:tc>
          <w:tcPr>
            <w:tcW w:type="dxa" w:w="2592"/>
          </w:tcPr>
          <w:p>
            <w:r/>
            <w:r>
              <w:rPr>
                <w:rFonts w:ascii="Calibri" w:hAnsi="Calibri"/>
                <w:sz w:val="17"/>
              </w:rPr>
              <w:t>Literature value (≈1.5×10⁻⁹ m² s⁻¹)</w:t>
            </w:r>
          </w:p>
        </w:tc>
        <w:tc>
          <w:tcPr>
            <w:tcW w:type="dxa" w:w="2016"/>
          </w:tcPr>
          <w:p>
            <w:r/>
            <w:r>
              <w:rPr>
                <w:rFonts w:ascii="Calibri" w:hAnsi="Calibri"/>
                <w:sz w:val="17"/>
              </w:rPr>
              <w:t>literature</w:t>
            </w:r>
          </w:p>
        </w:tc>
        <w:tc>
          <w:tcPr>
            <w:tcW w:type="dxa" w:w="1008"/>
          </w:tcPr>
          <w:p>
            <w:r/>
            <w:r>
              <w:rPr>
                <w:rFonts w:ascii="Calibri" w:hAnsi="Calibri"/>
                <w:sz w:val="17"/>
              </w:rPr>
              <w:t>static</w:t>
            </w:r>
          </w:p>
        </w:tc>
        <w:tc>
          <w:tcPr>
            <w:tcW w:type="dxa" w:w="576"/>
          </w:tcPr>
          <w:p>
            <w:r/>
            <w:r>
              <w:rPr>
                <w:rFonts w:ascii="Calibri" w:hAnsi="Calibri"/>
                <w:sz w:val="17"/>
              </w:rPr>
              <w:t>S</w:t>
            </w:r>
          </w:p>
        </w:tc>
      </w:tr>
      <w:tr>
        <w:tc>
          <w:tcPr>
            <w:tcW w:type="dxa" w:w="1008"/>
          </w:tcPr>
          <w:p>
            <w:r/>
            <w:r>
              <w:rPr>
                <w:rFonts w:ascii="Cambria Math" w:hAnsi="Cambria Math"/>
                <w:sz w:val="17"/>
              </w:rPr>
              <w:t>turbidity/SS</w:t>
            </w:r>
          </w:p>
        </w:tc>
        <w:tc>
          <w:tcPr>
            <w:tcW w:type="dxa" w:w="2016"/>
          </w:tcPr>
          <w:p>
            <w:r/>
            <w:r>
              <w:rPr>
                <w:rFonts w:ascii="Calibri" w:hAnsi="Calibri"/>
                <w:sz w:val="17"/>
              </w:rPr>
              <w:t>Suspended-solid background</w:t>
            </w:r>
          </w:p>
        </w:tc>
        <w:tc>
          <w:tcPr>
            <w:tcW w:type="dxa" w:w="2592"/>
          </w:tcPr>
          <w:p>
            <w:r/>
            <w:r>
              <w:rPr>
                <w:rFonts w:ascii="Calibri" w:hAnsi="Calibri"/>
                <w:sz w:val="17"/>
              </w:rPr>
              <w:t>Optical turbidity sensor</w:t>
            </w:r>
          </w:p>
        </w:tc>
        <w:tc>
          <w:tcPr>
            <w:tcW w:type="dxa" w:w="2016"/>
          </w:tcPr>
          <w:p>
            <w:r/>
            <w:r>
              <w:rPr>
                <w:rFonts w:ascii="Calibri" w:hAnsi="Calibri"/>
                <w:sz w:val="17"/>
              </w:rPr>
              <w:t>±5 %</w:t>
            </w:r>
          </w:p>
        </w:tc>
        <w:tc>
          <w:tcPr>
            <w:tcW w:type="dxa" w:w="1008"/>
          </w:tcPr>
          <w:p>
            <w:r/>
            <w:r>
              <w:rPr>
                <w:rFonts w:ascii="Calibri" w:hAnsi="Calibri"/>
                <w:sz w:val="17"/>
              </w:rPr>
              <w:t>monthly</w:t>
            </w:r>
          </w:p>
        </w:tc>
        <w:tc>
          <w:tcPr>
            <w:tcW w:type="dxa" w:w="576"/>
          </w:tcPr>
          <w:p>
            <w:r/>
            <w:r>
              <w:rPr>
                <w:rFonts w:ascii="Calibri" w:hAnsi="Calibri"/>
                <w:sz w:val="17"/>
              </w:rPr>
              <w:t>O</w:t>
            </w:r>
          </w:p>
        </w:tc>
      </w:tr>
    </w:tbl>
    <w:p>
      <w:pPr>
        <w:spacing w:after="120"/>
      </w:pPr>
      <w:r>
        <w:rPr>
          <w:rFonts w:ascii="Calibri" w:hAnsi="Calibri"/>
          <w:b w:val="0"/>
          <w:i/>
          <w:sz w:val="20"/>
        </w:rPr>
        <w:t>Profiles should span at least one full seasonal cycle to capture summer/winter stratification extremes, plus event-driven casts. A vertical resolution of ≈0.5 m near the pycnocline is recommended.</w:t>
      </w:r>
    </w:p>
    <w:p>
      <w:pPr>
        <w:pStyle w:val="Heading1"/>
      </w:pPr>
      <w:r>
        <w:t>5. Class D — Ambient Sea Dynamics (the Moving Sea)</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296"/>
            <w:shd w:val="clear" w:color="auto" w:fill="1F4E79"/>
          </w:tcPr>
          <w:p>
            <w:r/>
            <w:r>
              <w:rPr>
                <w:rFonts w:ascii="Calibri" w:hAnsi="Calibri"/>
                <w:b/>
                <w:color w:val="FFFFFF"/>
                <w:sz w:val="17"/>
              </w:rPr>
              <w:t>Sym.</w:t>
            </w:r>
          </w:p>
        </w:tc>
        <w:tc>
          <w:tcPr>
            <w:tcW w:type="dxa" w:w="2016"/>
            <w:shd w:val="clear" w:color="auto" w:fill="1F4E79"/>
          </w:tcPr>
          <w:p>
            <w:r/>
            <w:r>
              <w:rPr>
                <w:rFonts w:ascii="Calibri" w:hAnsi="Calibri"/>
                <w:b/>
                <w:color w:val="FFFFFF"/>
                <w:sz w:val="17"/>
              </w:rPr>
              <w:t>Quantity</w:t>
            </w:r>
          </w:p>
        </w:tc>
        <w:tc>
          <w:tcPr>
            <w:tcW w:type="dxa" w:w="2592"/>
            <w:shd w:val="clear" w:color="auto" w:fill="1F4E79"/>
          </w:tcPr>
          <w:p>
            <w:r/>
            <w:r>
              <w:rPr>
                <w:rFonts w:ascii="Calibri" w:hAnsi="Calibri"/>
                <w:b/>
                <w:color w:val="FFFFFF"/>
                <w:sz w:val="17"/>
              </w:rPr>
              <w:t>How acquired</w:t>
            </w:r>
          </w:p>
        </w:tc>
        <w:tc>
          <w:tcPr>
            <w:tcW w:type="dxa" w:w="1728"/>
            <w:shd w:val="clear" w:color="auto" w:fill="1F4E79"/>
          </w:tcPr>
          <w:p>
            <w:r/>
            <w:r>
              <w:rPr>
                <w:rFonts w:ascii="Calibri" w:hAnsi="Calibri"/>
                <w:b/>
                <w:color w:val="FFFFFF"/>
                <w:sz w:val="17"/>
              </w:rPr>
              <w:t>Resolution / accuracy</w:t>
            </w:r>
          </w:p>
        </w:tc>
        <w:tc>
          <w:tcPr>
            <w:tcW w:type="dxa" w:w="1008"/>
            <w:shd w:val="clear" w:color="auto" w:fill="1F4E79"/>
          </w:tcPr>
          <w:p>
            <w:r/>
            <w:r>
              <w:rPr>
                <w:rFonts w:ascii="Calibri" w:hAnsi="Calibri"/>
                <w:b/>
                <w:color w:val="FFFFFF"/>
                <w:sz w:val="17"/>
              </w:rPr>
              <w:t>Update</w:t>
            </w:r>
          </w:p>
        </w:tc>
        <w:tc>
          <w:tcPr>
            <w:tcW w:type="dxa" w:w="576"/>
            <w:shd w:val="clear" w:color="auto" w:fill="1F4E79"/>
          </w:tcPr>
          <w:p>
            <w:r/>
            <w:r>
              <w:rPr>
                <w:rFonts w:ascii="Calibri" w:hAnsi="Calibri"/>
                <w:b/>
                <w:color w:val="FFFFFF"/>
                <w:sz w:val="17"/>
              </w:rPr>
              <w:t>Pri.</w:t>
            </w:r>
          </w:p>
        </w:tc>
      </w:tr>
      <w:tr>
        <w:tc>
          <w:tcPr>
            <w:tcW w:type="dxa" w:w="1296"/>
          </w:tcPr>
          <w:p>
            <w:r/>
            <w:r>
              <w:rPr>
                <w:rFonts w:ascii="Cambria Math" w:hAnsi="Cambria Math"/>
                <w:sz w:val="17"/>
              </w:rPr>
              <w:t>U_current(z,t)</w:t>
            </w:r>
          </w:p>
        </w:tc>
        <w:tc>
          <w:tcPr>
            <w:tcW w:type="dxa" w:w="2016"/>
          </w:tcPr>
          <w:p>
            <w:r/>
            <w:r>
              <w:rPr>
                <w:rFonts w:ascii="Calibri" w:hAnsi="Calibri"/>
                <w:sz w:val="17"/>
              </w:rPr>
              <w:t>Current speed &amp; direction profile</w:t>
            </w:r>
          </w:p>
        </w:tc>
        <w:tc>
          <w:tcPr>
            <w:tcW w:type="dxa" w:w="2592"/>
          </w:tcPr>
          <w:p>
            <w:r/>
            <w:r>
              <w:rPr>
                <w:rFonts w:ascii="Calibri" w:hAnsi="Calibri"/>
                <w:sz w:val="17"/>
              </w:rPr>
              <w:t>ADCP (bottom-mounted/moored); HF radar; ocean model</w:t>
            </w:r>
          </w:p>
        </w:tc>
        <w:tc>
          <w:tcPr>
            <w:tcW w:type="dxa" w:w="1728"/>
          </w:tcPr>
          <w:p>
            <w:r/>
            <w:r>
              <w:rPr>
                <w:rFonts w:ascii="Calibri" w:hAnsi="Calibri"/>
                <w:sz w:val="17"/>
              </w:rPr>
              <w:t>±1 cm s⁻¹; ΔZ≈1 m</w:t>
            </w:r>
          </w:p>
        </w:tc>
        <w:tc>
          <w:tcPr>
            <w:tcW w:type="dxa" w:w="1008"/>
          </w:tcPr>
          <w:p>
            <w:r/>
            <w:r>
              <w:rPr>
                <w:rFonts w:ascii="Calibri" w:hAnsi="Calibri"/>
                <w:sz w:val="17"/>
              </w:rPr>
              <w:t>10 min, ≥30 d</w:t>
            </w:r>
          </w:p>
        </w:tc>
        <w:tc>
          <w:tcPr>
            <w:tcW w:type="dxa" w:w="576"/>
          </w:tcPr>
          <w:p>
            <w:r/>
            <w:r>
              <w:rPr>
                <w:rFonts w:ascii="Calibri" w:hAnsi="Calibri"/>
                <w:sz w:val="17"/>
              </w:rPr>
              <w:t>R</w:t>
            </w:r>
          </w:p>
        </w:tc>
      </w:tr>
      <w:tr>
        <w:tc>
          <w:tcPr>
            <w:tcW w:type="dxa" w:w="1296"/>
          </w:tcPr>
          <w:p>
            <w:r/>
            <w:r>
              <w:rPr>
                <w:rFonts w:ascii="Cambria Math" w:hAnsi="Cambria Math"/>
                <w:sz w:val="17"/>
              </w:rPr>
              <w:t>A_j,ω_j,φ_j</w:t>
            </w:r>
          </w:p>
        </w:tc>
        <w:tc>
          <w:tcPr>
            <w:tcW w:type="dxa" w:w="2016"/>
          </w:tcPr>
          <w:p>
            <w:r/>
            <w:r>
              <w:rPr>
                <w:rFonts w:ascii="Calibri" w:hAnsi="Calibri"/>
                <w:sz w:val="17"/>
              </w:rPr>
              <w:t>Tidal harmonic constituents</w:t>
            </w:r>
          </w:p>
        </w:tc>
        <w:tc>
          <w:tcPr>
            <w:tcW w:type="dxa" w:w="2592"/>
          </w:tcPr>
          <w:p>
            <w:r/>
            <w:r>
              <w:rPr>
                <w:rFonts w:ascii="Calibri" w:hAnsi="Calibri"/>
                <w:sz w:val="17"/>
              </w:rPr>
              <w:t>Harmonic analysis of tide-gauge / ADCP record</w:t>
            </w:r>
          </w:p>
        </w:tc>
        <w:tc>
          <w:tcPr>
            <w:tcW w:type="dxa" w:w="1728"/>
          </w:tcPr>
          <w:p>
            <w:r/>
            <w:r>
              <w:rPr>
                <w:rFonts w:ascii="Calibri" w:hAnsi="Calibri"/>
                <w:sz w:val="17"/>
              </w:rPr>
              <w:t>≥35 d record</w:t>
            </w:r>
          </w:p>
        </w:tc>
        <w:tc>
          <w:tcPr>
            <w:tcW w:type="dxa" w:w="1008"/>
          </w:tcPr>
          <w:p>
            <w:r/>
            <w:r>
              <w:rPr>
                <w:rFonts w:ascii="Calibri" w:hAnsi="Calibri"/>
                <w:sz w:val="17"/>
              </w:rPr>
              <w:t>per analysis</w:t>
            </w:r>
          </w:p>
        </w:tc>
        <w:tc>
          <w:tcPr>
            <w:tcW w:type="dxa" w:w="576"/>
          </w:tcPr>
          <w:p>
            <w:r/>
            <w:r>
              <w:rPr>
                <w:rFonts w:ascii="Calibri" w:hAnsi="Calibri"/>
                <w:sz w:val="17"/>
              </w:rPr>
              <w:t>R</w:t>
            </w:r>
          </w:p>
        </w:tc>
      </w:tr>
      <w:tr>
        <w:tc>
          <w:tcPr>
            <w:tcW w:type="dxa" w:w="1296"/>
          </w:tcPr>
          <w:p>
            <w:r/>
            <w:r>
              <w:rPr>
                <w:rFonts w:ascii="Cambria Math" w:hAnsi="Cambria Math"/>
                <w:sz w:val="17"/>
              </w:rPr>
              <w:t>H_s,T_w,ê_w</w:t>
            </w:r>
          </w:p>
        </w:tc>
        <w:tc>
          <w:tcPr>
            <w:tcW w:type="dxa" w:w="2016"/>
          </w:tcPr>
          <w:p>
            <w:r/>
            <w:r>
              <w:rPr>
                <w:rFonts w:ascii="Calibri" w:hAnsi="Calibri"/>
                <w:sz w:val="17"/>
              </w:rPr>
              <w:t>Wave height, period, direction</w:t>
            </w:r>
          </w:p>
        </w:tc>
        <w:tc>
          <w:tcPr>
            <w:tcW w:type="dxa" w:w="2592"/>
          </w:tcPr>
          <w:p>
            <w:r/>
            <w:r>
              <w:rPr>
                <w:rFonts w:ascii="Calibri" w:hAnsi="Calibri"/>
                <w:sz w:val="17"/>
              </w:rPr>
              <w:t>Wave buoy / AWAC; wave model (SWAN)</w:t>
            </w:r>
          </w:p>
        </w:tc>
        <w:tc>
          <w:tcPr>
            <w:tcW w:type="dxa" w:w="1728"/>
          </w:tcPr>
          <w:p>
            <w:r/>
            <w:r>
              <w:rPr>
                <w:rFonts w:ascii="Calibri" w:hAnsi="Calibri"/>
                <w:sz w:val="17"/>
              </w:rPr>
              <w:t>±10 %</w:t>
            </w:r>
          </w:p>
        </w:tc>
        <w:tc>
          <w:tcPr>
            <w:tcW w:type="dxa" w:w="1008"/>
          </w:tcPr>
          <w:p>
            <w:r/>
            <w:r>
              <w:rPr>
                <w:rFonts w:ascii="Calibri" w:hAnsi="Calibri"/>
                <w:sz w:val="17"/>
              </w:rPr>
              <w:t>30 min</w:t>
            </w:r>
          </w:p>
        </w:tc>
        <w:tc>
          <w:tcPr>
            <w:tcW w:type="dxa" w:w="576"/>
          </w:tcPr>
          <w:p>
            <w:r/>
            <w:r>
              <w:rPr>
                <w:rFonts w:ascii="Calibri" w:hAnsi="Calibri"/>
                <w:sz w:val="17"/>
              </w:rPr>
              <w:t>S</w:t>
            </w:r>
          </w:p>
        </w:tc>
      </w:tr>
      <w:tr>
        <w:tc>
          <w:tcPr>
            <w:tcW w:type="dxa" w:w="1296"/>
          </w:tcPr>
          <w:p>
            <w:r/>
            <w:r>
              <w:rPr>
                <w:rFonts w:ascii="Cambria Math" w:hAnsi="Cambria Math"/>
                <w:sz w:val="17"/>
              </w:rPr>
              <w:t>u_St</w:t>
            </w:r>
          </w:p>
        </w:tc>
        <w:tc>
          <w:tcPr>
            <w:tcW w:type="dxa" w:w="2016"/>
          </w:tcPr>
          <w:p>
            <w:r/>
            <w:r>
              <w:rPr>
                <w:rFonts w:ascii="Calibri" w:hAnsi="Calibri"/>
                <w:sz w:val="17"/>
              </w:rPr>
              <w:t>Stokes drift</w:t>
            </w:r>
          </w:p>
        </w:tc>
        <w:tc>
          <w:tcPr>
            <w:tcW w:type="dxa" w:w="2592"/>
          </w:tcPr>
          <w:p>
            <w:r/>
            <w:r>
              <w:rPr>
                <w:rFonts w:ascii="Calibri" w:hAnsi="Calibri"/>
                <w:sz w:val="17"/>
              </w:rPr>
              <w:t>Derived from wave spectrum</w:t>
            </w:r>
          </w:p>
        </w:tc>
        <w:tc>
          <w:tcPr>
            <w:tcW w:type="dxa" w:w="1728"/>
          </w:tcPr>
          <w:p>
            <w:r/>
            <w:r>
              <w:rPr>
                <w:rFonts w:ascii="Calibri" w:hAnsi="Calibri"/>
                <w:sz w:val="17"/>
              </w:rPr>
              <w:t>from waves</w:t>
            </w:r>
          </w:p>
        </w:tc>
        <w:tc>
          <w:tcPr>
            <w:tcW w:type="dxa" w:w="1008"/>
          </w:tcPr>
          <w:p>
            <w:r/>
            <w:r>
              <w:rPr>
                <w:rFonts w:ascii="Calibri" w:hAnsi="Calibri"/>
                <w:sz w:val="17"/>
              </w:rPr>
              <w:t>30 min</w:t>
            </w:r>
          </w:p>
        </w:tc>
        <w:tc>
          <w:tcPr>
            <w:tcW w:type="dxa" w:w="576"/>
          </w:tcPr>
          <w:p>
            <w:r/>
            <w:r>
              <w:rPr>
                <w:rFonts w:ascii="Calibri" w:hAnsi="Calibri"/>
                <w:sz w:val="17"/>
              </w:rPr>
              <w:t>O</w:t>
            </w:r>
          </w:p>
        </w:tc>
      </w:tr>
      <w:tr>
        <w:tc>
          <w:tcPr>
            <w:tcW w:type="dxa" w:w="1296"/>
          </w:tcPr>
          <w:p>
            <w:r/>
            <w:r>
              <w:rPr>
                <w:rFonts w:ascii="Cambria Math" w:hAnsi="Cambria Math"/>
                <w:sz w:val="17"/>
              </w:rPr>
              <w:t>spectra</w:t>
            </w:r>
          </w:p>
        </w:tc>
        <w:tc>
          <w:tcPr>
            <w:tcW w:type="dxa" w:w="2016"/>
          </w:tcPr>
          <w:p>
            <w:r/>
            <w:r>
              <w:rPr>
                <w:rFonts w:ascii="Calibri" w:hAnsi="Calibri"/>
                <w:sz w:val="17"/>
              </w:rPr>
              <w:t>Directional wave spectra</w:t>
            </w:r>
          </w:p>
        </w:tc>
        <w:tc>
          <w:tcPr>
            <w:tcW w:type="dxa" w:w="2592"/>
          </w:tcPr>
          <w:p>
            <w:r/>
            <w:r>
              <w:rPr>
                <w:rFonts w:ascii="Calibri" w:hAnsi="Calibri"/>
                <w:sz w:val="17"/>
              </w:rPr>
              <w:t>Directional wave buoy</w:t>
            </w:r>
          </w:p>
        </w:tc>
        <w:tc>
          <w:tcPr>
            <w:tcW w:type="dxa" w:w="1728"/>
          </w:tcPr>
          <w:p>
            <w:r/>
            <w:r>
              <w:rPr>
                <w:rFonts w:ascii="Calibri" w:hAnsi="Calibri"/>
                <w:sz w:val="17"/>
              </w:rPr>
              <w:t>—</w:t>
            </w:r>
          </w:p>
        </w:tc>
        <w:tc>
          <w:tcPr>
            <w:tcW w:type="dxa" w:w="1008"/>
          </w:tcPr>
          <w:p>
            <w:r/>
            <w:r>
              <w:rPr>
                <w:rFonts w:ascii="Calibri" w:hAnsi="Calibri"/>
                <w:sz w:val="17"/>
              </w:rPr>
              <w:t>1 h</w:t>
            </w:r>
          </w:p>
        </w:tc>
        <w:tc>
          <w:tcPr>
            <w:tcW w:type="dxa" w:w="576"/>
          </w:tcPr>
          <w:p>
            <w:r/>
            <w:r>
              <w:rPr>
                <w:rFonts w:ascii="Calibri" w:hAnsi="Calibri"/>
                <w:sz w:val="17"/>
              </w:rPr>
              <w:t>O</w:t>
            </w:r>
          </w:p>
        </w:tc>
      </w:tr>
      <w:tr>
        <w:tc>
          <w:tcPr>
            <w:tcW w:type="dxa" w:w="1296"/>
          </w:tcPr>
          <w:p>
            <w:r/>
            <w:r>
              <w:rPr>
                <w:rFonts w:ascii="Cambria Math" w:hAnsi="Cambria Math"/>
                <w:sz w:val="17"/>
              </w:rPr>
              <w:t>ω</w:t>
            </w:r>
          </w:p>
        </w:tc>
        <w:tc>
          <w:tcPr>
            <w:tcW w:type="dxa" w:w="2016"/>
          </w:tcPr>
          <w:p>
            <w:r/>
            <w:r>
              <w:rPr>
                <w:rFonts w:ascii="Calibri" w:hAnsi="Calibri"/>
                <w:sz w:val="17"/>
              </w:rPr>
              <w:t>Background vorticity/eddies</w:t>
            </w:r>
          </w:p>
        </w:tc>
        <w:tc>
          <w:tcPr>
            <w:tcW w:type="dxa" w:w="2592"/>
          </w:tcPr>
          <w:p>
            <w:r/>
            <w:r>
              <w:rPr>
                <w:rFonts w:ascii="Calibri" w:hAnsi="Calibri"/>
                <w:sz w:val="17"/>
              </w:rPr>
              <w:t>ADCP array / model</w:t>
            </w:r>
          </w:p>
        </w:tc>
        <w:tc>
          <w:tcPr>
            <w:tcW w:type="dxa" w:w="1728"/>
          </w:tcPr>
          <w:p>
            <w:r/>
            <w:r>
              <w:rPr>
                <w:rFonts w:ascii="Calibri" w:hAnsi="Calibri"/>
                <w:sz w:val="17"/>
              </w:rPr>
              <w:t>—</w:t>
            </w:r>
          </w:p>
        </w:tc>
        <w:tc>
          <w:tcPr>
            <w:tcW w:type="dxa" w:w="1008"/>
          </w:tcPr>
          <w:p>
            <w:r/>
            <w:r>
              <w:rPr>
                <w:rFonts w:ascii="Calibri" w:hAnsi="Calibri"/>
                <w:sz w:val="17"/>
              </w:rPr>
              <w:t>10 min</w:t>
            </w:r>
          </w:p>
        </w:tc>
        <w:tc>
          <w:tcPr>
            <w:tcW w:type="dxa" w:w="576"/>
          </w:tcPr>
          <w:p>
            <w:r/>
            <w:r>
              <w:rPr>
                <w:rFonts w:ascii="Calibri" w:hAnsi="Calibri"/>
                <w:sz w:val="17"/>
              </w:rPr>
              <w:t>O</w:t>
            </w:r>
          </w:p>
        </w:tc>
      </w:tr>
      <w:tr>
        <w:tc>
          <w:tcPr>
            <w:tcW w:type="dxa" w:w="1296"/>
          </w:tcPr>
          <w:p>
            <w:r/>
            <w:r>
              <w:rPr>
                <w:rFonts w:ascii="Cambria Math" w:hAnsi="Cambria Math"/>
                <w:sz w:val="17"/>
              </w:rPr>
              <w:t>φ_lat</w:t>
            </w:r>
          </w:p>
        </w:tc>
        <w:tc>
          <w:tcPr>
            <w:tcW w:type="dxa" w:w="2016"/>
          </w:tcPr>
          <w:p>
            <w:r/>
            <w:r>
              <w:rPr>
                <w:rFonts w:ascii="Calibri" w:hAnsi="Calibri"/>
                <w:sz w:val="17"/>
              </w:rPr>
              <w:t>Latitude (Coriolis f)</w:t>
            </w:r>
          </w:p>
        </w:tc>
        <w:tc>
          <w:tcPr>
            <w:tcW w:type="dxa" w:w="2592"/>
          </w:tcPr>
          <w:p>
            <w:r/>
            <w:r>
              <w:rPr>
                <w:rFonts w:ascii="Calibri" w:hAnsi="Calibri"/>
                <w:sz w:val="17"/>
              </w:rPr>
              <w:t>Site coordinates</w:t>
            </w:r>
          </w:p>
        </w:tc>
        <w:tc>
          <w:tcPr>
            <w:tcW w:type="dxa" w:w="1728"/>
          </w:tcPr>
          <w:p>
            <w:r/>
            <w:r>
              <w:rPr>
                <w:rFonts w:ascii="Calibri" w:hAnsi="Calibri"/>
                <w:sz w:val="17"/>
              </w:rPr>
              <w:t>exact</w:t>
            </w:r>
          </w:p>
        </w:tc>
        <w:tc>
          <w:tcPr>
            <w:tcW w:type="dxa" w:w="1008"/>
          </w:tcPr>
          <w:p>
            <w:r/>
            <w:r>
              <w:rPr>
                <w:rFonts w:ascii="Calibri" w:hAnsi="Calibri"/>
                <w:sz w:val="17"/>
              </w:rPr>
              <w:t>static</w:t>
            </w:r>
          </w:p>
        </w:tc>
        <w:tc>
          <w:tcPr>
            <w:tcW w:type="dxa" w:w="576"/>
          </w:tcPr>
          <w:p>
            <w:r/>
            <w:r>
              <w:rPr>
                <w:rFonts w:ascii="Calibri" w:hAnsi="Calibri"/>
                <w:sz w:val="17"/>
              </w:rPr>
              <w:t>R</w:t>
            </w:r>
          </w:p>
        </w:tc>
      </w:tr>
      <w:tr>
        <w:tc>
          <w:tcPr>
            <w:tcW w:type="dxa" w:w="1296"/>
          </w:tcPr>
          <w:p>
            <w:r/>
            <w:r>
              <w:rPr>
                <w:rFonts w:ascii="Cambria Math" w:hAnsi="Cambria Math"/>
                <w:sz w:val="17"/>
              </w:rPr>
              <w:t>τ_m,σ_m,ℓ_m</w:t>
            </w:r>
          </w:p>
        </w:tc>
        <w:tc>
          <w:tcPr>
            <w:tcW w:type="dxa" w:w="2016"/>
          </w:tcPr>
          <w:p>
            <w:r/>
            <w:r>
              <w:rPr>
                <w:rFonts w:ascii="Calibri" w:hAnsi="Calibri"/>
                <w:sz w:val="17"/>
              </w:rPr>
              <w:t>Stochastic forcing statistics</w:t>
            </w:r>
          </w:p>
        </w:tc>
        <w:tc>
          <w:tcPr>
            <w:tcW w:type="dxa" w:w="2592"/>
          </w:tcPr>
          <w:p>
            <w:r/>
            <w:r>
              <w:rPr>
                <w:rFonts w:ascii="Calibri" w:hAnsi="Calibri"/>
                <w:sz w:val="17"/>
              </w:rPr>
              <w:t>Estimated from ADCP/wind time-series (autocorrelation, variance, length-scale)</w:t>
            </w:r>
          </w:p>
        </w:tc>
        <w:tc>
          <w:tcPr>
            <w:tcW w:type="dxa" w:w="1728"/>
          </w:tcPr>
          <w:p>
            <w:r/>
            <w:r>
              <w:rPr>
                <w:rFonts w:ascii="Calibri" w:hAnsi="Calibri"/>
                <w:sz w:val="17"/>
              </w:rPr>
              <w:t>from records</w:t>
            </w:r>
          </w:p>
        </w:tc>
        <w:tc>
          <w:tcPr>
            <w:tcW w:type="dxa" w:w="1008"/>
          </w:tcPr>
          <w:p>
            <w:r/>
            <w:r>
              <w:rPr>
                <w:rFonts w:ascii="Calibri" w:hAnsi="Calibri"/>
                <w:sz w:val="17"/>
              </w:rPr>
              <w:t>per calibration</w:t>
            </w:r>
          </w:p>
        </w:tc>
        <w:tc>
          <w:tcPr>
            <w:tcW w:type="dxa" w:w="576"/>
          </w:tcPr>
          <w:p>
            <w:r/>
            <w:r>
              <w:rPr>
                <w:rFonts w:ascii="Calibri" w:hAnsi="Calibri"/>
                <w:sz w:val="17"/>
              </w:rPr>
              <w:t>S</w:t>
            </w:r>
          </w:p>
        </w:tc>
      </w:tr>
    </w:tbl>
    <w:p>
      <w:pPr>
        <w:spacing w:after="120"/>
      </w:pPr>
      <w:r>
        <w:rPr>
          <w:rFonts w:ascii="Calibri" w:hAnsi="Calibri"/>
          <w:b w:val="0"/>
          <w:i/>
          <w:sz w:val="20"/>
        </w:rPr>
        <w:t>The stochastic-layer parameters (τ_m, σ_m, ℓ_m) are estimated by fitting Ornstein–Uhlenbeck statistics — de-correlation time, variance and spatial correlation length — to the observed current, wave and wind fluctuation records. These convert the measured variability of the sea into the model's uncertainty forcing.</w:t>
      </w:r>
    </w:p>
    <w:p>
      <w:pPr>
        <w:pStyle w:val="Heading1"/>
      </w:pPr>
      <w:r>
        <w:t>6. Class E — Atmospheric / Air–Sea Forcing</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008"/>
            <w:shd w:val="clear" w:color="auto" w:fill="1F4E79"/>
          </w:tcPr>
          <w:p>
            <w:r/>
            <w:r>
              <w:rPr>
                <w:rFonts w:ascii="Calibri" w:hAnsi="Calibri"/>
                <w:b/>
                <w:color w:val="FFFFFF"/>
                <w:sz w:val="17"/>
              </w:rPr>
              <w:t>Sym.</w:t>
            </w:r>
          </w:p>
        </w:tc>
        <w:tc>
          <w:tcPr>
            <w:tcW w:type="dxa" w:w="2016"/>
            <w:shd w:val="clear" w:color="auto" w:fill="1F4E79"/>
          </w:tcPr>
          <w:p>
            <w:r/>
            <w:r>
              <w:rPr>
                <w:rFonts w:ascii="Calibri" w:hAnsi="Calibri"/>
                <w:b/>
                <w:color w:val="FFFFFF"/>
                <w:sz w:val="17"/>
              </w:rPr>
              <w:t>Quantity</w:t>
            </w:r>
          </w:p>
        </w:tc>
        <w:tc>
          <w:tcPr>
            <w:tcW w:type="dxa" w:w="2592"/>
            <w:shd w:val="clear" w:color="auto" w:fill="1F4E79"/>
          </w:tcPr>
          <w:p>
            <w:r/>
            <w:r>
              <w:rPr>
                <w:rFonts w:ascii="Calibri" w:hAnsi="Calibri"/>
                <w:b/>
                <w:color w:val="FFFFFF"/>
                <w:sz w:val="17"/>
              </w:rPr>
              <w:t>How acquired</w:t>
            </w:r>
          </w:p>
        </w:tc>
        <w:tc>
          <w:tcPr>
            <w:tcW w:type="dxa" w:w="2016"/>
            <w:shd w:val="clear" w:color="auto" w:fill="1F4E79"/>
          </w:tcPr>
          <w:p>
            <w:r/>
            <w:r>
              <w:rPr>
                <w:rFonts w:ascii="Calibri" w:hAnsi="Calibri"/>
                <w:b/>
                <w:color w:val="FFFFFF"/>
                <w:sz w:val="17"/>
              </w:rPr>
              <w:t>Resolution / accuracy</w:t>
            </w:r>
          </w:p>
        </w:tc>
        <w:tc>
          <w:tcPr>
            <w:tcW w:type="dxa" w:w="1008"/>
            <w:shd w:val="clear" w:color="auto" w:fill="1F4E79"/>
          </w:tcPr>
          <w:p>
            <w:r/>
            <w:r>
              <w:rPr>
                <w:rFonts w:ascii="Calibri" w:hAnsi="Calibri"/>
                <w:b/>
                <w:color w:val="FFFFFF"/>
                <w:sz w:val="17"/>
              </w:rPr>
              <w:t>Update</w:t>
            </w:r>
          </w:p>
        </w:tc>
        <w:tc>
          <w:tcPr>
            <w:tcW w:type="dxa" w:w="576"/>
            <w:shd w:val="clear" w:color="auto" w:fill="1F4E79"/>
          </w:tcPr>
          <w:p>
            <w:r/>
            <w:r>
              <w:rPr>
                <w:rFonts w:ascii="Calibri" w:hAnsi="Calibri"/>
                <w:b/>
                <w:color w:val="FFFFFF"/>
                <w:sz w:val="17"/>
              </w:rPr>
              <w:t>Pri.</w:t>
            </w:r>
          </w:p>
        </w:tc>
      </w:tr>
      <w:tr>
        <w:tc>
          <w:tcPr>
            <w:tcW w:type="dxa" w:w="1008"/>
          </w:tcPr>
          <w:p>
            <w:r/>
            <w:r>
              <w:rPr>
                <w:rFonts w:ascii="Cambria Math" w:hAnsi="Cambria Math"/>
                <w:sz w:val="17"/>
              </w:rPr>
              <w:t>U₁₀</w:t>
            </w:r>
          </w:p>
        </w:tc>
        <w:tc>
          <w:tcPr>
            <w:tcW w:type="dxa" w:w="2016"/>
          </w:tcPr>
          <w:p>
            <w:r/>
            <w:r>
              <w:rPr>
                <w:rFonts w:ascii="Calibri" w:hAnsi="Calibri"/>
                <w:sz w:val="17"/>
              </w:rPr>
              <w:t>Wind speed &amp; direction at 10 m</w:t>
            </w:r>
          </w:p>
        </w:tc>
        <w:tc>
          <w:tcPr>
            <w:tcW w:type="dxa" w:w="2592"/>
          </w:tcPr>
          <w:p>
            <w:r/>
            <w:r>
              <w:rPr>
                <w:rFonts w:ascii="Calibri" w:hAnsi="Calibri"/>
                <w:sz w:val="17"/>
              </w:rPr>
              <w:t>Met station / anemometer; reanalysis (ERA5)</w:t>
            </w:r>
          </w:p>
        </w:tc>
        <w:tc>
          <w:tcPr>
            <w:tcW w:type="dxa" w:w="2016"/>
          </w:tcPr>
          <w:p>
            <w:r/>
            <w:r>
              <w:rPr>
                <w:rFonts w:ascii="Calibri" w:hAnsi="Calibri"/>
                <w:sz w:val="17"/>
              </w:rPr>
              <w:t>±0.5 m s⁻¹</w:t>
            </w:r>
          </w:p>
        </w:tc>
        <w:tc>
          <w:tcPr>
            <w:tcW w:type="dxa" w:w="1008"/>
          </w:tcPr>
          <w:p>
            <w:r/>
            <w:r>
              <w:rPr>
                <w:rFonts w:ascii="Calibri" w:hAnsi="Calibri"/>
                <w:sz w:val="17"/>
              </w:rPr>
              <w:t>10 min–1 h</w:t>
            </w:r>
          </w:p>
        </w:tc>
        <w:tc>
          <w:tcPr>
            <w:tcW w:type="dxa" w:w="576"/>
          </w:tcPr>
          <w:p>
            <w:r/>
            <w:r>
              <w:rPr>
                <w:rFonts w:ascii="Calibri" w:hAnsi="Calibri"/>
                <w:sz w:val="17"/>
              </w:rPr>
              <w:t>S</w:t>
            </w:r>
          </w:p>
        </w:tc>
      </w:tr>
      <w:tr>
        <w:tc>
          <w:tcPr>
            <w:tcW w:type="dxa" w:w="1008"/>
          </w:tcPr>
          <w:p>
            <w:r/>
            <w:r>
              <w:rPr>
                <w:rFonts w:ascii="Cambria Math" w:hAnsi="Cambria Math"/>
                <w:sz w:val="17"/>
              </w:rPr>
              <w:t>σ_wind</w:t>
            </w:r>
          </w:p>
        </w:tc>
        <w:tc>
          <w:tcPr>
            <w:tcW w:type="dxa" w:w="2016"/>
          </w:tcPr>
          <w:p>
            <w:r/>
            <w:r>
              <w:rPr>
                <w:rFonts w:ascii="Calibri" w:hAnsi="Calibri"/>
                <w:sz w:val="17"/>
              </w:rPr>
              <w:t>Wind gust statistics</w:t>
            </w:r>
          </w:p>
        </w:tc>
        <w:tc>
          <w:tcPr>
            <w:tcW w:type="dxa" w:w="2592"/>
          </w:tcPr>
          <w:p>
            <w:r/>
            <w:r>
              <w:rPr>
                <w:rFonts w:ascii="Calibri" w:hAnsi="Calibri"/>
                <w:sz w:val="17"/>
              </w:rPr>
              <w:t>From anemometer record</w:t>
            </w:r>
          </w:p>
        </w:tc>
        <w:tc>
          <w:tcPr>
            <w:tcW w:type="dxa" w:w="2016"/>
          </w:tcPr>
          <w:p>
            <w:r/>
            <w:r>
              <w:rPr>
                <w:rFonts w:ascii="Calibri" w:hAnsi="Calibri"/>
                <w:sz w:val="17"/>
              </w:rPr>
              <w:t>—</w:t>
            </w:r>
          </w:p>
        </w:tc>
        <w:tc>
          <w:tcPr>
            <w:tcW w:type="dxa" w:w="1008"/>
          </w:tcPr>
          <w:p>
            <w:r/>
            <w:r>
              <w:rPr>
                <w:rFonts w:ascii="Calibri" w:hAnsi="Calibri"/>
                <w:sz w:val="17"/>
              </w:rPr>
              <w:t>per calibration</w:t>
            </w:r>
          </w:p>
        </w:tc>
        <w:tc>
          <w:tcPr>
            <w:tcW w:type="dxa" w:w="576"/>
          </w:tcPr>
          <w:p>
            <w:r/>
            <w:r>
              <w:rPr>
                <w:rFonts w:ascii="Calibri" w:hAnsi="Calibri"/>
                <w:sz w:val="17"/>
              </w:rPr>
              <w:t>O</w:t>
            </w:r>
          </w:p>
        </w:tc>
      </w:tr>
      <w:tr>
        <w:tc>
          <w:tcPr>
            <w:tcW w:type="dxa" w:w="1008"/>
          </w:tcPr>
          <w:p>
            <w:r/>
            <w:r>
              <w:rPr>
                <w:rFonts w:ascii="Cambria Math" w:hAnsi="Cambria Math"/>
                <w:sz w:val="17"/>
              </w:rPr>
              <w:t>C_d</w:t>
            </w:r>
          </w:p>
        </w:tc>
        <w:tc>
          <w:tcPr>
            <w:tcW w:type="dxa" w:w="2016"/>
          </w:tcPr>
          <w:p>
            <w:r/>
            <w:r>
              <w:rPr>
                <w:rFonts w:ascii="Calibri" w:hAnsi="Calibri"/>
                <w:sz w:val="17"/>
              </w:rPr>
              <w:t>Air–sea drag coefficient</w:t>
            </w:r>
          </w:p>
        </w:tc>
        <w:tc>
          <w:tcPr>
            <w:tcW w:type="dxa" w:w="2592"/>
          </w:tcPr>
          <w:p>
            <w:r/>
            <w:r>
              <w:rPr>
                <w:rFonts w:ascii="Calibri" w:hAnsi="Calibri"/>
                <w:sz w:val="17"/>
              </w:rPr>
              <w:t>Parameterisation (wind-speed dependent)</w:t>
            </w:r>
          </w:p>
        </w:tc>
        <w:tc>
          <w:tcPr>
            <w:tcW w:type="dxa" w:w="2016"/>
          </w:tcPr>
          <w:p>
            <w:r/>
            <w:r>
              <w:rPr>
                <w:rFonts w:ascii="Calibri" w:hAnsi="Calibri"/>
                <w:sz w:val="17"/>
              </w:rPr>
              <w:t>literature</w:t>
            </w:r>
          </w:p>
        </w:tc>
        <w:tc>
          <w:tcPr>
            <w:tcW w:type="dxa" w:w="1008"/>
          </w:tcPr>
          <w:p>
            <w:r/>
            <w:r>
              <w:rPr>
                <w:rFonts w:ascii="Calibri" w:hAnsi="Calibri"/>
                <w:sz w:val="17"/>
              </w:rPr>
              <w:t>static</w:t>
            </w:r>
          </w:p>
        </w:tc>
        <w:tc>
          <w:tcPr>
            <w:tcW w:type="dxa" w:w="576"/>
          </w:tcPr>
          <w:p>
            <w:r/>
            <w:r>
              <w:rPr>
                <w:rFonts w:ascii="Calibri" w:hAnsi="Calibri"/>
                <w:sz w:val="17"/>
              </w:rPr>
              <w:t>S</w:t>
            </w:r>
          </w:p>
        </w:tc>
      </w:tr>
      <w:tr>
        <w:tc>
          <w:tcPr>
            <w:tcW w:type="dxa" w:w="1008"/>
          </w:tcPr>
          <w:p>
            <w:r/>
            <w:r>
              <w:rPr>
                <w:rFonts w:ascii="Cambria Math" w:hAnsi="Cambria Math"/>
                <w:sz w:val="17"/>
              </w:rPr>
              <w:t>ρ_a, T_air</w:t>
            </w:r>
          </w:p>
        </w:tc>
        <w:tc>
          <w:tcPr>
            <w:tcW w:type="dxa" w:w="2016"/>
          </w:tcPr>
          <w:p>
            <w:r/>
            <w:r>
              <w:rPr>
                <w:rFonts w:ascii="Calibri" w:hAnsi="Calibri"/>
                <w:sz w:val="17"/>
              </w:rPr>
              <w:t>Air density &amp; temperature</w:t>
            </w:r>
          </w:p>
        </w:tc>
        <w:tc>
          <w:tcPr>
            <w:tcW w:type="dxa" w:w="2592"/>
          </w:tcPr>
          <w:p>
            <w:r/>
            <w:r>
              <w:rPr>
                <w:rFonts w:ascii="Calibri" w:hAnsi="Calibri"/>
                <w:sz w:val="17"/>
              </w:rPr>
              <w:t>Met station / reanalysis</w:t>
            </w:r>
          </w:p>
        </w:tc>
        <w:tc>
          <w:tcPr>
            <w:tcW w:type="dxa" w:w="2016"/>
          </w:tcPr>
          <w:p>
            <w:r/>
            <w:r>
              <w:rPr>
                <w:rFonts w:ascii="Calibri" w:hAnsi="Calibri"/>
                <w:sz w:val="17"/>
              </w:rPr>
              <w:t>±0.3 °C</w:t>
            </w:r>
          </w:p>
        </w:tc>
        <w:tc>
          <w:tcPr>
            <w:tcW w:type="dxa" w:w="1008"/>
          </w:tcPr>
          <w:p>
            <w:r/>
            <w:r>
              <w:rPr>
                <w:rFonts w:ascii="Calibri" w:hAnsi="Calibri"/>
                <w:sz w:val="17"/>
              </w:rPr>
              <w:t>1 h</w:t>
            </w:r>
          </w:p>
        </w:tc>
        <w:tc>
          <w:tcPr>
            <w:tcW w:type="dxa" w:w="576"/>
          </w:tcPr>
          <w:p>
            <w:r/>
            <w:r>
              <w:rPr>
                <w:rFonts w:ascii="Calibri" w:hAnsi="Calibri"/>
                <w:sz w:val="17"/>
              </w:rPr>
              <w:t>S</w:t>
            </w:r>
          </w:p>
        </w:tc>
      </w:tr>
      <w:tr>
        <w:tc>
          <w:tcPr>
            <w:tcW w:type="dxa" w:w="1008"/>
          </w:tcPr>
          <w:p>
            <w:r/>
            <w:r>
              <w:rPr>
                <w:rFonts w:ascii="Cambria Math" w:hAnsi="Cambria Math"/>
                <w:sz w:val="17"/>
              </w:rPr>
              <w:t>E, P</w:t>
            </w:r>
          </w:p>
        </w:tc>
        <w:tc>
          <w:tcPr>
            <w:tcW w:type="dxa" w:w="2016"/>
          </w:tcPr>
          <w:p>
            <w:r/>
            <w:r>
              <w:rPr>
                <w:rFonts w:ascii="Calibri" w:hAnsi="Calibri"/>
                <w:sz w:val="17"/>
              </w:rPr>
              <w:t>Evaporation &amp; precipitation</w:t>
            </w:r>
          </w:p>
        </w:tc>
        <w:tc>
          <w:tcPr>
            <w:tcW w:type="dxa" w:w="2592"/>
          </w:tcPr>
          <w:p>
            <w:r/>
            <w:r>
              <w:rPr>
                <w:rFonts w:ascii="Calibri" w:hAnsi="Calibri"/>
                <w:sz w:val="17"/>
              </w:rPr>
              <w:t>Met station; flux parameterisation</w:t>
            </w:r>
          </w:p>
        </w:tc>
        <w:tc>
          <w:tcPr>
            <w:tcW w:type="dxa" w:w="2016"/>
          </w:tcPr>
          <w:p>
            <w:r/>
            <w:r>
              <w:rPr>
                <w:rFonts w:ascii="Calibri" w:hAnsi="Calibri"/>
                <w:sz w:val="17"/>
              </w:rPr>
              <w:t>±10 %</w:t>
            </w:r>
          </w:p>
        </w:tc>
        <w:tc>
          <w:tcPr>
            <w:tcW w:type="dxa" w:w="1008"/>
          </w:tcPr>
          <w:p>
            <w:r/>
            <w:r>
              <w:rPr>
                <w:rFonts w:ascii="Calibri" w:hAnsi="Calibri"/>
                <w:sz w:val="17"/>
              </w:rPr>
              <w:t>daily</w:t>
            </w:r>
          </w:p>
        </w:tc>
        <w:tc>
          <w:tcPr>
            <w:tcW w:type="dxa" w:w="576"/>
          </w:tcPr>
          <w:p>
            <w:r/>
            <w:r>
              <w:rPr>
                <w:rFonts w:ascii="Calibri" w:hAnsi="Calibri"/>
                <w:sz w:val="17"/>
              </w:rPr>
              <w:t>O</w:t>
            </w:r>
          </w:p>
        </w:tc>
      </w:tr>
      <w:tr>
        <w:tc>
          <w:tcPr>
            <w:tcW w:type="dxa" w:w="1008"/>
          </w:tcPr>
          <w:p>
            <w:r/>
            <w:r>
              <w:rPr>
                <w:rFonts w:ascii="Cambria Math" w:hAnsi="Cambria Math"/>
                <w:sz w:val="17"/>
              </w:rPr>
              <w:t>Q_rad</w:t>
            </w:r>
          </w:p>
        </w:tc>
        <w:tc>
          <w:tcPr>
            <w:tcW w:type="dxa" w:w="2016"/>
          </w:tcPr>
          <w:p>
            <w:r/>
            <w:r>
              <w:rPr>
                <w:rFonts w:ascii="Calibri" w:hAnsi="Calibri"/>
                <w:sz w:val="17"/>
              </w:rPr>
              <w:t>Net radiative heat flux</w:t>
            </w:r>
          </w:p>
        </w:tc>
        <w:tc>
          <w:tcPr>
            <w:tcW w:type="dxa" w:w="2592"/>
          </w:tcPr>
          <w:p>
            <w:r/>
            <w:r>
              <w:rPr>
                <w:rFonts w:ascii="Calibri" w:hAnsi="Calibri"/>
                <w:sz w:val="17"/>
              </w:rPr>
              <w:t>Pyranometer / reanalysis</w:t>
            </w:r>
          </w:p>
        </w:tc>
        <w:tc>
          <w:tcPr>
            <w:tcW w:type="dxa" w:w="2016"/>
          </w:tcPr>
          <w:p>
            <w:r/>
            <w:r>
              <w:rPr>
                <w:rFonts w:ascii="Calibri" w:hAnsi="Calibri"/>
                <w:sz w:val="17"/>
              </w:rPr>
              <w:t>±10 W m⁻²</w:t>
            </w:r>
          </w:p>
        </w:tc>
        <w:tc>
          <w:tcPr>
            <w:tcW w:type="dxa" w:w="1008"/>
          </w:tcPr>
          <w:p>
            <w:r/>
            <w:r>
              <w:rPr>
                <w:rFonts w:ascii="Calibri" w:hAnsi="Calibri"/>
                <w:sz w:val="17"/>
              </w:rPr>
              <w:t>1 h</w:t>
            </w:r>
          </w:p>
        </w:tc>
        <w:tc>
          <w:tcPr>
            <w:tcW w:type="dxa" w:w="576"/>
          </w:tcPr>
          <w:p>
            <w:r/>
            <w:r>
              <w:rPr>
                <w:rFonts w:ascii="Calibri" w:hAnsi="Calibri"/>
                <w:sz w:val="17"/>
              </w:rPr>
              <w:t>O</w:t>
            </w:r>
          </w:p>
        </w:tc>
      </w:tr>
      <w:tr>
        <w:tc>
          <w:tcPr>
            <w:tcW w:type="dxa" w:w="1008"/>
          </w:tcPr>
          <w:p>
            <w:r/>
            <w:r>
              <w:rPr>
                <w:rFonts w:ascii="Cambria Math" w:hAnsi="Cambria Math"/>
                <w:sz w:val="17"/>
              </w:rPr>
              <w:t>RH</w:t>
            </w:r>
          </w:p>
        </w:tc>
        <w:tc>
          <w:tcPr>
            <w:tcW w:type="dxa" w:w="2016"/>
          </w:tcPr>
          <w:p>
            <w:r/>
            <w:r>
              <w:rPr>
                <w:rFonts w:ascii="Calibri" w:hAnsi="Calibri"/>
                <w:sz w:val="17"/>
              </w:rPr>
              <w:t>Relative humidity</w:t>
            </w:r>
          </w:p>
        </w:tc>
        <w:tc>
          <w:tcPr>
            <w:tcW w:type="dxa" w:w="2592"/>
          </w:tcPr>
          <w:p>
            <w:r/>
            <w:r>
              <w:rPr>
                <w:rFonts w:ascii="Calibri" w:hAnsi="Calibri"/>
                <w:sz w:val="17"/>
              </w:rPr>
              <w:t>Met station</w:t>
            </w:r>
          </w:p>
        </w:tc>
        <w:tc>
          <w:tcPr>
            <w:tcW w:type="dxa" w:w="2016"/>
          </w:tcPr>
          <w:p>
            <w:r/>
            <w:r>
              <w:rPr>
                <w:rFonts w:ascii="Calibri" w:hAnsi="Calibri"/>
                <w:sz w:val="17"/>
              </w:rPr>
              <w:t>±3 %</w:t>
            </w:r>
          </w:p>
        </w:tc>
        <w:tc>
          <w:tcPr>
            <w:tcW w:type="dxa" w:w="1008"/>
          </w:tcPr>
          <w:p>
            <w:r/>
            <w:r>
              <w:rPr>
                <w:rFonts w:ascii="Calibri" w:hAnsi="Calibri"/>
                <w:sz w:val="17"/>
              </w:rPr>
              <w:t>1 h</w:t>
            </w:r>
          </w:p>
        </w:tc>
        <w:tc>
          <w:tcPr>
            <w:tcW w:type="dxa" w:w="576"/>
          </w:tcPr>
          <w:p>
            <w:r/>
            <w:r>
              <w:rPr>
                <w:rFonts w:ascii="Calibri" w:hAnsi="Calibri"/>
                <w:sz w:val="17"/>
              </w:rPr>
              <w:t>O</w:t>
            </w:r>
          </w:p>
        </w:tc>
      </w:tr>
    </w:tbl>
    <w:p>
      <w:r>
        <w:br w:type="page"/>
      </w:r>
    </w:p>
    <w:p>
      <w:pPr>
        <w:pStyle w:val="Heading1"/>
      </w:pPr>
      <w:r>
        <w:t>7. Class F — Bathymetry, Terrain &amp; Domain</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152"/>
            <w:shd w:val="clear" w:color="auto" w:fill="1F4E79"/>
          </w:tcPr>
          <w:p>
            <w:r/>
            <w:r>
              <w:rPr>
                <w:rFonts w:ascii="Calibri" w:hAnsi="Calibri"/>
                <w:b/>
                <w:color w:val="FFFFFF"/>
                <w:sz w:val="17"/>
              </w:rPr>
              <w:t>Sym.</w:t>
            </w:r>
          </w:p>
        </w:tc>
        <w:tc>
          <w:tcPr>
            <w:tcW w:type="dxa" w:w="2016"/>
            <w:shd w:val="clear" w:color="auto" w:fill="1F4E79"/>
          </w:tcPr>
          <w:p>
            <w:r/>
            <w:r>
              <w:rPr>
                <w:rFonts w:ascii="Calibri" w:hAnsi="Calibri"/>
                <w:b/>
                <w:color w:val="FFFFFF"/>
                <w:sz w:val="17"/>
              </w:rPr>
              <w:t>Quantity</w:t>
            </w:r>
          </w:p>
        </w:tc>
        <w:tc>
          <w:tcPr>
            <w:tcW w:type="dxa" w:w="2592"/>
            <w:shd w:val="clear" w:color="auto" w:fill="1F4E79"/>
          </w:tcPr>
          <w:p>
            <w:r/>
            <w:r>
              <w:rPr>
                <w:rFonts w:ascii="Calibri" w:hAnsi="Calibri"/>
                <w:b/>
                <w:color w:val="FFFFFF"/>
                <w:sz w:val="17"/>
              </w:rPr>
              <w:t>How acquired</w:t>
            </w:r>
          </w:p>
        </w:tc>
        <w:tc>
          <w:tcPr>
            <w:tcW w:type="dxa" w:w="1872"/>
            <w:shd w:val="clear" w:color="auto" w:fill="1F4E79"/>
          </w:tcPr>
          <w:p>
            <w:r/>
            <w:r>
              <w:rPr>
                <w:rFonts w:ascii="Calibri" w:hAnsi="Calibri"/>
                <w:b/>
                <w:color w:val="FFFFFF"/>
                <w:sz w:val="17"/>
              </w:rPr>
              <w:t>Resolution / accuracy</w:t>
            </w:r>
          </w:p>
        </w:tc>
        <w:tc>
          <w:tcPr>
            <w:tcW w:type="dxa" w:w="1008"/>
            <w:shd w:val="clear" w:color="auto" w:fill="1F4E79"/>
          </w:tcPr>
          <w:p>
            <w:r/>
            <w:r>
              <w:rPr>
                <w:rFonts w:ascii="Calibri" w:hAnsi="Calibri"/>
                <w:b/>
                <w:color w:val="FFFFFF"/>
                <w:sz w:val="17"/>
              </w:rPr>
              <w:t>Update</w:t>
            </w:r>
          </w:p>
        </w:tc>
        <w:tc>
          <w:tcPr>
            <w:tcW w:type="dxa" w:w="576"/>
            <w:shd w:val="clear" w:color="auto" w:fill="1F4E79"/>
          </w:tcPr>
          <w:p>
            <w:r/>
            <w:r>
              <w:rPr>
                <w:rFonts w:ascii="Calibri" w:hAnsi="Calibri"/>
                <w:b/>
                <w:color w:val="FFFFFF"/>
                <w:sz w:val="17"/>
              </w:rPr>
              <w:t>Pri.</w:t>
            </w:r>
          </w:p>
        </w:tc>
      </w:tr>
      <w:tr>
        <w:tc>
          <w:tcPr>
            <w:tcW w:type="dxa" w:w="1152"/>
          </w:tcPr>
          <w:p>
            <w:r/>
            <w:r>
              <w:rPr>
                <w:rFonts w:ascii="Cambria Math" w:hAnsi="Cambria Math"/>
                <w:sz w:val="17"/>
              </w:rPr>
              <w:t>H(x,y)</w:t>
            </w:r>
          </w:p>
        </w:tc>
        <w:tc>
          <w:tcPr>
            <w:tcW w:type="dxa" w:w="2016"/>
          </w:tcPr>
          <w:p>
            <w:r/>
            <w:r>
              <w:rPr>
                <w:rFonts w:ascii="Calibri" w:hAnsi="Calibri"/>
                <w:sz w:val="17"/>
              </w:rPr>
              <w:t>Bathymetry / seabed depth</w:t>
            </w:r>
          </w:p>
        </w:tc>
        <w:tc>
          <w:tcPr>
            <w:tcW w:type="dxa" w:w="2592"/>
          </w:tcPr>
          <w:p>
            <w:r/>
            <w:r>
              <w:rPr>
                <w:rFonts w:ascii="Calibri" w:hAnsi="Calibri"/>
                <w:sz w:val="17"/>
              </w:rPr>
              <w:t>Multibeam echosounder survey; LiDAR nearshore; ENC charts</w:t>
            </w:r>
          </w:p>
        </w:tc>
        <w:tc>
          <w:tcPr>
            <w:tcW w:type="dxa" w:w="1872"/>
          </w:tcPr>
          <w:p>
            <w:r/>
            <w:r>
              <w:rPr>
                <w:rFonts w:ascii="Calibri" w:hAnsi="Calibri"/>
                <w:sz w:val="17"/>
              </w:rPr>
              <w:t>≤5 m grid; ±0.1 m</w:t>
            </w:r>
          </w:p>
        </w:tc>
        <w:tc>
          <w:tcPr>
            <w:tcW w:type="dxa" w:w="1008"/>
          </w:tcPr>
          <w:p>
            <w:r/>
            <w:r>
              <w:rPr>
                <w:rFonts w:ascii="Calibri" w:hAnsi="Calibri"/>
                <w:sz w:val="17"/>
              </w:rPr>
              <w:t>project + post-storm</w:t>
            </w:r>
          </w:p>
        </w:tc>
        <w:tc>
          <w:tcPr>
            <w:tcW w:type="dxa" w:w="576"/>
          </w:tcPr>
          <w:p>
            <w:r/>
            <w:r>
              <w:rPr>
                <w:rFonts w:ascii="Calibri" w:hAnsi="Calibri"/>
                <w:sz w:val="17"/>
              </w:rPr>
              <w:t>R</w:t>
            </w:r>
          </w:p>
        </w:tc>
      </w:tr>
      <w:tr>
        <w:tc>
          <w:tcPr>
            <w:tcW w:type="dxa" w:w="1152"/>
          </w:tcPr>
          <w:p>
            <w:r/>
            <w:r>
              <w:rPr>
                <w:rFonts w:ascii="Cambria Math" w:hAnsi="Cambria Math"/>
                <w:sz w:val="17"/>
              </w:rPr>
              <w:t>∇H</w:t>
            </w:r>
          </w:p>
        </w:tc>
        <w:tc>
          <w:tcPr>
            <w:tcW w:type="dxa" w:w="2016"/>
          </w:tcPr>
          <w:p>
            <w:r/>
            <w:r>
              <w:rPr>
                <w:rFonts w:ascii="Calibri" w:hAnsi="Calibri"/>
                <w:sz w:val="17"/>
              </w:rPr>
              <w:t>Bed slope / shelf geometry</w:t>
            </w:r>
          </w:p>
        </w:tc>
        <w:tc>
          <w:tcPr>
            <w:tcW w:type="dxa" w:w="2592"/>
          </w:tcPr>
          <w:p>
            <w:r/>
            <w:r>
              <w:rPr>
                <w:rFonts w:ascii="Calibri" w:hAnsi="Calibri"/>
                <w:sz w:val="17"/>
              </w:rPr>
              <w:t>Derived from H gradient</w:t>
            </w:r>
          </w:p>
        </w:tc>
        <w:tc>
          <w:tcPr>
            <w:tcW w:type="dxa" w:w="1872"/>
          </w:tcPr>
          <w:p>
            <w:r/>
            <w:r>
              <w:rPr>
                <w:rFonts w:ascii="Calibri" w:hAnsi="Calibri"/>
                <w:sz w:val="17"/>
              </w:rPr>
              <w:t>from DEM</w:t>
            </w:r>
          </w:p>
        </w:tc>
        <w:tc>
          <w:tcPr>
            <w:tcW w:type="dxa" w:w="1008"/>
          </w:tcPr>
          <w:p>
            <w:r/>
            <w:r>
              <w:rPr>
                <w:rFonts w:ascii="Calibri" w:hAnsi="Calibri"/>
                <w:sz w:val="17"/>
              </w:rPr>
              <w:t>static</w:t>
            </w:r>
          </w:p>
        </w:tc>
        <w:tc>
          <w:tcPr>
            <w:tcW w:type="dxa" w:w="576"/>
          </w:tcPr>
          <w:p>
            <w:r/>
            <w:r>
              <w:rPr>
                <w:rFonts w:ascii="Calibri" w:hAnsi="Calibri"/>
                <w:sz w:val="17"/>
              </w:rPr>
              <w:t>R</w:t>
            </w:r>
          </w:p>
        </w:tc>
      </w:tr>
      <w:tr>
        <w:tc>
          <w:tcPr>
            <w:tcW w:type="dxa" w:w="1152"/>
          </w:tcPr>
          <w:p>
            <w:r/>
            <w:r>
              <w:rPr>
                <w:rFonts w:ascii="Cambria Math" w:hAnsi="Cambria Math"/>
                <w:sz w:val="17"/>
              </w:rPr>
              <w:t>seabed type</w:t>
            </w:r>
          </w:p>
        </w:tc>
        <w:tc>
          <w:tcPr>
            <w:tcW w:type="dxa" w:w="2016"/>
          </w:tcPr>
          <w:p>
            <w:r/>
            <w:r>
              <w:rPr>
                <w:rFonts w:ascii="Calibri" w:hAnsi="Calibri"/>
                <w:sz w:val="17"/>
              </w:rPr>
              <w:t>Sediment / substrate class</w:t>
            </w:r>
          </w:p>
        </w:tc>
        <w:tc>
          <w:tcPr>
            <w:tcW w:type="dxa" w:w="2592"/>
          </w:tcPr>
          <w:p>
            <w:r/>
            <w:r>
              <w:rPr>
                <w:rFonts w:ascii="Calibri" w:hAnsi="Calibri"/>
                <w:sz w:val="17"/>
              </w:rPr>
              <w:t>Grab samples; side-scan sonar</w:t>
            </w:r>
          </w:p>
        </w:tc>
        <w:tc>
          <w:tcPr>
            <w:tcW w:type="dxa" w:w="1872"/>
          </w:tcPr>
          <w:p>
            <w:r/>
            <w:r>
              <w:rPr>
                <w:rFonts w:ascii="Calibri" w:hAnsi="Calibri"/>
                <w:sz w:val="17"/>
              </w:rPr>
              <w:t>class map</w:t>
            </w:r>
          </w:p>
        </w:tc>
        <w:tc>
          <w:tcPr>
            <w:tcW w:type="dxa" w:w="1008"/>
          </w:tcPr>
          <w:p>
            <w:r/>
            <w:r>
              <w:rPr>
                <w:rFonts w:ascii="Calibri" w:hAnsi="Calibri"/>
                <w:sz w:val="17"/>
              </w:rPr>
              <w:t>project</w:t>
            </w:r>
          </w:p>
        </w:tc>
        <w:tc>
          <w:tcPr>
            <w:tcW w:type="dxa" w:w="576"/>
          </w:tcPr>
          <w:p>
            <w:r/>
            <w:r>
              <w:rPr>
                <w:rFonts w:ascii="Calibri" w:hAnsi="Calibri"/>
                <w:sz w:val="17"/>
              </w:rPr>
              <w:t>S</w:t>
            </w:r>
          </w:p>
        </w:tc>
      </w:tr>
      <w:tr>
        <w:tc>
          <w:tcPr>
            <w:tcW w:type="dxa" w:w="1152"/>
          </w:tcPr>
          <w:p>
            <w:r/>
            <w:r>
              <w:rPr>
                <w:rFonts w:ascii="Cambria Math" w:hAnsi="Cambria Math"/>
                <w:sz w:val="17"/>
              </w:rPr>
              <w:t>C_D^bed</w:t>
            </w:r>
          </w:p>
        </w:tc>
        <w:tc>
          <w:tcPr>
            <w:tcW w:type="dxa" w:w="2016"/>
          </w:tcPr>
          <w:p>
            <w:r/>
            <w:r>
              <w:rPr>
                <w:rFonts w:ascii="Calibri" w:hAnsi="Calibri"/>
                <w:sz w:val="17"/>
              </w:rPr>
              <w:t>Bed friction coefficient</w:t>
            </w:r>
          </w:p>
        </w:tc>
        <w:tc>
          <w:tcPr>
            <w:tcW w:type="dxa" w:w="2592"/>
          </w:tcPr>
          <w:p>
            <w:r/>
            <w:r>
              <w:rPr>
                <w:rFonts w:ascii="Calibri" w:hAnsi="Calibri"/>
                <w:sz w:val="17"/>
              </w:rPr>
              <w:t>From substrate class / calibration</w:t>
            </w:r>
          </w:p>
        </w:tc>
        <w:tc>
          <w:tcPr>
            <w:tcW w:type="dxa" w:w="1872"/>
          </w:tcPr>
          <w:p>
            <w:r/>
            <w:r>
              <w:rPr>
                <w:rFonts w:ascii="Calibri" w:hAnsi="Calibri"/>
                <w:sz w:val="17"/>
              </w:rPr>
              <w:t>literature</w:t>
            </w:r>
          </w:p>
        </w:tc>
        <w:tc>
          <w:tcPr>
            <w:tcW w:type="dxa" w:w="1008"/>
          </w:tcPr>
          <w:p>
            <w:r/>
            <w:r>
              <w:rPr>
                <w:rFonts w:ascii="Calibri" w:hAnsi="Calibri"/>
                <w:sz w:val="17"/>
              </w:rPr>
              <w:t>static</w:t>
            </w:r>
          </w:p>
        </w:tc>
        <w:tc>
          <w:tcPr>
            <w:tcW w:type="dxa" w:w="576"/>
          </w:tcPr>
          <w:p>
            <w:r/>
            <w:r>
              <w:rPr>
                <w:rFonts w:ascii="Calibri" w:hAnsi="Calibri"/>
                <w:sz w:val="17"/>
              </w:rPr>
              <w:t>S</w:t>
            </w:r>
          </w:p>
        </w:tc>
      </w:tr>
      <w:tr>
        <w:tc>
          <w:tcPr>
            <w:tcW w:type="dxa" w:w="1152"/>
          </w:tcPr>
          <w:p>
            <w:r/>
            <w:r>
              <w:rPr>
                <w:rFonts w:ascii="Cambria Math" w:hAnsi="Cambria Math"/>
                <w:sz w:val="17"/>
              </w:rPr>
              <w:t>coastline</w:t>
            </w:r>
          </w:p>
        </w:tc>
        <w:tc>
          <w:tcPr>
            <w:tcW w:type="dxa" w:w="2016"/>
          </w:tcPr>
          <w:p>
            <w:r/>
            <w:r>
              <w:rPr>
                <w:rFonts w:ascii="Calibri" w:hAnsi="Calibri"/>
                <w:sz w:val="17"/>
              </w:rPr>
              <w:t>Shoreline &amp; structures</w:t>
            </w:r>
          </w:p>
        </w:tc>
        <w:tc>
          <w:tcPr>
            <w:tcW w:type="dxa" w:w="2592"/>
          </w:tcPr>
          <w:p>
            <w:r/>
            <w:r>
              <w:rPr>
                <w:rFonts w:ascii="Calibri" w:hAnsi="Calibri"/>
                <w:sz w:val="17"/>
              </w:rPr>
              <w:t>Survey / satellite / charts</w:t>
            </w:r>
          </w:p>
        </w:tc>
        <w:tc>
          <w:tcPr>
            <w:tcW w:type="dxa" w:w="1872"/>
          </w:tcPr>
          <w:p>
            <w:r/>
            <w:r>
              <w:rPr>
                <w:rFonts w:ascii="Calibri" w:hAnsi="Calibri"/>
                <w:sz w:val="17"/>
              </w:rPr>
              <w:t>≤5 m</w:t>
            </w:r>
          </w:p>
        </w:tc>
        <w:tc>
          <w:tcPr>
            <w:tcW w:type="dxa" w:w="1008"/>
          </w:tcPr>
          <w:p>
            <w:r/>
            <w:r>
              <w:rPr>
                <w:rFonts w:ascii="Calibri" w:hAnsi="Calibri"/>
                <w:sz w:val="17"/>
              </w:rPr>
              <w:t>annual</w:t>
            </w:r>
          </w:p>
        </w:tc>
        <w:tc>
          <w:tcPr>
            <w:tcW w:type="dxa" w:w="576"/>
          </w:tcPr>
          <w:p>
            <w:r/>
            <w:r>
              <w:rPr>
                <w:rFonts w:ascii="Calibri" w:hAnsi="Calibri"/>
                <w:sz w:val="17"/>
              </w:rPr>
              <w:t>R</w:t>
            </w:r>
          </w:p>
        </w:tc>
      </w:tr>
      <w:tr>
        <w:tc>
          <w:tcPr>
            <w:tcW w:type="dxa" w:w="1152"/>
          </w:tcPr>
          <w:p>
            <w:r/>
            <w:r>
              <w:rPr>
                <w:rFonts w:ascii="Cambria Math" w:hAnsi="Cambria Math"/>
                <w:sz w:val="17"/>
              </w:rPr>
              <w:t>L_x,L_y,D</w:t>
            </w:r>
          </w:p>
        </w:tc>
        <w:tc>
          <w:tcPr>
            <w:tcW w:type="dxa" w:w="2016"/>
          </w:tcPr>
          <w:p>
            <w:r/>
            <w:r>
              <w:rPr>
                <w:rFonts w:ascii="Calibri" w:hAnsi="Calibri"/>
                <w:sz w:val="17"/>
              </w:rPr>
              <w:t>Domain extent &amp; depth</w:t>
            </w:r>
          </w:p>
        </w:tc>
        <w:tc>
          <w:tcPr>
            <w:tcW w:type="dxa" w:w="2592"/>
          </w:tcPr>
          <w:p>
            <w:r/>
            <w:r>
              <w:rPr>
                <w:rFonts w:ascii="Calibri" w:hAnsi="Calibri"/>
                <w:sz w:val="17"/>
              </w:rPr>
              <w:t>Modeller choice from site</w:t>
            </w:r>
          </w:p>
        </w:tc>
        <w:tc>
          <w:tcPr>
            <w:tcW w:type="dxa" w:w="1872"/>
          </w:tcPr>
          <w:p>
            <w:r/>
            <w:r>
              <w:rPr>
                <w:rFonts w:ascii="Calibri" w:hAnsi="Calibri"/>
                <w:sz w:val="17"/>
              </w:rPr>
              <w:t>—</w:t>
            </w:r>
          </w:p>
        </w:tc>
        <w:tc>
          <w:tcPr>
            <w:tcW w:type="dxa" w:w="1008"/>
          </w:tcPr>
          <w:p>
            <w:r/>
            <w:r>
              <w:rPr>
                <w:rFonts w:ascii="Calibri" w:hAnsi="Calibri"/>
                <w:sz w:val="17"/>
              </w:rPr>
              <w:t>static</w:t>
            </w:r>
          </w:p>
        </w:tc>
        <w:tc>
          <w:tcPr>
            <w:tcW w:type="dxa" w:w="576"/>
          </w:tcPr>
          <w:p>
            <w:r/>
            <w:r>
              <w:rPr>
                <w:rFonts w:ascii="Calibri" w:hAnsi="Calibri"/>
                <w:sz w:val="17"/>
              </w:rPr>
              <w:t>R</w:t>
            </w:r>
          </w:p>
        </w:tc>
      </w:tr>
      <w:tr>
        <w:tc>
          <w:tcPr>
            <w:tcW w:type="dxa" w:w="1152"/>
          </w:tcPr>
          <w:p>
            <w:r/>
            <w:r>
              <w:rPr>
                <w:rFonts w:ascii="Cambria Math" w:hAnsi="Cambria Math"/>
                <w:sz w:val="17"/>
              </w:rPr>
              <w:t>receptors</w:t>
            </w:r>
          </w:p>
        </w:tc>
        <w:tc>
          <w:tcPr>
            <w:tcW w:type="dxa" w:w="2016"/>
          </w:tcPr>
          <w:p>
            <w:r/>
            <w:r>
              <w:rPr>
                <w:rFonts w:ascii="Calibri" w:hAnsi="Calibri"/>
                <w:sz w:val="17"/>
              </w:rPr>
              <w:t>Sensitive-habitat locations</w:t>
            </w:r>
          </w:p>
        </w:tc>
        <w:tc>
          <w:tcPr>
            <w:tcW w:type="dxa" w:w="2592"/>
          </w:tcPr>
          <w:p>
            <w:r/>
            <w:r>
              <w:rPr>
                <w:rFonts w:ascii="Calibri" w:hAnsi="Calibri"/>
                <w:sz w:val="17"/>
              </w:rPr>
              <w:t>Ecological survey (seagrass, reef)</w:t>
            </w:r>
          </w:p>
        </w:tc>
        <w:tc>
          <w:tcPr>
            <w:tcW w:type="dxa" w:w="1872"/>
          </w:tcPr>
          <w:p>
            <w:r/>
            <w:r>
              <w:rPr>
                <w:rFonts w:ascii="Calibri" w:hAnsi="Calibri"/>
                <w:sz w:val="17"/>
              </w:rPr>
              <w:t>GPS points</w:t>
            </w:r>
          </w:p>
        </w:tc>
        <w:tc>
          <w:tcPr>
            <w:tcW w:type="dxa" w:w="1008"/>
          </w:tcPr>
          <w:p>
            <w:r/>
            <w:r>
              <w:rPr>
                <w:rFonts w:ascii="Calibri" w:hAnsi="Calibri"/>
                <w:sz w:val="17"/>
              </w:rPr>
              <w:t>project</w:t>
            </w:r>
          </w:p>
        </w:tc>
        <w:tc>
          <w:tcPr>
            <w:tcW w:type="dxa" w:w="576"/>
          </w:tcPr>
          <w:p>
            <w:r/>
            <w:r>
              <w:rPr>
                <w:rFonts w:ascii="Calibri" w:hAnsi="Calibri"/>
                <w:sz w:val="17"/>
              </w:rPr>
              <w:t>S</w:t>
            </w:r>
          </w:p>
        </w:tc>
      </w:tr>
    </w:tbl>
    <w:p>
      <w:pPr>
        <w:pStyle w:val="Heading1"/>
      </w:pPr>
      <w:r>
        <w:t>8. Class G — Thermodynamic, Coupling &amp; Closure Coefficients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296"/>
            <w:shd w:val="clear" w:color="auto" w:fill="1F4E79"/>
          </w:tcPr>
          <w:p>
            <w:r/>
            <w:r>
              <w:rPr>
                <w:rFonts w:ascii="Calibri" w:hAnsi="Calibri"/>
                <w:b/>
                <w:color w:val="FFFFFF"/>
                <w:sz w:val="17"/>
              </w:rPr>
              <w:t>Sym.</w:t>
            </w:r>
          </w:p>
        </w:tc>
        <w:tc>
          <w:tcPr>
            <w:tcW w:type="dxa" w:w="2160"/>
            <w:shd w:val="clear" w:color="auto" w:fill="1F4E79"/>
          </w:tcPr>
          <w:p>
            <w:r/>
            <w:r>
              <w:rPr>
                <w:rFonts w:ascii="Calibri" w:hAnsi="Calibri"/>
                <w:b/>
                <w:color w:val="FFFFFF"/>
                <w:sz w:val="17"/>
              </w:rPr>
              <w:t>Quantity</w:t>
            </w:r>
          </w:p>
        </w:tc>
        <w:tc>
          <w:tcPr>
            <w:tcW w:type="dxa" w:w="2448"/>
            <w:shd w:val="clear" w:color="auto" w:fill="1F4E79"/>
          </w:tcPr>
          <w:p>
            <w:r/>
            <w:r>
              <w:rPr>
                <w:rFonts w:ascii="Calibri" w:hAnsi="Calibri"/>
                <w:b/>
                <w:color w:val="FFFFFF"/>
                <w:sz w:val="17"/>
              </w:rPr>
              <w:t>How acquired</w:t>
            </w:r>
          </w:p>
        </w:tc>
        <w:tc>
          <w:tcPr>
            <w:tcW w:type="dxa" w:w="1728"/>
            <w:shd w:val="clear" w:color="auto" w:fill="1F4E79"/>
          </w:tcPr>
          <w:p>
            <w:r/>
            <w:r>
              <w:rPr>
                <w:rFonts w:ascii="Calibri" w:hAnsi="Calibri"/>
                <w:b/>
                <w:color w:val="FFFFFF"/>
                <w:sz w:val="17"/>
              </w:rPr>
              <w:t>Resolution / accuracy</w:t>
            </w:r>
          </w:p>
        </w:tc>
        <w:tc>
          <w:tcPr>
            <w:tcW w:type="dxa" w:w="1008"/>
            <w:shd w:val="clear" w:color="auto" w:fill="1F4E79"/>
          </w:tcPr>
          <w:p>
            <w:r/>
            <w:r>
              <w:rPr>
                <w:rFonts w:ascii="Calibri" w:hAnsi="Calibri"/>
                <w:b/>
                <w:color w:val="FFFFFF"/>
                <w:sz w:val="17"/>
              </w:rPr>
              <w:t>Update</w:t>
            </w:r>
          </w:p>
        </w:tc>
        <w:tc>
          <w:tcPr>
            <w:tcW w:type="dxa" w:w="576"/>
            <w:shd w:val="clear" w:color="auto" w:fill="1F4E79"/>
          </w:tcPr>
          <w:p>
            <w:r/>
            <w:r>
              <w:rPr>
                <w:rFonts w:ascii="Calibri" w:hAnsi="Calibri"/>
                <w:b/>
                <w:color w:val="FFFFFF"/>
                <w:sz w:val="17"/>
              </w:rPr>
              <w:t>Pri.</w:t>
            </w:r>
          </w:p>
        </w:tc>
      </w:tr>
      <w:tr>
        <w:tc>
          <w:tcPr>
            <w:tcW w:type="dxa" w:w="1296"/>
          </w:tcPr>
          <w:p>
            <w:r/>
            <w:r>
              <w:rPr>
                <w:rFonts w:ascii="Cambria Math" w:hAnsi="Cambria Math"/>
                <w:sz w:val="17"/>
              </w:rPr>
              <w:t>α_T,β_S,γ_p</w:t>
            </w:r>
          </w:p>
        </w:tc>
        <w:tc>
          <w:tcPr>
            <w:tcW w:type="dxa" w:w="2160"/>
          </w:tcPr>
          <w:p>
            <w:r/>
            <w:r>
              <w:rPr>
                <w:rFonts w:ascii="Calibri" w:hAnsi="Calibri"/>
                <w:sz w:val="17"/>
              </w:rPr>
              <w:t>Expansion/contraction/compress. coeffs</w:t>
            </w:r>
          </w:p>
        </w:tc>
        <w:tc>
          <w:tcPr>
            <w:tcW w:type="dxa" w:w="2448"/>
          </w:tcPr>
          <w:p>
            <w:r/>
            <w:r>
              <w:rPr>
                <w:rFonts w:ascii="Calibri" w:hAnsi="Calibri"/>
                <w:sz w:val="17"/>
              </w:rPr>
              <w:t>TEOS-10 equation of state (from S,T,p)</w:t>
            </w:r>
          </w:p>
        </w:tc>
        <w:tc>
          <w:tcPr>
            <w:tcW w:type="dxa" w:w="1728"/>
          </w:tcPr>
          <w:p>
            <w:r/>
            <w:r>
              <w:rPr>
                <w:rFonts w:ascii="Calibri" w:hAnsi="Calibri"/>
                <w:sz w:val="17"/>
              </w:rPr>
              <w:t>standard</w:t>
            </w:r>
          </w:p>
        </w:tc>
        <w:tc>
          <w:tcPr>
            <w:tcW w:type="dxa" w:w="1008"/>
          </w:tcPr>
          <w:p>
            <w:r/>
            <w:r>
              <w:rPr>
                <w:rFonts w:ascii="Calibri" w:hAnsi="Calibri"/>
                <w:sz w:val="17"/>
              </w:rPr>
              <w:t>computed</w:t>
            </w:r>
          </w:p>
        </w:tc>
        <w:tc>
          <w:tcPr>
            <w:tcW w:type="dxa" w:w="576"/>
          </w:tcPr>
          <w:p>
            <w:r/>
            <w:r>
              <w:rPr>
                <w:rFonts w:ascii="Calibri" w:hAnsi="Calibri"/>
                <w:sz w:val="17"/>
              </w:rPr>
              <w:t>R</w:t>
            </w:r>
          </w:p>
        </w:tc>
      </w:tr>
      <w:tr>
        <w:tc>
          <w:tcPr>
            <w:tcW w:type="dxa" w:w="1296"/>
          </w:tcPr>
          <w:p>
            <w:r/>
            <w:r>
              <w:rPr>
                <w:rFonts w:ascii="Cambria Math" w:hAnsi="Cambria Math"/>
                <w:sz w:val="17"/>
              </w:rPr>
              <w:t>φ_os</w:t>
            </w:r>
          </w:p>
        </w:tc>
        <w:tc>
          <w:tcPr>
            <w:tcW w:type="dxa" w:w="2160"/>
          </w:tcPr>
          <w:p>
            <w:r/>
            <w:r>
              <w:rPr>
                <w:rFonts w:ascii="Calibri" w:hAnsi="Calibri"/>
                <w:sz w:val="17"/>
              </w:rPr>
              <w:t>Osmotic (activity) coefficient</w:t>
            </w:r>
          </w:p>
        </w:tc>
        <w:tc>
          <w:tcPr>
            <w:tcW w:type="dxa" w:w="2448"/>
          </w:tcPr>
          <w:p>
            <w:r/>
            <w:r>
              <w:rPr>
                <w:rFonts w:ascii="Calibri" w:hAnsi="Calibri"/>
                <w:sz w:val="17"/>
              </w:rPr>
              <w:t>Pitzer model / lab osmometry for the brine</w:t>
            </w:r>
          </w:p>
        </w:tc>
        <w:tc>
          <w:tcPr>
            <w:tcW w:type="dxa" w:w="1728"/>
          </w:tcPr>
          <w:p>
            <w:r/>
            <w:r>
              <w:rPr>
                <w:rFonts w:ascii="Calibri" w:hAnsi="Calibri"/>
                <w:sz w:val="17"/>
              </w:rPr>
              <w:t>±2 %</w:t>
            </w:r>
          </w:p>
        </w:tc>
        <w:tc>
          <w:tcPr>
            <w:tcW w:type="dxa" w:w="1008"/>
          </w:tcPr>
          <w:p>
            <w:r/>
            <w:r>
              <w:rPr>
                <w:rFonts w:ascii="Calibri" w:hAnsi="Calibri"/>
                <w:sz w:val="17"/>
              </w:rPr>
              <w:t>per brine</w:t>
            </w:r>
          </w:p>
        </w:tc>
        <w:tc>
          <w:tcPr>
            <w:tcW w:type="dxa" w:w="576"/>
          </w:tcPr>
          <w:p>
            <w:r/>
            <w:r>
              <w:rPr>
                <w:rFonts w:ascii="Calibri" w:hAnsi="Calibri"/>
                <w:sz w:val="17"/>
              </w:rPr>
              <w:t>S</w:t>
            </w:r>
          </w:p>
        </w:tc>
      </w:tr>
      <w:tr>
        <w:tc>
          <w:tcPr>
            <w:tcW w:type="dxa" w:w="1296"/>
          </w:tcPr>
          <w:p>
            <w:r/>
            <w:r>
              <w:rPr>
                <w:rFonts w:ascii="Cambria Math" w:hAnsi="Cambria Math"/>
                <w:sz w:val="17"/>
              </w:rPr>
              <w:t>L_p</w:t>
            </w:r>
          </w:p>
        </w:tc>
        <w:tc>
          <w:tcPr>
            <w:tcW w:type="dxa" w:w="2160"/>
          </w:tcPr>
          <w:p>
            <w:r/>
            <w:r>
              <w:rPr>
                <w:rFonts w:ascii="Calibri" w:hAnsi="Calibri"/>
                <w:sz w:val="17"/>
              </w:rPr>
              <w:t>Osmotic permeability coefficient</w:t>
            </w:r>
          </w:p>
        </w:tc>
        <w:tc>
          <w:tcPr>
            <w:tcW w:type="dxa" w:w="2448"/>
          </w:tcPr>
          <w:p>
            <w:r/>
            <w:r>
              <w:rPr>
                <w:rFonts w:ascii="Calibri" w:hAnsi="Calibri"/>
                <w:sz w:val="17"/>
              </w:rPr>
              <w:t>Calibration / irreversible-thermo estimate</w:t>
            </w:r>
          </w:p>
        </w:tc>
        <w:tc>
          <w:tcPr>
            <w:tcW w:type="dxa" w:w="1728"/>
          </w:tcPr>
          <w:p>
            <w:r/>
            <w:r>
              <w:rPr>
                <w:rFonts w:ascii="Calibri" w:hAnsi="Calibri"/>
                <w:sz w:val="17"/>
              </w:rPr>
              <w:t>calibrated</w:t>
            </w:r>
          </w:p>
        </w:tc>
        <w:tc>
          <w:tcPr>
            <w:tcW w:type="dxa" w:w="1008"/>
          </w:tcPr>
          <w:p>
            <w:r/>
            <w:r>
              <w:rPr>
                <w:rFonts w:ascii="Calibri" w:hAnsi="Calibri"/>
                <w:sz w:val="17"/>
              </w:rPr>
              <w:t>per calibration</w:t>
            </w:r>
          </w:p>
        </w:tc>
        <w:tc>
          <w:tcPr>
            <w:tcW w:type="dxa" w:w="576"/>
          </w:tcPr>
          <w:p>
            <w:r/>
            <w:r>
              <w:rPr>
                <w:rFonts w:ascii="Calibri" w:hAnsi="Calibri"/>
                <w:sz w:val="17"/>
              </w:rPr>
              <w:t>O</w:t>
            </w:r>
          </w:p>
        </w:tc>
      </w:tr>
      <w:tr>
        <w:tc>
          <w:tcPr>
            <w:tcW w:type="dxa" w:w="1296"/>
          </w:tcPr>
          <w:p>
            <w:r/>
            <w:r>
              <w:rPr>
                <w:rFonts w:ascii="Cambria Math" w:hAnsi="Cambria Math"/>
                <w:sz w:val="17"/>
              </w:rPr>
              <w:t>D_ST,D_TS</w:t>
            </w:r>
          </w:p>
        </w:tc>
        <w:tc>
          <w:tcPr>
            <w:tcW w:type="dxa" w:w="2160"/>
          </w:tcPr>
          <w:p>
            <w:r/>
            <w:r>
              <w:rPr>
                <w:rFonts w:ascii="Calibri" w:hAnsi="Calibri"/>
                <w:sz w:val="17"/>
              </w:rPr>
              <w:t>Soret &amp; Dufour coefficients</w:t>
            </w:r>
          </w:p>
        </w:tc>
        <w:tc>
          <w:tcPr>
            <w:tcW w:type="dxa" w:w="2448"/>
          </w:tcPr>
          <w:p>
            <w:r/>
            <w:r>
              <w:rPr>
                <w:rFonts w:ascii="Calibri" w:hAnsi="Calibri"/>
                <w:sz w:val="17"/>
              </w:rPr>
              <w:t>Literature / lab; small for seawater</w:t>
            </w:r>
          </w:p>
        </w:tc>
        <w:tc>
          <w:tcPr>
            <w:tcW w:type="dxa" w:w="1728"/>
          </w:tcPr>
          <w:p>
            <w:r/>
            <w:r>
              <w:rPr>
                <w:rFonts w:ascii="Calibri" w:hAnsi="Calibri"/>
                <w:sz w:val="17"/>
              </w:rPr>
              <w:t>literature</w:t>
            </w:r>
          </w:p>
        </w:tc>
        <w:tc>
          <w:tcPr>
            <w:tcW w:type="dxa" w:w="1008"/>
          </w:tcPr>
          <w:p>
            <w:r/>
            <w:r>
              <w:rPr>
                <w:rFonts w:ascii="Calibri" w:hAnsi="Calibri"/>
                <w:sz w:val="17"/>
              </w:rPr>
              <w:t>static</w:t>
            </w:r>
          </w:p>
        </w:tc>
        <w:tc>
          <w:tcPr>
            <w:tcW w:type="dxa" w:w="576"/>
          </w:tcPr>
          <w:p>
            <w:r/>
            <w:r>
              <w:rPr>
                <w:rFonts w:ascii="Calibri" w:hAnsi="Calibri"/>
                <w:sz w:val="17"/>
              </w:rPr>
              <w:t>O</w:t>
            </w:r>
          </w:p>
        </w:tc>
      </w:tr>
      <w:tr>
        <w:tc>
          <w:tcPr>
            <w:tcW w:type="dxa" w:w="1296"/>
          </w:tcPr>
          <w:p>
            <w:r/>
            <w:r>
              <w:rPr>
                <w:rFonts w:ascii="Cambria Math" w:hAnsi="Cambria Math"/>
                <w:sz w:val="17"/>
              </w:rPr>
              <w:t>Sc_t,Pr_t</w:t>
            </w:r>
          </w:p>
        </w:tc>
        <w:tc>
          <w:tcPr>
            <w:tcW w:type="dxa" w:w="2160"/>
          </w:tcPr>
          <w:p>
            <w:r/>
            <w:r>
              <w:rPr>
                <w:rFonts w:ascii="Calibri" w:hAnsi="Calibri"/>
                <w:sz w:val="17"/>
              </w:rPr>
              <w:t>Turbulent Schmidt &amp; Prandtl numbers</w:t>
            </w:r>
          </w:p>
        </w:tc>
        <w:tc>
          <w:tcPr>
            <w:tcW w:type="dxa" w:w="2448"/>
          </w:tcPr>
          <w:p>
            <w:r/>
            <w:r>
              <w:rPr>
                <w:rFonts w:ascii="Calibri" w:hAnsi="Calibri"/>
                <w:sz w:val="17"/>
              </w:rPr>
              <w:t>Calibration (≈0.7)</w:t>
            </w:r>
          </w:p>
        </w:tc>
        <w:tc>
          <w:tcPr>
            <w:tcW w:type="dxa" w:w="1728"/>
          </w:tcPr>
          <w:p>
            <w:r/>
            <w:r>
              <w:rPr>
                <w:rFonts w:ascii="Calibri" w:hAnsi="Calibri"/>
                <w:sz w:val="17"/>
              </w:rPr>
              <w:t>calibrated</w:t>
            </w:r>
          </w:p>
        </w:tc>
        <w:tc>
          <w:tcPr>
            <w:tcW w:type="dxa" w:w="1008"/>
          </w:tcPr>
          <w:p>
            <w:r/>
            <w:r>
              <w:rPr>
                <w:rFonts w:ascii="Calibri" w:hAnsi="Calibri"/>
                <w:sz w:val="17"/>
              </w:rPr>
              <w:t>per calibration</w:t>
            </w:r>
          </w:p>
        </w:tc>
        <w:tc>
          <w:tcPr>
            <w:tcW w:type="dxa" w:w="576"/>
          </w:tcPr>
          <w:p>
            <w:r/>
            <w:r>
              <w:rPr>
                <w:rFonts w:ascii="Calibri" w:hAnsi="Calibri"/>
                <w:sz w:val="17"/>
              </w:rPr>
              <w:t>S</w:t>
            </w:r>
          </w:p>
        </w:tc>
      </w:tr>
      <w:tr>
        <w:tc>
          <w:tcPr>
            <w:tcW w:type="dxa" w:w="1296"/>
          </w:tcPr>
          <w:p>
            <w:r/>
            <w:r>
              <w:rPr>
                <w:rFonts w:ascii="Cambria Math" w:hAnsi="Cambria Math"/>
                <w:sz w:val="17"/>
              </w:rPr>
              <w:t>C_μ,C₁,C₂,σ</w:t>
            </w:r>
          </w:p>
        </w:tc>
        <w:tc>
          <w:tcPr>
            <w:tcW w:type="dxa" w:w="2160"/>
          </w:tcPr>
          <w:p>
            <w:r/>
            <w:r>
              <w:rPr>
                <w:rFonts w:ascii="Calibri" w:hAnsi="Calibri"/>
                <w:sz w:val="17"/>
              </w:rPr>
              <w:t>k–ε turbulence constants</w:t>
            </w:r>
          </w:p>
        </w:tc>
        <w:tc>
          <w:tcPr>
            <w:tcW w:type="dxa" w:w="2448"/>
          </w:tcPr>
          <w:p>
            <w:r/>
            <w:r>
              <w:rPr>
                <w:rFonts w:ascii="Calibri" w:hAnsi="Calibri"/>
                <w:sz w:val="17"/>
              </w:rPr>
              <w:t>Standard values; calibration</w:t>
            </w:r>
          </w:p>
        </w:tc>
        <w:tc>
          <w:tcPr>
            <w:tcW w:type="dxa" w:w="1728"/>
          </w:tcPr>
          <w:p>
            <w:r/>
            <w:r>
              <w:rPr>
                <w:rFonts w:ascii="Calibri" w:hAnsi="Calibri"/>
                <w:sz w:val="17"/>
              </w:rPr>
              <w:t>standard</w:t>
            </w:r>
          </w:p>
        </w:tc>
        <w:tc>
          <w:tcPr>
            <w:tcW w:type="dxa" w:w="1008"/>
          </w:tcPr>
          <w:p>
            <w:r/>
            <w:r>
              <w:rPr>
                <w:rFonts w:ascii="Calibri" w:hAnsi="Calibri"/>
                <w:sz w:val="17"/>
              </w:rPr>
              <w:t>static</w:t>
            </w:r>
          </w:p>
        </w:tc>
        <w:tc>
          <w:tcPr>
            <w:tcW w:type="dxa" w:w="576"/>
          </w:tcPr>
          <w:p>
            <w:r/>
            <w:r>
              <w:rPr>
                <w:rFonts w:ascii="Calibri" w:hAnsi="Calibri"/>
                <w:sz w:val="17"/>
              </w:rPr>
              <w:t>S</w:t>
            </w:r>
          </w:p>
        </w:tc>
      </w:tr>
      <w:tr>
        <w:tc>
          <w:tcPr>
            <w:tcW w:type="dxa" w:w="1296"/>
          </w:tcPr>
          <w:p>
            <w:r/>
            <w:r>
              <w:rPr>
                <w:rFonts w:ascii="Cambria Math" w:hAnsi="Cambria Math"/>
                <w:sz w:val="17"/>
              </w:rPr>
              <w:t>v̄_w,M_s,ν</w:t>
            </w:r>
          </w:p>
        </w:tc>
        <w:tc>
          <w:tcPr>
            <w:tcW w:type="dxa" w:w="2160"/>
          </w:tcPr>
          <w:p>
            <w:r/>
            <w:r>
              <w:rPr>
                <w:rFonts w:ascii="Calibri" w:hAnsi="Calibri"/>
                <w:sz w:val="17"/>
              </w:rPr>
              <w:t>Molar volume, salt molar mass, ion number</w:t>
            </w:r>
          </w:p>
        </w:tc>
        <w:tc>
          <w:tcPr>
            <w:tcW w:type="dxa" w:w="2448"/>
          </w:tcPr>
          <w:p>
            <w:r/>
            <w:r>
              <w:rPr>
                <w:rFonts w:ascii="Calibri" w:hAnsi="Calibri"/>
                <w:sz w:val="17"/>
              </w:rPr>
              <w:t>Chemistry of the brine</w:t>
            </w:r>
          </w:p>
        </w:tc>
        <w:tc>
          <w:tcPr>
            <w:tcW w:type="dxa" w:w="1728"/>
          </w:tcPr>
          <w:p>
            <w:r/>
            <w:r>
              <w:rPr>
                <w:rFonts w:ascii="Calibri" w:hAnsi="Calibri"/>
                <w:sz w:val="17"/>
              </w:rPr>
              <w:t>literature</w:t>
            </w:r>
          </w:p>
        </w:tc>
        <w:tc>
          <w:tcPr>
            <w:tcW w:type="dxa" w:w="1008"/>
          </w:tcPr>
          <w:p>
            <w:r/>
            <w:r>
              <w:rPr>
                <w:rFonts w:ascii="Calibri" w:hAnsi="Calibri"/>
                <w:sz w:val="17"/>
              </w:rPr>
              <w:t>static</w:t>
            </w:r>
          </w:p>
        </w:tc>
        <w:tc>
          <w:tcPr>
            <w:tcW w:type="dxa" w:w="576"/>
          </w:tcPr>
          <w:p>
            <w:r/>
            <w:r>
              <w:rPr>
                <w:rFonts w:ascii="Calibri" w:hAnsi="Calibri"/>
                <w:sz w:val="17"/>
              </w:rPr>
              <w:t>S</w:t>
            </w:r>
          </w:p>
        </w:tc>
      </w:tr>
    </w:tbl>
    <w:p>
      <w:pPr>
        <w:pStyle w:val="Heading1"/>
      </w:pPr>
      <w:r>
        <w:t>9. Field-Survey and Monitoring Programme</w:t>
      </w:r>
    </w:p>
    <w:p>
      <w:pPr>
        <w:spacing w:after="120"/>
      </w:pPr>
      <w:r>
        <w:rPr>
          <w:rFonts w:ascii="Calibri" w:hAnsi="Calibri"/>
          <w:b w:val="0"/>
          <w:i w:val="0"/>
          <w:sz w:val="22"/>
        </w:rPr>
        <w:t>A staged data-acquisition campaign supplies the time-varying inputs and the calibration/validation data:</w:t>
      </w:r>
    </w:p>
    <w:p>
      <w:pPr>
        <w:pStyle w:val="ListNumber"/>
        <w:spacing w:after="40"/>
      </w:pPr>
      <w:r>
        <w:rPr>
          <w:rFonts w:ascii="Calibri" w:hAnsi="Calibri"/>
          <w:sz w:val="22"/>
        </w:rPr>
        <w:t>Baseline (pre-operation) survey: seasonal CTD grid, multibeam bathymetry, sediment sampling, habitat mapping — establishes ambient S,T,ρ climatology and the domain.</w:t>
      </w:r>
    </w:p>
    <w:p>
      <w:pPr>
        <w:pStyle w:val="ListNumber"/>
        <w:spacing w:after="40"/>
      </w:pPr>
      <w:r>
        <w:rPr>
          <w:rFonts w:ascii="Calibri" w:hAnsi="Calibri"/>
          <w:sz w:val="22"/>
        </w:rPr>
        <w:t>Mooring deployment: bottom-mounted ADCP + thermistor/conductivity chain + wave gauge for ≥30–45 days per season — supplies currents, tides, waves, stratification and the stochastic statistics.</w:t>
      </w:r>
    </w:p>
    <w:p>
      <w:pPr>
        <w:pStyle w:val="ListNumber"/>
        <w:spacing w:after="40"/>
      </w:pPr>
      <w:r>
        <w:rPr>
          <w:rFonts w:ascii="Calibri" w:hAnsi="Calibri"/>
          <w:sz w:val="22"/>
        </w:rPr>
        <w:t>Meteorological feed: on-site met station and/or ERA5 reanalysis — wind, heat, evaporation.</w:t>
      </w:r>
    </w:p>
    <w:p>
      <w:pPr>
        <w:pStyle w:val="ListNumber"/>
        <w:spacing w:after="40"/>
      </w:pPr>
      <w:r>
        <w:rPr>
          <w:rFonts w:ascii="Calibri" w:hAnsi="Calibri"/>
          <w:sz w:val="22"/>
        </w:rPr>
        <w:t>Source monitoring: continuous in-line instrumentation on the reject line (flow, conductivity, density, temperature, pressure).</w:t>
      </w:r>
    </w:p>
    <w:p>
      <w:pPr>
        <w:pStyle w:val="ListNumber"/>
        <w:spacing w:after="40"/>
      </w:pPr>
      <w:r>
        <w:rPr>
          <w:rFonts w:ascii="Calibri" w:hAnsi="Calibri"/>
          <w:sz w:val="22"/>
        </w:rPr>
        <w:t>Validation survey: CTD transects and towed/AUV salinity mapping around the operating outfall — the data the model is tested against (see output.docx, Tier 8b).</w:t>
      </w:r>
    </w:p>
    <w:p>
      <w:pPr>
        <w:pStyle w:val="ListNumber"/>
        <w:spacing w:after="40"/>
      </w:pPr>
      <w:r>
        <w:rPr>
          <w:rFonts w:ascii="Calibri" w:hAnsi="Calibri"/>
          <w:sz w:val="22"/>
        </w:rPr>
        <w:t>Event &amp; post-storm surveys: re-survey bathymetry and re-sample currents after major storms to update H and forcing statistics.</w:t>
      </w:r>
    </w:p>
    <w:p>
      <w:pPr>
        <w:pStyle w:val="Heading1"/>
      </w:pPr>
      <w:r>
        <w:t>10. Data Format, Pre-Processing and QA/QC</w:t>
      </w:r>
    </w:p>
    <w:p>
      <w:pPr>
        <w:pStyle w:val="ListBullet"/>
        <w:spacing w:after="40"/>
      </w:pPr>
      <w:r>
        <w:rPr>
          <w:rFonts w:ascii="Calibri" w:hAnsi="Calibri"/>
          <w:sz w:val="22"/>
        </w:rPr>
        <w:t>Coordinate reference: all spatial data in a single projected CRS (e.g. UTM) with a defined vertical datum (chart datum / MSL).</w:t>
      </w:r>
    </w:p>
    <w:p>
      <w:pPr>
        <w:pStyle w:val="ListBullet"/>
        <w:spacing w:after="40"/>
      </w:pPr>
      <w:r>
        <w:rPr>
          <w:rFonts w:ascii="Calibri" w:hAnsi="Calibri"/>
          <w:sz w:val="22"/>
        </w:rPr>
        <w:t>Time base: all time series in UTC with consistent sampling; gaps flagged, not zero-filled.</w:t>
      </w:r>
    </w:p>
    <w:p>
      <w:pPr>
        <w:pStyle w:val="ListBullet"/>
        <w:spacing w:after="40"/>
      </w:pPr>
      <w:r>
        <w:rPr>
          <w:rFonts w:ascii="Calibri" w:hAnsi="Calibri"/>
          <w:sz w:val="22"/>
        </w:rPr>
        <w:t>Formats: gridded fields as NetCDF/GeoTIFF; time series as CSV/Parquet; bathymetry as XYZ/DEM; metadata per CF conventions.</w:t>
      </w:r>
    </w:p>
    <w:p>
      <w:pPr>
        <w:pStyle w:val="ListBullet"/>
        <w:spacing w:after="40"/>
      </w:pPr>
      <w:r>
        <w:rPr>
          <w:rFonts w:ascii="Calibri" w:hAnsi="Calibri"/>
          <w:sz w:val="22"/>
        </w:rPr>
        <w:t>Pre-processing: de-spiking, drift correction and calibration of sensors; harmonic analysis to separate tidal/residual currents; interpolation of CTD casts to model levels.</w:t>
      </w:r>
    </w:p>
    <w:p>
      <w:pPr>
        <w:pStyle w:val="ListBullet"/>
        <w:spacing w:after="40"/>
      </w:pPr>
      <w:r>
        <w:rPr>
          <w:rFonts w:ascii="Calibri" w:hAnsi="Calibri"/>
          <w:sz w:val="22"/>
        </w:rPr>
        <w:t>QA/QC: range and spike checks, sensor cross-comparison, mass-balance sanity checks, and documented uncertainty for every input (feeds the stochastic layer and the output confidence envelopes).</w:t>
      </w:r>
    </w:p>
    <w:p>
      <w:pPr>
        <w:pStyle w:val="ListBullet"/>
        <w:spacing w:after="40"/>
      </w:pPr>
      <w:r>
        <w:rPr>
          <w:rFonts w:ascii="Calibri" w:hAnsi="Calibri"/>
          <w:sz w:val="22"/>
        </w:rPr>
        <w:t>Gap-filling: short gaps by interpolation; long gaps by validated ocean/atmospheric model reanalysis, with the substitution flagged.</w:t>
      </w:r>
    </w:p>
    <w:p>
      <w:r>
        <w:br w:type="page"/>
      </w:r>
    </w:p>
    <w:p>
      <w:pPr>
        <w:pStyle w:val="Heading1"/>
      </w:pPr>
      <w:r>
        <w:t>11. Minimum-Viable vs Full Dataset</w:t>
      </w:r>
    </w:p>
    <w:p>
      <w:pPr>
        <w:spacing w:after="120"/>
      </w:pPr>
      <w:r>
        <w:rPr>
          <w:rFonts w:ascii="Calibri" w:hAnsi="Calibri"/>
          <w:b w:val="0"/>
          <w:i w:val="0"/>
          <w:sz w:val="22"/>
        </w:rPr>
        <w:t>The model can run at increasing fidelity as data is added:</w:t>
      </w:r>
    </w:p>
    <w:tbl>
      <w:tblPr>
        <w:tblStyle w:val="LightGrid-Accent1"/>
        <w:tblW w:type="auto" w:w="0"/>
        <w:jc w:val="center"/>
        <w:tblLook w:firstColumn="1" w:firstRow="1" w:lastColumn="0" w:lastRow="0" w:noHBand="0" w:noVBand="1" w:val="04A0"/>
      </w:tblPr>
      <w:tblGrid>
        <w:gridCol w:w="2880"/>
        <w:gridCol w:w="2880"/>
        <w:gridCol w:w="2880"/>
      </w:tblGrid>
      <w:tr>
        <w:tc>
          <w:tcPr>
            <w:tcW w:type="dxa" w:w="1872"/>
            <w:shd w:val="clear" w:color="auto" w:fill="1F4E79"/>
          </w:tcPr>
          <w:p>
            <w:r/>
            <w:r>
              <w:rPr>
                <w:rFonts w:ascii="Calibri" w:hAnsi="Calibri"/>
                <w:b/>
                <w:color w:val="FFFFFF"/>
                <w:sz w:val="18"/>
              </w:rPr>
              <w:t>Tier</w:t>
            </w:r>
          </w:p>
        </w:tc>
        <w:tc>
          <w:tcPr>
            <w:tcW w:type="dxa" w:w="4320"/>
            <w:shd w:val="clear" w:color="auto" w:fill="1F4E79"/>
          </w:tcPr>
          <w:p>
            <w:r/>
            <w:r>
              <w:rPr>
                <w:rFonts w:ascii="Calibri" w:hAnsi="Calibri"/>
                <w:b/>
                <w:color w:val="FFFFFF"/>
                <w:sz w:val="18"/>
              </w:rPr>
              <w:t>Dataset</w:t>
            </w:r>
          </w:p>
        </w:tc>
        <w:tc>
          <w:tcPr>
            <w:tcW w:type="dxa" w:w="3456"/>
            <w:shd w:val="clear" w:color="auto" w:fill="1F4E79"/>
          </w:tcPr>
          <w:p>
            <w:r/>
            <w:r>
              <w:rPr>
                <w:rFonts w:ascii="Calibri" w:hAnsi="Calibri"/>
                <w:b/>
                <w:color w:val="FFFFFF"/>
                <w:sz w:val="18"/>
              </w:rPr>
              <w:t>Enables</w:t>
            </w:r>
          </w:p>
        </w:tc>
      </w:tr>
      <w:tr>
        <w:tc>
          <w:tcPr>
            <w:tcW w:type="dxa" w:w="1872"/>
          </w:tcPr>
          <w:p>
            <w:r/>
            <w:r>
              <w:rPr>
                <w:rFonts w:ascii="Calibri" w:hAnsi="Calibri"/>
                <w:sz w:val="18"/>
              </w:rPr>
              <w:t>Minimum (R only)</w:t>
            </w:r>
          </w:p>
        </w:tc>
        <w:tc>
          <w:tcPr>
            <w:tcW w:type="dxa" w:w="4320"/>
          </w:tcPr>
          <w:p>
            <w:r/>
            <w:r>
              <w:rPr>
                <w:rFonts w:ascii="Calibri" w:hAnsi="Calibri"/>
                <w:sz w:val="18"/>
              </w:rPr>
              <w:t>Discharge S₀/Q_d/T_b, pipe geometry &amp; angle, ambient S/T profile, bathymetry, currents+tides, latitude</w:t>
            </w:r>
          </w:p>
        </w:tc>
        <w:tc>
          <w:tcPr>
            <w:tcW w:type="dxa" w:w="3456"/>
          </w:tcPr>
          <w:p>
            <w:r/>
            <w:r>
              <w:rPr>
                <w:rFonts w:ascii="Calibri" w:hAnsi="Calibri"/>
                <w:sz w:val="18"/>
              </w:rPr>
              <w:t>Deterministic unsteady plume; r_max, z_max, dilution, footprint</w:t>
            </w:r>
          </w:p>
        </w:tc>
      </w:tr>
      <w:tr>
        <w:tc>
          <w:tcPr>
            <w:tcW w:type="dxa" w:w="1872"/>
          </w:tcPr>
          <w:p>
            <w:r/>
            <w:r>
              <w:rPr>
                <w:rFonts w:ascii="Calibri" w:hAnsi="Calibri"/>
                <w:sz w:val="18"/>
              </w:rPr>
              <w:t>Recommended (R+S)</w:t>
            </w:r>
          </w:p>
        </w:tc>
        <w:tc>
          <w:tcPr>
            <w:tcW w:type="dxa" w:w="4320"/>
          </w:tcPr>
          <w:p>
            <w:r/>
            <w:r>
              <w:rPr>
                <w:rFonts w:ascii="Calibri" w:hAnsi="Calibri"/>
                <w:sz w:val="18"/>
              </w:rPr>
              <w:t>Adds waves, wind, stratification time series, osmotic &amp; turbulence coefficients, stochastic statistics</w:t>
            </w:r>
          </w:p>
        </w:tc>
        <w:tc>
          <w:tcPr>
            <w:tcW w:type="dxa" w:w="3456"/>
          </w:tcPr>
          <w:p>
            <w:r/>
            <w:r>
              <w:rPr>
                <w:rFonts w:ascii="Calibri" w:hAnsi="Calibri"/>
                <w:sz w:val="18"/>
              </w:rPr>
              <w:t>Full coupled accuracy + uncertainty envelopes &amp; exceedance maps</w:t>
            </w:r>
          </w:p>
        </w:tc>
      </w:tr>
      <w:tr>
        <w:tc>
          <w:tcPr>
            <w:tcW w:type="dxa" w:w="1872"/>
          </w:tcPr>
          <w:p>
            <w:r/>
            <w:r>
              <w:rPr>
                <w:rFonts w:ascii="Calibri" w:hAnsi="Calibri"/>
                <w:sz w:val="18"/>
              </w:rPr>
              <w:t>Full (R+S+O)</w:t>
            </w:r>
          </w:p>
        </w:tc>
        <w:tc>
          <w:tcPr>
            <w:tcW w:type="dxa" w:w="4320"/>
          </w:tcPr>
          <w:p>
            <w:r/>
            <w:r>
              <w:rPr>
                <w:rFonts w:ascii="Calibri" w:hAnsi="Calibri"/>
                <w:sz w:val="18"/>
              </w:rPr>
              <w:t>Adds ion chemistry, heat fluxes, Soret/Dufour, directional spectra, event surveys</w:t>
            </w:r>
          </w:p>
        </w:tc>
        <w:tc>
          <w:tcPr>
            <w:tcW w:type="dxa" w:w="3456"/>
          </w:tcPr>
          <w:p>
            <w:r/>
            <w:r>
              <w:rPr>
                <w:rFonts w:ascii="Calibri" w:hAnsi="Calibri"/>
                <w:sz w:val="18"/>
              </w:rPr>
              <w:t>Maximum-fidelity research-grade prediction &amp; all novel couplings</w:t>
            </w:r>
          </w:p>
        </w:tc>
      </w:tr>
    </w:tbl>
    <w:p>
      <w:pPr>
        <w:pStyle w:val="Heading1"/>
      </w:pPr>
      <w:r>
        <w:t>12. Input-Readiness Checklist</w:t>
      </w:r>
    </w:p>
    <w:p>
      <w:pPr>
        <w:spacing w:after="120"/>
      </w:pPr>
      <w:r>
        <w:rPr>
          <w:rFonts w:ascii="Calibri" w:hAnsi="Calibri"/>
          <w:b w:val="0"/>
          <w:i w:val="0"/>
          <w:sz w:val="22"/>
        </w:rPr>
        <w:t>Before a production run, confirm:</w:t>
      </w:r>
    </w:p>
    <w:p>
      <w:pPr>
        <w:pStyle w:val="ListBullet"/>
        <w:spacing w:after="40"/>
      </w:pPr>
      <w:r>
        <w:rPr>
          <w:rFonts w:ascii="Calibri" w:hAnsi="Calibri"/>
          <w:sz w:val="22"/>
        </w:rPr>
        <w:t>☐ Continuous source monitoring (flow, salinity, density, T, p) live.</w:t>
      </w:r>
    </w:p>
    <w:p>
      <w:pPr>
        <w:pStyle w:val="ListBullet"/>
        <w:spacing w:after="40"/>
      </w:pPr>
      <w:r>
        <w:rPr>
          <w:rFonts w:ascii="Calibri" w:hAnsi="Calibri"/>
          <w:sz w:val="22"/>
        </w:rPr>
        <w:t>☐ As-built diffuser geometry, port angles and position verified by ROV.</w:t>
      </w:r>
    </w:p>
    <w:p>
      <w:pPr>
        <w:pStyle w:val="ListBullet"/>
        <w:spacing w:after="40"/>
      </w:pPr>
      <w:r>
        <w:rPr>
          <w:rFonts w:ascii="Calibri" w:hAnsi="Calibri"/>
          <w:sz w:val="22"/>
        </w:rPr>
        <w:t>☐ Seasonal CTD profiles of ambient S, T, ρ available.</w:t>
      </w:r>
    </w:p>
    <w:p>
      <w:pPr>
        <w:pStyle w:val="ListBullet"/>
        <w:spacing w:after="40"/>
      </w:pPr>
      <w:r>
        <w:rPr>
          <w:rFonts w:ascii="Calibri" w:hAnsi="Calibri"/>
          <w:sz w:val="22"/>
        </w:rPr>
        <w:t>☐ ≥30-day ADCP current record + tidal harmonics derived.</w:t>
      </w:r>
    </w:p>
    <w:p>
      <w:pPr>
        <w:pStyle w:val="ListBullet"/>
        <w:spacing w:after="40"/>
      </w:pPr>
      <w:r>
        <w:rPr>
          <w:rFonts w:ascii="Calibri" w:hAnsi="Calibri"/>
          <w:sz w:val="22"/>
        </w:rPr>
        <w:t>☐ Wave and wind time series (measured or reanalysis) secured.</w:t>
      </w:r>
    </w:p>
    <w:p>
      <w:pPr>
        <w:pStyle w:val="ListBullet"/>
        <w:spacing w:after="40"/>
      </w:pPr>
      <w:r>
        <w:rPr>
          <w:rFonts w:ascii="Calibri" w:hAnsi="Calibri"/>
          <w:sz w:val="22"/>
        </w:rPr>
        <w:t>☐ Multibeam bathymetry / DEM on a consistent CRS &amp; datum.</w:t>
      </w:r>
    </w:p>
    <w:p>
      <w:pPr>
        <w:pStyle w:val="ListBullet"/>
        <w:spacing w:after="40"/>
      </w:pPr>
      <w:r>
        <w:rPr>
          <w:rFonts w:ascii="Calibri" w:hAnsi="Calibri"/>
          <w:sz w:val="22"/>
        </w:rPr>
        <w:t>☐ Osmotic, turbulence and stochastic coefficients estimated/calibrated.</w:t>
      </w:r>
    </w:p>
    <w:p>
      <w:pPr>
        <w:pStyle w:val="ListBullet"/>
        <w:spacing w:after="40"/>
      </w:pPr>
      <w:r>
        <w:rPr>
          <w:rFonts w:ascii="Calibri" w:hAnsi="Calibri"/>
          <w:sz w:val="22"/>
        </w:rPr>
        <w:t>☐ Validation dataset (outfall CTD survey) reserved for model testing.</w:t>
      </w:r>
    </w:p>
    <w:p>
      <w:pPr>
        <w:pStyle w:val="ListBullet"/>
        <w:spacing w:after="40"/>
      </w:pPr>
      <w:r>
        <w:rPr>
          <w:rFonts w:ascii="Calibri" w:hAnsi="Calibri"/>
          <w:sz w:val="22"/>
        </w:rPr>
        <w:t>☐ All inputs QA/QC'd with documented uncertainties.</w:t>
      </w:r>
    </w:p>
    <w:p>
      <w:pPr>
        <w:spacing w:after="120"/>
      </w:pPr>
    </w:p>
    <w:p>
      <w:pPr>
        <w:spacing w:after="120"/>
      </w:pPr>
      <w:r>
        <w:rPr>
          <w:rFonts w:ascii="Calibri" w:hAnsi="Calibri"/>
          <w:b w:val="0"/>
          <w:i/>
          <w:sz w:val="22"/>
        </w:rPr>
        <w:t>Note on inputs easily overlooked but required here: the stochastic-forcing statistics (τ_m, σ_m, ℓ_m) that quantify the sea's unpredictability, the osmotic/activity coefficient of the specific brine, sensor uncertainties (which propagate into the output confidence envelopes), the vertical datum reconciliation between bathymetry and tide data, and post-storm bathymetry refresh — each is included above because NEREID-B's coupled, stochastic formulation depends on them.</w:t>
      </w:r>
    </w:p>
    <w:p>
      <w:pPr>
        <w:jc w:val="center"/>
      </w:pPr>
      <w:r>
        <w:rPr>
          <w:rFonts w:ascii="Calibri" w:hAnsi="Calibri"/>
          <w:b/>
          <w:color w:val="1F4E79"/>
          <w:sz w:val="48"/>
        </w:rPr>
        <w:t>NEREID-B — Output Specification</w:t>
      </w:r>
    </w:p>
    <w:p>
      <w:pPr>
        <w:jc w:val="center"/>
      </w:pPr>
      <w:r>
        <w:rPr>
          <w:rFonts w:ascii="Calibri" w:hAnsi="Calibri"/>
          <w:i/>
          <w:sz w:val="26"/>
        </w:rPr>
        <w:t>Complete Catalogue of Predicted Outputs, Metrics, Charts, Graphs, Curves and Data Products of the Coupled Stochastic PDE Brine-Salinity Model</w:t>
      </w:r>
    </w:p>
    <w:p>
      <w:pPr>
        <w:jc w:val="center"/>
      </w:pPr>
      <w:r>
        <w:rPr>
          <w:rFonts w:ascii="Calibri" w:hAnsi="Calibri"/>
          <w:color w:val="555555"/>
          <w:sz w:val="22"/>
        </w:rPr>
        <w:t>Companion to salinity.docx  ·  Rev. 1.0  ·  11 June 2026</w:t>
      </w:r>
    </w:p>
    <w:p>
      <w:pPr>
        <w:spacing w:after="160"/>
      </w:pPr>
    </w:p>
    <w:p>
      <w:pPr>
        <w:spacing w:after="120"/>
      </w:pPr>
      <w:r>
        <w:rPr>
          <w:rFonts w:ascii="Calibri" w:hAnsi="Calibri"/>
          <w:b w:val="0"/>
          <w:i w:val="0"/>
          <w:sz w:val="22"/>
        </w:rPr>
        <w:t>This document enumerates every output the NEREID-B model generates to deliver its prediction: the raw solved fields, the derived engineering metrics, the full suite of visualizations (charts, graphs, curves, maps and animations), the statistical / uncertainty products that arise from the model's stochastic layer, the regulatory-compliance diagnostics, the model-health diagnostics, and the machine-readable export formats. Outputs are grouped by category; within each group a table gives the output name, what it is, its dimensionality / chart type, and its units or file format. A consolidated quick-reference index closes the document.</w:t>
      </w:r>
    </w:p>
    <w:p>
      <w:pPr>
        <w:pStyle w:val="Heading1"/>
      </w:pPr>
      <w:r>
        <w:t>0. Output Hierarchy at a Glance</w:t>
      </w:r>
    </w:p>
    <w:p>
      <w:pPr>
        <w:spacing w:after="120"/>
      </w:pPr>
      <w:r>
        <w:rPr>
          <w:rFonts w:ascii="Calibri" w:hAnsi="Calibri"/>
          <w:b w:val="0"/>
          <w:i w:val="0"/>
          <w:sz w:val="22"/>
        </w:rPr>
        <w:t>NEREID-B outputs fall into eight tiers, each built from the one above:</w:t>
      </w:r>
    </w:p>
    <w:p>
      <w:pPr>
        <w:pStyle w:val="ListBullet"/>
        <w:spacing w:after="40"/>
      </w:pPr>
      <w:r>
        <w:rPr>
          <w:rFonts w:ascii="Calibri" w:hAnsi="Calibri"/>
          <w:sz w:val="22"/>
        </w:rPr>
        <w:t>Tier 1 — Primary solved fields (4-D: x, y, z, t).</w:t>
      </w:r>
    </w:p>
    <w:p>
      <w:pPr>
        <w:pStyle w:val="ListBullet"/>
        <w:spacing w:after="40"/>
      </w:pPr>
      <w:r>
        <w:rPr>
          <w:rFonts w:ascii="Calibri" w:hAnsi="Calibri"/>
          <w:sz w:val="22"/>
        </w:rPr>
        <w:t>Tier 2 — Derived secondary fields computed from Tier 1.</w:t>
      </w:r>
    </w:p>
    <w:p>
      <w:pPr>
        <w:pStyle w:val="ListBullet"/>
        <w:spacing w:after="40"/>
      </w:pPr>
      <w:r>
        <w:rPr>
          <w:rFonts w:ascii="Calibri" w:hAnsi="Calibri"/>
          <w:sz w:val="22"/>
        </w:rPr>
        <w:t>Tier 3 — Scalar engineering metrics (the headline numbers).</w:t>
      </w:r>
    </w:p>
    <w:p>
      <w:pPr>
        <w:pStyle w:val="ListBullet"/>
        <w:spacing w:after="40"/>
      </w:pPr>
      <w:r>
        <w:rPr>
          <w:rFonts w:ascii="Calibri" w:hAnsi="Calibri"/>
          <w:sz w:val="22"/>
        </w:rPr>
        <w:t>Tier 4 — Spatial maps and cross-sections (2-D snapshots).</w:t>
      </w:r>
    </w:p>
    <w:p>
      <w:pPr>
        <w:pStyle w:val="ListBullet"/>
        <w:spacing w:after="40"/>
      </w:pPr>
      <w:r>
        <w:rPr>
          <w:rFonts w:ascii="Calibri" w:hAnsi="Calibri"/>
          <w:sz w:val="22"/>
        </w:rPr>
        <w:t>Tier 5 — Curves and graphs (1-D relationships and profiles).</w:t>
      </w:r>
    </w:p>
    <w:p>
      <w:pPr>
        <w:pStyle w:val="ListBullet"/>
        <w:spacing w:after="40"/>
      </w:pPr>
      <w:r>
        <w:rPr>
          <w:rFonts w:ascii="Calibri" w:hAnsi="Calibri"/>
          <w:sz w:val="22"/>
        </w:rPr>
        <w:t>Tier 6 — Time series and animations (evolution in time).</w:t>
      </w:r>
    </w:p>
    <w:p>
      <w:pPr>
        <w:pStyle w:val="ListBullet"/>
        <w:spacing w:after="40"/>
      </w:pPr>
      <w:r>
        <w:rPr>
          <w:rFonts w:ascii="Calibri" w:hAnsi="Calibri"/>
          <w:sz w:val="22"/>
        </w:rPr>
        <w:t>Tier 7 — Statistical / uncertainty products (from the SPDE ensemble).</w:t>
      </w:r>
    </w:p>
    <w:p>
      <w:pPr>
        <w:pStyle w:val="ListBullet"/>
        <w:spacing w:after="40"/>
      </w:pPr>
      <w:r>
        <w:rPr>
          <w:rFonts w:ascii="Calibri" w:hAnsi="Calibri"/>
          <w:sz w:val="22"/>
        </w:rPr>
        <w:t>Tier 8 — Compliance, validation and machine-readable data exports.</w:t>
      </w:r>
    </w:p>
    <w:p>
      <w:pPr>
        <w:pStyle w:val="Heading1"/>
      </w:pPr>
      <w:r>
        <w:t>1. Tier 1 — Primary Solved Fields (4-D space–time)</w:t>
      </w:r>
    </w:p>
    <w:p>
      <w:pPr>
        <w:spacing w:after="120"/>
      </w:pPr>
      <w:r>
        <w:rPr>
          <w:rFonts w:ascii="Calibri" w:hAnsi="Calibri"/>
          <w:b w:val="0"/>
          <w:i w:val="0"/>
          <w:sz w:val="22"/>
        </w:rPr>
        <w:t>These are the dependent variables the PDE system integrates directly. Each is a full four-dimensional array S(x, y, z, 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584"/>
            <w:shd w:val="clear" w:color="auto" w:fill="1F4E79"/>
          </w:tcPr>
          <w:p>
            <w:r/>
            <w:r>
              <w:rPr>
                <w:rFonts w:ascii="Calibri" w:hAnsi="Calibri"/>
                <w:b/>
                <w:color w:val="FFFFFF"/>
                <w:sz w:val="18"/>
              </w:rPr>
              <w:t>Output</w:t>
            </w:r>
          </w:p>
        </w:tc>
        <w:tc>
          <w:tcPr>
            <w:tcW w:type="dxa" w:w="4608"/>
            <w:shd w:val="clear" w:color="auto" w:fill="1F4E79"/>
          </w:tcPr>
          <w:p>
            <w:r/>
            <w:r>
              <w:rPr>
                <w:rFonts w:ascii="Calibri" w:hAnsi="Calibri"/>
                <w:b/>
                <w:color w:val="FFFFFF"/>
                <w:sz w:val="18"/>
              </w:rPr>
              <w:t>Description</w:t>
            </w:r>
          </w:p>
        </w:tc>
        <w:tc>
          <w:tcPr>
            <w:tcW w:type="dxa" w:w="864"/>
            <w:shd w:val="clear" w:color="auto" w:fill="1F4E79"/>
          </w:tcPr>
          <w:p>
            <w:r/>
            <w:r>
              <w:rPr>
                <w:rFonts w:ascii="Calibri" w:hAnsi="Calibri"/>
                <w:b/>
                <w:color w:val="FFFFFF"/>
                <w:sz w:val="18"/>
              </w:rPr>
              <w:t>Dim.</w:t>
            </w:r>
          </w:p>
        </w:tc>
        <w:tc>
          <w:tcPr>
            <w:tcW w:type="dxa" w:w="1584"/>
            <w:shd w:val="clear" w:color="auto" w:fill="1F4E79"/>
          </w:tcPr>
          <w:p>
            <w:r/>
            <w:r>
              <w:rPr>
                <w:rFonts w:ascii="Calibri" w:hAnsi="Calibri"/>
                <w:b/>
                <w:color w:val="FFFFFF"/>
                <w:sz w:val="18"/>
              </w:rPr>
              <w:t>Units</w:t>
            </w:r>
          </w:p>
        </w:tc>
      </w:tr>
      <w:tr>
        <w:tc>
          <w:tcPr>
            <w:tcW w:type="dxa" w:w="1584"/>
          </w:tcPr>
          <w:p>
            <w:r/>
            <w:r>
              <w:rPr>
                <w:rFonts w:ascii="Cambria Math" w:hAnsi="Cambria Math"/>
                <w:sz w:val="18"/>
              </w:rPr>
              <w:t>S(x,y,z,t)</w:t>
            </w:r>
          </w:p>
        </w:tc>
        <w:tc>
          <w:tcPr>
            <w:tcW w:type="dxa" w:w="4608"/>
          </w:tcPr>
          <w:p>
            <w:r/>
            <w:r>
              <w:rPr>
                <w:rFonts w:ascii="Calibri" w:hAnsi="Calibri"/>
                <w:sz w:val="18"/>
              </w:rPr>
              <w:t>Absolute salinity field — the primary prediction</w:t>
            </w:r>
          </w:p>
        </w:tc>
        <w:tc>
          <w:tcPr>
            <w:tcW w:type="dxa" w:w="864"/>
          </w:tcPr>
          <w:p>
            <w:r/>
            <w:r>
              <w:rPr>
                <w:rFonts w:ascii="Calibri" w:hAnsi="Calibri"/>
                <w:sz w:val="18"/>
              </w:rPr>
              <w:t>4-D</w:t>
            </w:r>
          </w:p>
        </w:tc>
        <w:tc>
          <w:tcPr>
            <w:tcW w:type="dxa" w:w="1584"/>
          </w:tcPr>
          <w:p>
            <w:r/>
            <w:r>
              <w:rPr>
                <w:rFonts w:ascii="Calibri" w:hAnsi="Calibri"/>
                <w:sz w:val="18"/>
              </w:rPr>
              <w:t>g kg⁻¹ (psu)</w:t>
            </w:r>
          </w:p>
        </w:tc>
      </w:tr>
      <w:tr>
        <w:tc>
          <w:tcPr>
            <w:tcW w:type="dxa" w:w="1584"/>
          </w:tcPr>
          <w:p>
            <w:r/>
            <w:r>
              <w:rPr>
                <w:rFonts w:ascii="Cambria Math" w:hAnsi="Cambria Math"/>
                <w:sz w:val="18"/>
              </w:rPr>
              <w:t>u, v, w</w:t>
            </w:r>
          </w:p>
        </w:tc>
        <w:tc>
          <w:tcPr>
            <w:tcW w:type="dxa" w:w="4608"/>
          </w:tcPr>
          <w:p>
            <w:r/>
            <w:r>
              <w:rPr>
                <w:rFonts w:ascii="Calibri" w:hAnsi="Calibri"/>
                <w:sz w:val="18"/>
              </w:rPr>
              <w:t>Three velocity components of the moving sea + plume</w:t>
            </w:r>
          </w:p>
        </w:tc>
        <w:tc>
          <w:tcPr>
            <w:tcW w:type="dxa" w:w="864"/>
          </w:tcPr>
          <w:p>
            <w:r/>
            <w:r>
              <w:rPr>
                <w:rFonts w:ascii="Calibri" w:hAnsi="Calibri"/>
                <w:sz w:val="18"/>
              </w:rPr>
              <w:t>4-D</w:t>
            </w:r>
          </w:p>
        </w:tc>
        <w:tc>
          <w:tcPr>
            <w:tcW w:type="dxa" w:w="1584"/>
          </w:tcPr>
          <w:p>
            <w:r/>
            <w:r>
              <w:rPr>
                <w:rFonts w:ascii="Calibri" w:hAnsi="Calibri"/>
                <w:sz w:val="18"/>
              </w:rPr>
              <w:t>m s⁻¹</w:t>
            </w:r>
          </w:p>
        </w:tc>
      </w:tr>
      <w:tr>
        <w:tc>
          <w:tcPr>
            <w:tcW w:type="dxa" w:w="1584"/>
          </w:tcPr>
          <w:p>
            <w:r/>
            <w:r>
              <w:rPr>
                <w:rFonts w:ascii="Cambria Math" w:hAnsi="Cambria Math"/>
                <w:sz w:val="18"/>
              </w:rPr>
              <w:t>p(x,y,z,t)</w:t>
            </w:r>
          </w:p>
        </w:tc>
        <w:tc>
          <w:tcPr>
            <w:tcW w:type="dxa" w:w="4608"/>
          </w:tcPr>
          <w:p>
            <w:r/>
            <w:r>
              <w:rPr>
                <w:rFonts w:ascii="Calibri" w:hAnsi="Calibri"/>
                <w:sz w:val="18"/>
              </w:rPr>
              <w:t>Pressure field</w:t>
            </w:r>
          </w:p>
        </w:tc>
        <w:tc>
          <w:tcPr>
            <w:tcW w:type="dxa" w:w="864"/>
          </w:tcPr>
          <w:p>
            <w:r/>
            <w:r>
              <w:rPr>
                <w:rFonts w:ascii="Calibri" w:hAnsi="Calibri"/>
                <w:sz w:val="18"/>
              </w:rPr>
              <w:t>4-D</w:t>
            </w:r>
          </w:p>
        </w:tc>
        <w:tc>
          <w:tcPr>
            <w:tcW w:type="dxa" w:w="1584"/>
          </w:tcPr>
          <w:p>
            <w:r/>
            <w:r>
              <w:rPr>
                <w:rFonts w:ascii="Calibri" w:hAnsi="Calibri"/>
                <w:sz w:val="18"/>
              </w:rPr>
              <w:t>Pa</w:t>
            </w:r>
          </w:p>
        </w:tc>
      </w:tr>
      <w:tr>
        <w:tc>
          <w:tcPr>
            <w:tcW w:type="dxa" w:w="1584"/>
          </w:tcPr>
          <w:p>
            <w:r/>
            <w:r>
              <w:rPr>
                <w:rFonts w:ascii="Cambria Math" w:hAnsi="Cambria Math"/>
                <w:sz w:val="18"/>
              </w:rPr>
              <w:t>ρ(x,y,z,t)</w:t>
            </w:r>
          </w:p>
        </w:tc>
        <w:tc>
          <w:tcPr>
            <w:tcW w:type="dxa" w:w="4608"/>
          </w:tcPr>
          <w:p>
            <w:r/>
            <w:r>
              <w:rPr>
                <w:rFonts w:ascii="Calibri" w:hAnsi="Calibri"/>
                <w:sz w:val="18"/>
              </w:rPr>
              <w:t>Density field (from nonlinear EOS)</w:t>
            </w:r>
          </w:p>
        </w:tc>
        <w:tc>
          <w:tcPr>
            <w:tcW w:type="dxa" w:w="864"/>
          </w:tcPr>
          <w:p>
            <w:r/>
            <w:r>
              <w:rPr>
                <w:rFonts w:ascii="Calibri" w:hAnsi="Calibri"/>
                <w:sz w:val="18"/>
              </w:rPr>
              <w:t>4-D</w:t>
            </w:r>
          </w:p>
        </w:tc>
        <w:tc>
          <w:tcPr>
            <w:tcW w:type="dxa" w:w="1584"/>
          </w:tcPr>
          <w:p>
            <w:r/>
            <w:r>
              <w:rPr>
                <w:rFonts w:ascii="Calibri" w:hAnsi="Calibri"/>
                <w:sz w:val="18"/>
              </w:rPr>
              <w:t>kg m⁻³</w:t>
            </w:r>
          </w:p>
        </w:tc>
      </w:tr>
      <w:tr>
        <w:tc>
          <w:tcPr>
            <w:tcW w:type="dxa" w:w="1584"/>
          </w:tcPr>
          <w:p>
            <w:r/>
            <w:r>
              <w:rPr>
                <w:rFonts w:ascii="Cambria Math" w:hAnsi="Cambria Math"/>
                <w:sz w:val="18"/>
              </w:rPr>
              <w:t>T(x,y,z,t)</w:t>
            </w:r>
          </w:p>
        </w:tc>
        <w:tc>
          <w:tcPr>
            <w:tcW w:type="dxa" w:w="4608"/>
          </w:tcPr>
          <w:p>
            <w:r/>
            <w:r>
              <w:rPr>
                <w:rFonts w:ascii="Calibri" w:hAnsi="Calibri"/>
                <w:sz w:val="18"/>
              </w:rPr>
              <w:t>Temperature field</w:t>
            </w:r>
          </w:p>
        </w:tc>
        <w:tc>
          <w:tcPr>
            <w:tcW w:type="dxa" w:w="864"/>
          </w:tcPr>
          <w:p>
            <w:r/>
            <w:r>
              <w:rPr>
                <w:rFonts w:ascii="Calibri" w:hAnsi="Calibri"/>
                <w:sz w:val="18"/>
              </w:rPr>
              <w:t>4-D</w:t>
            </w:r>
          </w:p>
        </w:tc>
        <w:tc>
          <w:tcPr>
            <w:tcW w:type="dxa" w:w="1584"/>
          </w:tcPr>
          <w:p>
            <w:r/>
            <w:r>
              <w:rPr>
                <w:rFonts w:ascii="Calibri" w:hAnsi="Calibri"/>
                <w:sz w:val="18"/>
              </w:rPr>
              <w:t>°C</w:t>
            </w:r>
          </w:p>
        </w:tc>
      </w:tr>
      <w:tr>
        <w:tc>
          <w:tcPr>
            <w:tcW w:type="dxa" w:w="1584"/>
          </w:tcPr>
          <w:p>
            <w:r/>
            <w:r>
              <w:rPr>
                <w:rFonts w:ascii="Cambria Math" w:hAnsi="Cambria Math"/>
                <w:sz w:val="18"/>
              </w:rPr>
              <w:t>k(x,y,z,t)</w:t>
            </w:r>
          </w:p>
        </w:tc>
        <w:tc>
          <w:tcPr>
            <w:tcW w:type="dxa" w:w="4608"/>
          </w:tcPr>
          <w:p>
            <w:r/>
            <w:r>
              <w:rPr>
                <w:rFonts w:ascii="Calibri" w:hAnsi="Calibri"/>
                <w:sz w:val="18"/>
              </w:rPr>
              <w:t>Turbulent kinetic energy</w:t>
            </w:r>
          </w:p>
        </w:tc>
        <w:tc>
          <w:tcPr>
            <w:tcW w:type="dxa" w:w="864"/>
          </w:tcPr>
          <w:p>
            <w:r/>
            <w:r>
              <w:rPr>
                <w:rFonts w:ascii="Calibri" w:hAnsi="Calibri"/>
                <w:sz w:val="18"/>
              </w:rPr>
              <w:t>4-D</w:t>
            </w:r>
          </w:p>
        </w:tc>
        <w:tc>
          <w:tcPr>
            <w:tcW w:type="dxa" w:w="1584"/>
          </w:tcPr>
          <w:p>
            <w:r/>
            <w:r>
              <w:rPr>
                <w:rFonts w:ascii="Calibri" w:hAnsi="Calibri"/>
                <w:sz w:val="18"/>
              </w:rPr>
              <w:t>m² s⁻²</w:t>
            </w:r>
          </w:p>
        </w:tc>
      </w:tr>
      <w:tr>
        <w:tc>
          <w:tcPr>
            <w:tcW w:type="dxa" w:w="1584"/>
          </w:tcPr>
          <w:p>
            <w:r/>
            <w:r>
              <w:rPr>
                <w:rFonts w:ascii="Cambria Math" w:hAnsi="Cambria Math"/>
                <w:sz w:val="18"/>
              </w:rPr>
              <w:t>ε(x,y,z,t)</w:t>
            </w:r>
          </w:p>
        </w:tc>
        <w:tc>
          <w:tcPr>
            <w:tcW w:type="dxa" w:w="4608"/>
          </w:tcPr>
          <w:p>
            <w:r/>
            <w:r>
              <w:rPr>
                <w:rFonts w:ascii="Calibri" w:hAnsi="Calibri"/>
                <w:sz w:val="18"/>
              </w:rPr>
              <w:t>Turbulent dissipation rate</w:t>
            </w:r>
          </w:p>
        </w:tc>
        <w:tc>
          <w:tcPr>
            <w:tcW w:type="dxa" w:w="864"/>
          </w:tcPr>
          <w:p>
            <w:r/>
            <w:r>
              <w:rPr>
                <w:rFonts w:ascii="Calibri" w:hAnsi="Calibri"/>
                <w:sz w:val="18"/>
              </w:rPr>
              <w:t>4-D</w:t>
            </w:r>
          </w:p>
        </w:tc>
        <w:tc>
          <w:tcPr>
            <w:tcW w:type="dxa" w:w="1584"/>
          </w:tcPr>
          <w:p>
            <w:r/>
            <w:r>
              <w:rPr>
                <w:rFonts w:ascii="Calibri" w:hAnsi="Calibri"/>
                <w:sz w:val="18"/>
              </w:rPr>
              <w:t>m² s⁻³</w:t>
            </w:r>
          </w:p>
        </w:tc>
      </w:tr>
      <w:tr>
        <w:tc>
          <w:tcPr>
            <w:tcW w:type="dxa" w:w="1584"/>
          </w:tcPr>
          <w:p>
            <w:r/>
            <w:r>
              <w:rPr>
                <w:rFonts w:ascii="Cambria Math" w:hAnsi="Cambria Math"/>
                <w:sz w:val="18"/>
              </w:rPr>
              <w:t>η(x,y,t)</w:t>
            </w:r>
          </w:p>
        </w:tc>
        <w:tc>
          <w:tcPr>
            <w:tcW w:type="dxa" w:w="4608"/>
          </w:tcPr>
          <w:p>
            <w:r/>
            <w:r>
              <w:rPr>
                <w:rFonts w:ascii="Calibri" w:hAnsi="Calibri"/>
                <w:sz w:val="18"/>
              </w:rPr>
              <w:t>Free-surface elevation (incl. splash zone)</w:t>
            </w:r>
          </w:p>
        </w:tc>
        <w:tc>
          <w:tcPr>
            <w:tcW w:type="dxa" w:w="864"/>
          </w:tcPr>
          <w:p>
            <w:r/>
            <w:r>
              <w:rPr>
                <w:rFonts w:ascii="Calibri" w:hAnsi="Calibri"/>
                <w:sz w:val="18"/>
              </w:rPr>
              <w:t>3-D</w:t>
            </w:r>
          </w:p>
        </w:tc>
        <w:tc>
          <w:tcPr>
            <w:tcW w:type="dxa" w:w="1584"/>
          </w:tcPr>
          <w:p>
            <w:r/>
            <w:r>
              <w:rPr>
                <w:rFonts w:ascii="Calibri" w:hAnsi="Calibri"/>
                <w:sz w:val="18"/>
              </w:rPr>
              <w:t>m</w:t>
            </w:r>
          </w:p>
        </w:tc>
      </w:tr>
      <w:tr>
        <w:tc>
          <w:tcPr>
            <w:tcW w:type="dxa" w:w="1584"/>
          </w:tcPr>
          <w:p>
            <w:r/>
            <w:r>
              <w:rPr>
                <w:rFonts w:ascii="Cambria Math" w:hAnsi="Cambria Math"/>
                <w:sz w:val="18"/>
              </w:rPr>
              <w:t>α(x,y,z,t)</w:t>
            </w:r>
          </w:p>
        </w:tc>
        <w:tc>
          <w:tcPr>
            <w:tcW w:type="dxa" w:w="4608"/>
          </w:tcPr>
          <w:p>
            <w:r/>
            <w:r>
              <w:rPr>
                <w:rFonts w:ascii="Calibri" w:hAnsi="Calibri"/>
                <w:sz w:val="18"/>
              </w:rPr>
              <w:t>Air–water volume fraction (interface)</w:t>
            </w:r>
          </w:p>
        </w:tc>
        <w:tc>
          <w:tcPr>
            <w:tcW w:type="dxa" w:w="864"/>
          </w:tcPr>
          <w:p>
            <w:r/>
            <w:r>
              <w:rPr>
                <w:rFonts w:ascii="Calibri" w:hAnsi="Calibri"/>
                <w:sz w:val="18"/>
              </w:rPr>
              <w:t>4-D</w:t>
            </w:r>
          </w:p>
        </w:tc>
        <w:tc>
          <w:tcPr>
            <w:tcW w:type="dxa" w:w="1584"/>
          </w:tcPr>
          <w:p>
            <w:r/>
            <w:r>
              <w:rPr>
                <w:rFonts w:ascii="Calibri" w:hAnsi="Calibri"/>
                <w:sz w:val="18"/>
              </w:rPr>
              <w:t>–</w:t>
            </w:r>
          </w:p>
        </w:tc>
      </w:tr>
      <w:tr>
        <w:tc>
          <w:tcPr>
            <w:tcW w:type="dxa" w:w="1584"/>
          </w:tcPr>
          <w:p>
            <w:r/>
            <w:r>
              <w:rPr>
                <w:rFonts w:ascii="Cambria Math" w:hAnsi="Cambria Math"/>
                <w:sz w:val="18"/>
              </w:rPr>
              <w:t>Π(x,y,z,t)</w:t>
            </w:r>
          </w:p>
        </w:tc>
        <w:tc>
          <w:tcPr>
            <w:tcW w:type="dxa" w:w="4608"/>
          </w:tcPr>
          <w:p>
            <w:r/>
            <w:r>
              <w:rPr>
                <w:rFonts w:ascii="Calibri" w:hAnsi="Calibri"/>
                <w:sz w:val="18"/>
              </w:rPr>
              <w:t>Osmotic-pressure field</w:t>
            </w:r>
          </w:p>
        </w:tc>
        <w:tc>
          <w:tcPr>
            <w:tcW w:type="dxa" w:w="864"/>
          </w:tcPr>
          <w:p>
            <w:r/>
            <w:r>
              <w:rPr>
                <w:rFonts w:ascii="Calibri" w:hAnsi="Calibri"/>
                <w:sz w:val="18"/>
              </w:rPr>
              <w:t>4-D</w:t>
            </w:r>
          </w:p>
        </w:tc>
        <w:tc>
          <w:tcPr>
            <w:tcW w:type="dxa" w:w="1584"/>
          </w:tcPr>
          <w:p>
            <w:r/>
            <w:r>
              <w:rPr>
                <w:rFonts w:ascii="Calibri" w:hAnsi="Calibri"/>
                <w:sz w:val="18"/>
              </w:rPr>
              <w:t>Pa</w:t>
            </w:r>
          </w:p>
        </w:tc>
      </w:tr>
    </w:tbl>
    <w:p>
      <w:pPr>
        <w:pStyle w:val="Heading1"/>
      </w:pPr>
      <w:r>
        <w:t>2. Tier 2 — Derived Secondary Fields</w:t>
      </w:r>
    </w:p>
    <w:p>
      <w:pPr>
        <w:spacing w:after="120"/>
      </w:pPr>
      <w:r>
        <w:rPr>
          <w:rFonts w:ascii="Calibri" w:hAnsi="Calibri"/>
          <w:b w:val="0"/>
          <w:i w:val="0"/>
          <w:sz w:val="22"/>
        </w:rPr>
        <w:t>Computed pointwise from Tier 1; each is also a full field that can be mapped, sliced or animated: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728"/>
            <w:shd w:val="clear" w:color="auto" w:fill="1F4E79"/>
          </w:tcPr>
          <w:p>
            <w:r/>
            <w:r>
              <w:rPr>
                <w:rFonts w:ascii="Calibri" w:hAnsi="Calibri"/>
                <w:b/>
                <w:color w:val="FFFFFF"/>
                <w:sz w:val="18"/>
              </w:rPr>
              <w:t>Output</w:t>
            </w:r>
          </w:p>
        </w:tc>
        <w:tc>
          <w:tcPr>
            <w:tcW w:type="dxa" w:w="4464"/>
            <w:shd w:val="clear" w:color="auto" w:fill="1F4E79"/>
          </w:tcPr>
          <w:p>
            <w:r/>
            <w:r>
              <w:rPr>
                <w:rFonts w:ascii="Calibri" w:hAnsi="Calibri"/>
                <w:b/>
                <w:color w:val="FFFFFF"/>
                <w:sz w:val="18"/>
              </w:rPr>
              <w:t>Description</w:t>
            </w:r>
          </w:p>
        </w:tc>
        <w:tc>
          <w:tcPr>
            <w:tcW w:type="dxa" w:w="864"/>
            <w:shd w:val="clear" w:color="auto" w:fill="1F4E79"/>
          </w:tcPr>
          <w:p>
            <w:r/>
            <w:r>
              <w:rPr>
                <w:rFonts w:ascii="Calibri" w:hAnsi="Calibri"/>
                <w:b/>
                <w:color w:val="FFFFFF"/>
                <w:sz w:val="18"/>
              </w:rPr>
              <w:t>Dim.</w:t>
            </w:r>
          </w:p>
        </w:tc>
        <w:tc>
          <w:tcPr>
            <w:tcW w:type="dxa" w:w="1584"/>
            <w:shd w:val="clear" w:color="auto" w:fill="1F4E79"/>
          </w:tcPr>
          <w:p>
            <w:r/>
            <w:r>
              <w:rPr>
                <w:rFonts w:ascii="Calibri" w:hAnsi="Calibri"/>
                <w:b/>
                <w:color w:val="FFFFFF"/>
                <w:sz w:val="18"/>
              </w:rPr>
              <w:t>Units</w:t>
            </w:r>
          </w:p>
        </w:tc>
      </w:tr>
      <w:tr>
        <w:tc>
          <w:tcPr>
            <w:tcW w:type="dxa" w:w="1728"/>
          </w:tcPr>
          <w:p>
            <w:r/>
            <w:r>
              <w:rPr>
                <w:rFonts w:ascii="Cambria Math" w:hAnsi="Cambria Math"/>
                <w:sz w:val="18"/>
              </w:rPr>
              <w:t>ΔS = S − S_amb</w:t>
            </w:r>
          </w:p>
        </w:tc>
        <w:tc>
          <w:tcPr>
            <w:tcW w:type="dxa" w:w="4464"/>
          </w:tcPr>
          <w:p>
            <w:r/>
            <w:r>
              <w:rPr>
                <w:rFonts w:ascii="Calibri" w:hAnsi="Calibri"/>
                <w:sz w:val="18"/>
              </w:rPr>
              <w:t>Excess (above-ambient) salinity — the impact field</w:t>
            </w:r>
          </w:p>
        </w:tc>
        <w:tc>
          <w:tcPr>
            <w:tcW w:type="dxa" w:w="864"/>
          </w:tcPr>
          <w:p>
            <w:r/>
            <w:r>
              <w:rPr>
                <w:rFonts w:ascii="Calibri" w:hAnsi="Calibri"/>
                <w:sz w:val="18"/>
              </w:rPr>
              <w:t>4-D</w:t>
            </w:r>
          </w:p>
        </w:tc>
        <w:tc>
          <w:tcPr>
            <w:tcW w:type="dxa" w:w="1584"/>
          </w:tcPr>
          <w:p>
            <w:r/>
            <w:r>
              <w:rPr>
                <w:rFonts w:ascii="Calibri" w:hAnsi="Calibri"/>
                <w:sz w:val="18"/>
              </w:rPr>
              <w:t>g kg⁻¹</w:t>
            </w:r>
          </w:p>
        </w:tc>
      </w:tr>
      <w:tr>
        <w:tc>
          <w:tcPr>
            <w:tcW w:type="dxa" w:w="1728"/>
          </w:tcPr>
          <w:p>
            <w:r/>
            <w:r>
              <w:rPr>
                <w:rFonts w:ascii="Cambria Math" w:hAnsi="Cambria Math"/>
                <w:sz w:val="18"/>
              </w:rPr>
              <w:t>𝒟(x,y,z,t)</w:t>
            </w:r>
          </w:p>
        </w:tc>
        <w:tc>
          <w:tcPr>
            <w:tcW w:type="dxa" w:w="4464"/>
          </w:tcPr>
          <w:p>
            <w:r/>
            <w:r>
              <w:rPr>
                <w:rFonts w:ascii="Calibri" w:hAnsi="Calibri"/>
                <w:sz w:val="18"/>
              </w:rPr>
              <w:t>Dilution field, (S₀−S_amb)/(S−S_amb)</w:t>
            </w:r>
          </w:p>
        </w:tc>
        <w:tc>
          <w:tcPr>
            <w:tcW w:type="dxa" w:w="864"/>
          </w:tcPr>
          <w:p>
            <w:r/>
            <w:r>
              <w:rPr>
                <w:rFonts w:ascii="Calibri" w:hAnsi="Calibri"/>
                <w:sz w:val="18"/>
              </w:rPr>
              <w:t>4-D</w:t>
            </w:r>
          </w:p>
        </w:tc>
        <w:tc>
          <w:tcPr>
            <w:tcW w:type="dxa" w:w="1584"/>
          </w:tcPr>
          <w:p>
            <w:r/>
            <w:r>
              <w:rPr>
                <w:rFonts w:ascii="Calibri" w:hAnsi="Calibri"/>
                <w:sz w:val="18"/>
              </w:rPr>
              <w:t>– (×)</w:t>
            </w:r>
          </w:p>
        </w:tc>
      </w:tr>
      <w:tr>
        <w:tc>
          <w:tcPr>
            <w:tcW w:type="dxa" w:w="1728"/>
          </w:tcPr>
          <w:p>
            <w:r/>
            <w:r>
              <w:rPr>
                <w:rFonts w:ascii="Cambria Math" w:hAnsi="Cambria Math"/>
                <w:sz w:val="18"/>
              </w:rPr>
              <w:t>μ_t(x,y,z,t)</w:t>
            </w:r>
          </w:p>
        </w:tc>
        <w:tc>
          <w:tcPr>
            <w:tcW w:type="dxa" w:w="4464"/>
          </w:tcPr>
          <w:p>
            <w:r/>
            <w:r>
              <w:rPr>
                <w:rFonts w:ascii="Calibri" w:hAnsi="Calibri"/>
                <w:sz w:val="18"/>
              </w:rPr>
              <w:t>Turbulent eddy viscosity / diffusivity</w:t>
            </w:r>
          </w:p>
        </w:tc>
        <w:tc>
          <w:tcPr>
            <w:tcW w:type="dxa" w:w="864"/>
          </w:tcPr>
          <w:p>
            <w:r/>
            <w:r>
              <w:rPr>
                <w:rFonts w:ascii="Calibri" w:hAnsi="Calibri"/>
                <w:sz w:val="18"/>
              </w:rPr>
              <w:t>4-D</w:t>
            </w:r>
          </w:p>
        </w:tc>
        <w:tc>
          <w:tcPr>
            <w:tcW w:type="dxa" w:w="1584"/>
          </w:tcPr>
          <w:p>
            <w:r/>
            <w:r>
              <w:rPr>
                <w:rFonts w:ascii="Calibri" w:hAnsi="Calibri"/>
                <w:sz w:val="18"/>
              </w:rPr>
              <w:t>m² s⁻¹</w:t>
            </w:r>
          </w:p>
        </w:tc>
      </w:tr>
      <w:tr>
        <w:tc>
          <w:tcPr>
            <w:tcW w:type="dxa" w:w="1728"/>
          </w:tcPr>
          <w:p>
            <w:r/>
            <w:r>
              <w:rPr>
                <w:rFonts w:ascii="Cambria Math" w:hAnsi="Cambria Math"/>
                <w:sz w:val="18"/>
              </w:rPr>
              <w:t>|u|, speed</w:t>
            </w:r>
          </w:p>
        </w:tc>
        <w:tc>
          <w:tcPr>
            <w:tcW w:type="dxa" w:w="4464"/>
          </w:tcPr>
          <w:p>
            <w:r/>
            <w:r>
              <w:rPr>
                <w:rFonts w:ascii="Calibri" w:hAnsi="Calibri"/>
                <w:sz w:val="18"/>
              </w:rPr>
              <w:t>Current speed magnitude</w:t>
            </w:r>
          </w:p>
        </w:tc>
        <w:tc>
          <w:tcPr>
            <w:tcW w:type="dxa" w:w="864"/>
          </w:tcPr>
          <w:p>
            <w:r/>
            <w:r>
              <w:rPr>
                <w:rFonts w:ascii="Calibri" w:hAnsi="Calibri"/>
                <w:sz w:val="18"/>
              </w:rPr>
              <w:t>4-D</w:t>
            </w:r>
          </w:p>
        </w:tc>
        <w:tc>
          <w:tcPr>
            <w:tcW w:type="dxa" w:w="1584"/>
          </w:tcPr>
          <w:p>
            <w:r/>
            <w:r>
              <w:rPr>
                <w:rFonts w:ascii="Calibri" w:hAnsi="Calibri"/>
                <w:sz w:val="18"/>
              </w:rPr>
              <w:t>m s⁻¹</w:t>
            </w:r>
          </w:p>
        </w:tc>
      </w:tr>
      <w:tr>
        <w:tc>
          <w:tcPr>
            <w:tcW w:type="dxa" w:w="1728"/>
          </w:tcPr>
          <w:p>
            <w:r/>
            <w:r>
              <w:rPr>
                <w:rFonts w:ascii="Cambria Math" w:hAnsi="Cambria Math"/>
                <w:sz w:val="18"/>
              </w:rPr>
              <w:t>ω = ∇×u</w:t>
            </w:r>
          </w:p>
        </w:tc>
        <w:tc>
          <w:tcPr>
            <w:tcW w:type="dxa" w:w="4464"/>
          </w:tcPr>
          <w:p>
            <w:r/>
            <w:r>
              <w:rPr>
                <w:rFonts w:ascii="Calibri" w:hAnsi="Calibri"/>
                <w:sz w:val="18"/>
              </w:rPr>
              <w:t>Vorticity field (vortices, eddies)</w:t>
            </w:r>
          </w:p>
        </w:tc>
        <w:tc>
          <w:tcPr>
            <w:tcW w:type="dxa" w:w="864"/>
          </w:tcPr>
          <w:p>
            <w:r/>
            <w:r>
              <w:rPr>
                <w:rFonts w:ascii="Calibri" w:hAnsi="Calibri"/>
                <w:sz w:val="18"/>
              </w:rPr>
              <w:t>4-D</w:t>
            </w:r>
          </w:p>
        </w:tc>
        <w:tc>
          <w:tcPr>
            <w:tcW w:type="dxa" w:w="1584"/>
          </w:tcPr>
          <w:p>
            <w:r/>
            <w:r>
              <w:rPr>
                <w:rFonts w:ascii="Calibri" w:hAnsi="Calibri"/>
                <w:sz w:val="18"/>
              </w:rPr>
              <w:t>s⁻¹</w:t>
            </w:r>
          </w:p>
        </w:tc>
      </w:tr>
      <w:tr>
        <w:tc>
          <w:tcPr>
            <w:tcW w:type="dxa" w:w="1728"/>
          </w:tcPr>
          <w:p>
            <w:r/>
            <w:r>
              <w:rPr>
                <w:rFonts w:ascii="Cambria Math" w:hAnsi="Cambria Math"/>
                <w:sz w:val="18"/>
              </w:rPr>
              <w:t>Ri(x,y,z,t)</w:t>
            </w:r>
          </w:p>
        </w:tc>
        <w:tc>
          <w:tcPr>
            <w:tcW w:type="dxa" w:w="4464"/>
          </w:tcPr>
          <w:p>
            <w:r/>
            <w:r>
              <w:rPr>
                <w:rFonts w:ascii="Calibri" w:hAnsi="Calibri"/>
                <w:sz w:val="18"/>
              </w:rPr>
              <w:t>Gradient Richardson number (mixing state)</w:t>
            </w:r>
          </w:p>
        </w:tc>
        <w:tc>
          <w:tcPr>
            <w:tcW w:type="dxa" w:w="864"/>
          </w:tcPr>
          <w:p>
            <w:r/>
            <w:r>
              <w:rPr>
                <w:rFonts w:ascii="Calibri" w:hAnsi="Calibri"/>
                <w:sz w:val="18"/>
              </w:rPr>
              <w:t>4-D</w:t>
            </w:r>
          </w:p>
        </w:tc>
        <w:tc>
          <w:tcPr>
            <w:tcW w:type="dxa" w:w="1584"/>
          </w:tcPr>
          <w:p>
            <w:r/>
            <w:r>
              <w:rPr>
                <w:rFonts w:ascii="Calibri" w:hAnsi="Calibri"/>
                <w:sz w:val="18"/>
              </w:rPr>
              <w:t>–</w:t>
            </w:r>
          </w:p>
        </w:tc>
      </w:tr>
      <w:tr>
        <w:tc>
          <w:tcPr>
            <w:tcW w:type="dxa" w:w="1728"/>
          </w:tcPr>
          <w:p>
            <w:r/>
            <w:r>
              <w:rPr>
                <w:rFonts w:ascii="Cambria Math" w:hAnsi="Cambria Math"/>
                <w:sz w:val="18"/>
              </w:rPr>
              <w:t>N²(x,y,z,t)</w:t>
            </w:r>
          </w:p>
        </w:tc>
        <w:tc>
          <w:tcPr>
            <w:tcW w:type="dxa" w:w="4464"/>
          </w:tcPr>
          <w:p>
            <w:r/>
            <w:r>
              <w:rPr>
                <w:rFonts w:ascii="Calibri" w:hAnsi="Calibri"/>
                <w:sz w:val="18"/>
              </w:rPr>
              <w:t>Brunt–Väisälä stratification frequency</w:t>
            </w:r>
          </w:p>
        </w:tc>
        <w:tc>
          <w:tcPr>
            <w:tcW w:type="dxa" w:w="864"/>
          </w:tcPr>
          <w:p>
            <w:r/>
            <w:r>
              <w:rPr>
                <w:rFonts w:ascii="Calibri" w:hAnsi="Calibri"/>
                <w:sz w:val="18"/>
              </w:rPr>
              <w:t>4-D</w:t>
            </w:r>
          </w:p>
        </w:tc>
        <w:tc>
          <w:tcPr>
            <w:tcW w:type="dxa" w:w="1584"/>
          </w:tcPr>
          <w:p>
            <w:r/>
            <w:r>
              <w:rPr>
                <w:rFonts w:ascii="Calibri" w:hAnsi="Calibri"/>
                <w:sz w:val="18"/>
              </w:rPr>
              <w:t>s⁻²</w:t>
            </w:r>
          </w:p>
        </w:tc>
      </w:tr>
      <w:tr>
        <w:tc>
          <w:tcPr>
            <w:tcW w:type="dxa" w:w="1728"/>
          </w:tcPr>
          <w:p>
            <w:r/>
            <w:r>
              <w:rPr>
                <w:rFonts w:ascii="Cambria Math" w:hAnsi="Cambria Math"/>
                <w:sz w:val="18"/>
              </w:rPr>
              <w:t>Fr_d local</w:t>
            </w:r>
          </w:p>
        </w:tc>
        <w:tc>
          <w:tcPr>
            <w:tcW w:type="dxa" w:w="4464"/>
          </w:tcPr>
          <w:p>
            <w:r/>
            <w:r>
              <w:rPr>
                <w:rFonts w:ascii="Calibri" w:hAnsi="Calibri"/>
                <w:sz w:val="18"/>
              </w:rPr>
              <w:t>Local densimetric Froude number</w:t>
            </w:r>
          </w:p>
        </w:tc>
        <w:tc>
          <w:tcPr>
            <w:tcW w:type="dxa" w:w="864"/>
          </w:tcPr>
          <w:p>
            <w:r/>
            <w:r>
              <w:rPr>
                <w:rFonts w:ascii="Calibri" w:hAnsi="Calibri"/>
                <w:sz w:val="18"/>
              </w:rPr>
              <w:t>4-D</w:t>
            </w:r>
          </w:p>
        </w:tc>
        <w:tc>
          <w:tcPr>
            <w:tcW w:type="dxa" w:w="1584"/>
          </w:tcPr>
          <w:p>
            <w:r/>
            <w:r>
              <w:rPr>
                <w:rFonts w:ascii="Calibri" w:hAnsi="Calibri"/>
                <w:sz w:val="18"/>
              </w:rPr>
              <w:t>–</w:t>
            </w:r>
          </w:p>
        </w:tc>
      </w:tr>
      <w:tr>
        <w:tc>
          <w:tcPr>
            <w:tcW w:type="dxa" w:w="1728"/>
          </w:tcPr>
          <w:p>
            <w:r/>
            <w:r>
              <w:rPr>
                <w:rFonts w:ascii="Cambria Math" w:hAnsi="Cambria Math"/>
                <w:sz w:val="18"/>
              </w:rPr>
              <w:t>b = g(ρ−ρ_a)/ρ_a</w:t>
            </w:r>
          </w:p>
        </w:tc>
        <w:tc>
          <w:tcPr>
            <w:tcW w:type="dxa" w:w="4464"/>
          </w:tcPr>
          <w:p>
            <w:r/>
            <w:r>
              <w:rPr>
                <w:rFonts w:ascii="Calibri" w:hAnsi="Calibri"/>
                <w:sz w:val="18"/>
              </w:rPr>
              <w:t>Buoyancy field of the plume</w:t>
            </w:r>
          </w:p>
        </w:tc>
        <w:tc>
          <w:tcPr>
            <w:tcW w:type="dxa" w:w="864"/>
          </w:tcPr>
          <w:p>
            <w:r/>
            <w:r>
              <w:rPr>
                <w:rFonts w:ascii="Calibri" w:hAnsi="Calibri"/>
                <w:sz w:val="18"/>
              </w:rPr>
              <w:t>4-D</w:t>
            </w:r>
          </w:p>
        </w:tc>
        <w:tc>
          <w:tcPr>
            <w:tcW w:type="dxa" w:w="1584"/>
          </w:tcPr>
          <w:p>
            <w:r/>
            <w:r>
              <w:rPr>
                <w:rFonts w:ascii="Calibri" w:hAnsi="Calibri"/>
                <w:sz w:val="18"/>
              </w:rPr>
              <w:t>m s⁻²</w:t>
            </w:r>
          </w:p>
        </w:tc>
      </w:tr>
      <w:tr>
        <w:tc>
          <w:tcPr>
            <w:tcW w:type="dxa" w:w="1728"/>
          </w:tcPr>
          <w:p>
            <w:r/>
            <w:r>
              <w:rPr>
                <w:rFonts w:ascii="Cambria Math" w:hAnsi="Cambria Math"/>
                <w:sz w:val="18"/>
              </w:rPr>
              <w:t>∇S, |∇S|</w:t>
            </w:r>
          </w:p>
        </w:tc>
        <w:tc>
          <w:tcPr>
            <w:tcW w:type="dxa" w:w="4464"/>
          </w:tcPr>
          <w:p>
            <w:r/>
            <w:r>
              <w:rPr>
                <w:rFonts w:ascii="Calibri" w:hAnsi="Calibri"/>
                <w:sz w:val="18"/>
              </w:rPr>
              <w:t>Salinity gradient &amp; front sharpness</w:t>
            </w:r>
          </w:p>
        </w:tc>
        <w:tc>
          <w:tcPr>
            <w:tcW w:type="dxa" w:w="864"/>
          </w:tcPr>
          <w:p>
            <w:r/>
            <w:r>
              <w:rPr>
                <w:rFonts w:ascii="Calibri" w:hAnsi="Calibri"/>
                <w:sz w:val="18"/>
              </w:rPr>
              <w:t>4-D</w:t>
            </w:r>
          </w:p>
        </w:tc>
        <w:tc>
          <w:tcPr>
            <w:tcW w:type="dxa" w:w="1584"/>
          </w:tcPr>
          <w:p>
            <w:r/>
            <w:r>
              <w:rPr>
                <w:rFonts w:ascii="Calibri" w:hAnsi="Calibri"/>
                <w:sz w:val="18"/>
              </w:rPr>
              <w:t>g kg⁻¹ m⁻¹</w:t>
            </w:r>
          </w:p>
        </w:tc>
      </w:tr>
      <w:tr>
        <w:tc>
          <w:tcPr>
            <w:tcW w:type="dxa" w:w="1728"/>
          </w:tcPr>
          <w:p>
            <w:r/>
            <w:r>
              <w:rPr>
                <w:rFonts w:ascii="Cambria Math" w:hAnsi="Cambria Math"/>
                <w:sz w:val="18"/>
              </w:rPr>
              <w:t>E_rate</w:t>
            </w:r>
          </w:p>
        </w:tc>
        <w:tc>
          <w:tcPr>
            <w:tcW w:type="dxa" w:w="4464"/>
          </w:tcPr>
          <w:p>
            <w:r/>
            <w:r>
              <w:rPr>
                <w:rFonts w:ascii="Calibri" w:hAnsi="Calibri"/>
                <w:sz w:val="18"/>
              </w:rPr>
              <w:t>Local entrainment / mixing rate</w:t>
            </w:r>
          </w:p>
        </w:tc>
        <w:tc>
          <w:tcPr>
            <w:tcW w:type="dxa" w:w="864"/>
          </w:tcPr>
          <w:p>
            <w:r/>
            <w:r>
              <w:rPr>
                <w:rFonts w:ascii="Calibri" w:hAnsi="Calibri"/>
                <w:sz w:val="18"/>
              </w:rPr>
              <w:t>4-D</w:t>
            </w:r>
          </w:p>
        </w:tc>
        <w:tc>
          <w:tcPr>
            <w:tcW w:type="dxa" w:w="1584"/>
          </w:tcPr>
          <w:p>
            <w:r/>
            <w:r>
              <w:rPr>
                <w:rFonts w:ascii="Calibri" w:hAnsi="Calibri"/>
                <w:sz w:val="18"/>
              </w:rPr>
              <w:t>s⁻¹</w:t>
            </w:r>
          </w:p>
        </w:tc>
      </w:tr>
      <w:tr>
        <w:tc>
          <w:tcPr>
            <w:tcW w:type="dxa" w:w="1728"/>
          </w:tcPr>
          <w:p>
            <w:r/>
            <w:r>
              <w:rPr>
                <w:rFonts w:ascii="Cambria Math" w:hAnsi="Cambria Math"/>
                <w:sz w:val="18"/>
              </w:rPr>
              <w:t>τ_res</w:t>
            </w:r>
          </w:p>
        </w:tc>
        <w:tc>
          <w:tcPr>
            <w:tcW w:type="dxa" w:w="4464"/>
          </w:tcPr>
          <w:p>
            <w:r/>
            <w:r>
              <w:rPr>
                <w:rFonts w:ascii="Calibri" w:hAnsi="Calibri"/>
                <w:sz w:val="18"/>
              </w:rPr>
              <w:t>Residence / flushing time field</w:t>
            </w:r>
          </w:p>
        </w:tc>
        <w:tc>
          <w:tcPr>
            <w:tcW w:type="dxa" w:w="864"/>
          </w:tcPr>
          <w:p>
            <w:r/>
            <w:r>
              <w:rPr>
                <w:rFonts w:ascii="Calibri" w:hAnsi="Calibri"/>
                <w:sz w:val="18"/>
              </w:rPr>
              <w:t>3-D</w:t>
            </w:r>
          </w:p>
        </w:tc>
        <w:tc>
          <w:tcPr>
            <w:tcW w:type="dxa" w:w="1584"/>
          </w:tcPr>
          <w:p>
            <w:r/>
            <w:r>
              <w:rPr>
                <w:rFonts w:ascii="Calibri" w:hAnsi="Calibri"/>
                <w:sz w:val="18"/>
              </w:rPr>
              <w:t>s</w:t>
            </w:r>
          </w:p>
        </w:tc>
      </w:tr>
    </w:tbl>
    <w:p>
      <w:pPr>
        <w:pStyle w:val="Heading1"/>
      </w:pPr>
      <w:r>
        <w:t>3. Tier 3 — Scalar Engineering Metrics (the headline numbers)</w:t>
      </w:r>
    </w:p>
    <w:p>
      <w:pPr>
        <w:spacing w:after="120"/>
      </w:pPr>
      <w:r>
        <w:rPr>
          <w:rFonts w:ascii="Calibri" w:hAnsi="Calibri"/>
          <w:b w:val="0"/>
          <w:i w:val="0"/>
          <w:sz w:val="22"/>
        </w:rPr>
        <w:t>Single-number diagnostics, each reported as an instantaneous value, a tidal-cycle envelope, and a probabilistic value with confidence bounds (see Tier 7). These directly answer 'how salty, how far, how deep'.</w:t>
      </w:r>
    </w:p>
    <w:p>
      <w:pPr>
        <w:pStyle w:val="Heading2"/>
      </w:pPr>
      <w:r>
        <w:t>3.1 Dilution &amp; concentration metrics</w:t>
      </w:r>
    </w:p>
    <w:tbl>
      <w:tblPr>
        <w:tblStyle w:val="LightGrid-Accent1"/>
        <w:tblW w:type="auto" w:w="0"/>
        <w:jc w:val="center"/>
        <w:tblLook w:firstColumn="1" w:firstRow="1" w:lastColumn="0" w:lastRow="0" w:noHBand="0" w:noVBand="1" w:val="04A0"/>
      </w:tblPr>
      <w:tblGrid>
        <w:gridCol w:w="2880"/>
        <w:gridCol w:w="2880"/>
        <w:gridCol w:w="2880"/>
      </w:tblGrid>
      <w:tr>
        <w:tc>
          <w:tcPr>
            <w:tcW w:type="dxa" w:w="1440"/>
            <w:shd w:val="clear" w:color="auto" w:fill="1F4E79"/>
          </w:tcPr>
          <w:p>
            <w:r/>
            <w:r>
              <w:rPr>
                <w:rFonts w:ascii="Calibri" w:hAnsi="Calibri"/>
                <w:b/>
                <w:color w:val="FFFFFF"/>
                <w:sz w:val="18"/>
              </w:rPr>
              <w:t>Metric</w:t>
            </w:r>
          </w:p>
        </w:tc>
        <w:tc>
          <w:tcPr>
            <w:tcW w:type="dxa" w:w="5184"/>
            <w:shd w:val="clear" w:color="auto" w:fill="1F4E79"/>
          </w:tcPr>
          <w:p>
            <w:r/>
            <w:r>
              <w:rPr>
                <w:rFonts w:ascii="Calibri" w:hAnsi="Calibri"/>
                <w:b/>
                <w:color w:val="FFFFFF"/>
                <w:sz w:val="18"/>
              </w:rPr>
              <w:t>Description</w:t>
            </w:r>
          </w:p>
        </w:tc>
        <w:tc>
          <w:tcPr>
            <w:tcW w:type="dxa" w:w="1584"/>
            <w:shd w:val="clear" w:color="auto" w:fill="1F4E79"/>
          </w:tcPr>
          <w:p>
            <w:r/>
            <w:r>
              <w:rPr>
                <w:rFonts w:ascii="Calibri" w:hAnsi="Calibri"/>
                <w:b/>
                <w:color w:val="FFFFFF"/>
                <w:sz w:val="18"/>
              </w:rPr>
              <w:t>Units</w:t>
            </w:r>
          </w:p>
        </w:tc>
      </w:tr>
      <w:tr>
        <w:tc>
          <w:tcPr>
            <w:tcW w:type="dxa" w:w="1440"/>
          </w:tcPr>
          <w:p>
            <w:r/>
            <w:r>
              <w:rPr>
                <w:rFonts w:ascii="Cambria Math" w:hAnsi="Cambria Math"/>
                <w:sz w:val="18"/>
              </w:rPr>
              <w:t>S_max</w:t>
            </w:r>
          </w:p>
        </w:tc>
        <w:tc>
          <w:tcPr>
            <w:tcW w:type="dxa" w:w="5184"/>
          </w:tcPr>
          <w:p>
            <w:r/>
            <w:r>
              <w:rPr>
                <w:rFonts w:ascii="Calibri" w:hAnsi="Calibri"/>
                <w:sz w:val="18"/>
              </w:rPr>
              <w:t>Peak salinity anywhere in the field</w:t>
            </w:r>
          </w:p>
        </w:tc>
        <w:tc>
          <w:tcPr>
            <w:tcW w:type="dxa" w:w="1584"/>
          </w:tcPr>
          <w:p>
            <w:r/>
            <w:r>
              <w:rPr>
                <w:rFonts w:ascii="Calibri" w:hAnsi="Calibri"/>
                <w:sz w:val="18"/>
              </w:rPr>
              <w:t>g kg⁻¹</w:t>
            </w:r>
          </w:p>
        </w:tc>
      </w:tr>
      <w:tr>
        <w:tc>
          <w:tcPr>
            <w:tcW w:type="dxa" w:w="1440"/>
          </w:tcPr>
          <w:p>
            <w:r/>
            <w:r>
              <w:rPr>
                <w:rFonts w:ascii="Cambria Math" w:hAnsi="Cambria Math"/>
                <w:sz w:val="18"/>
              </w:rPr>
              <w:t>𝒟_min</w:t>
            </w:r>
          </w:p>
        </w:tc>
        <w:tc>
          <w:tcPr>
            <w:tcW w:type="dxa" w:w="5184"/>
          </w:tcPr>
          <w:p>
            <w:r/>
            <w:r>
              <w:rPr>
                <w:rFonts w:ascii="Calibri" w:hAnsi="Calibri"/>
                <w:sz w:val="18"/>
              </w:rPr>
              <w:t>Minimum (worst-case) dilution</w:t>
            </w:r>
          </w:p>
        </w:tc>
        <w:tc>
          <w:tcPr>
            <w:tcW w:type="dxa" w:w="1584"/>
          </w:tcPr>
          <w:p>
            <w:r/>
            <w:r>
              <w:rPr>
                <w:rFonts w:ascii="Calibri" w:hAnsi="Calibri"/>
                <w:sz w:val="18"/>
              </w:rPr>
              <w:t>– (×)</w:t>
            </w:r>
          </w:p>
        </w:tc>
      </w:tr>
      <w:tr>
        <w:tc>
          <w:tcPr>
            <w:tcW w:type="dxa" w:w="1440"/>
          </w:tcPr>
          <w:p>
            <w:r/>
            <w:r>
              <w:rPr>
                <w:rFonts w:ascii="Cambria Math" w:hAnsi="Cambria Math"/>
                <w:sz w:val="18"/>
              </w:rPr>
              <w:t>𝒟_centerline</w:t>
            </w:r>
          </w:p>
        </w:tc>
        <w:tc>
          <w:tcPr>
            <w:tcW w:type="dxa" w:w="5184"/>
          </w:tcPr>
          <w:p>
            <w:r/>
            <w:r>
              <w:rPr>
                <w:rFonts w:ascii="Calibri" w:hAnsi="Calibri"/>
                <w:sz w:val="18"/>
              </w:rPr>
              <w:t>Centerline dilution along the jet</w:t>
            </w:r>
          </w:p>
        </w:tc>
        <w:tc>
          <w:tcPr>
            <w:tcW w:type="dxa" w:w="1584"/>
          </w:tcPr>
          <w:p>
            <w:r/>
            <w:r>
              <w:rPr>
                <w:rFonts w:ascii="Calibri" w:hAnsi="Calibri"/>
                <w:sz w:val="18"/>
              </w:rPr>
              <w:t>– (×)</w:t>
            </w:r>
          </w:p>
        </w:tc>
      </w:tr>
      <w:tr>
        <w:tc>
          <w:tcPr>
            <w:tcW w:type="dxa" w:w="1440"/>
          </w:tcPr>
          <w:p>
            <w:r/>
            <w:r>
              <w:rPr>
                <w:rFonts w:ascii="Cambria Math" w:hAnsi="Cambria Math"/>
                <w:sz w:val="18"/>
              </w:rPr>
              <w:t>𝒟_impact</w:t>
            </w:r>
          </w:p>
        </w:tc>
        <w:tc>
          <w:tcPr>
            <w:tcW w:type="dxa" w:w="5184"/>
          </w:tcPr>
          <w:p>
            <w:r/>
            <w:r>
              <w:rPr>
                <w:rFonts w:ascii="Calibri" w:hAnsi="Calibri"/>
                <w:sz w:val="18"/>
              </w:rPr>
              <w:t>Dilution at seabed return / impact point</w:t>
            </w:r>
          </w:p>
        </w:tc>
        <w:tc>
          <w:tcPr>
            <w:tcW w:type="dxa" w:w="1584"/>
          </w:tcPr>
          <w:p>
            <w:r/>
            <w:r>
              <w:rPr>
                <w:rFonts w:ascii="Calibri" w:hAnsi="Calibri"/>
                <w:sz w:val="18"/>
              </w:rPr>
              <w:t>– (×)</w:t>
            </w:r>
          </w:p>
        </w:tc>
      </w:tr>
      <w:tr>
        <w:tc>
          <w:tcPr>
            <w:tcW w:type="dxa" w:w="1440"/>
          </w:tcPr>
          <w:p>
            <w:r/>
            <w:r>
              <w:rPr>
                <w:rFonts w:ascii="Cambria Math" w:hAnsi="Cambria Math"/>
                <w:sz w:val="18"/>
              </w:rPr>
              <w:t>𝒟_nf, 𝒟_ff</w:t>
            </w:r>
          </w:p>
        </w:tc>
        <w:tc>
          <w:tcPr>
            <w:tcW w:type="dxa" w:w="5184"/>
          </w:tcPr>
          <w:p>
            <w:r/>
            <w:r>
              <w:rPr>
                <w:rFonts w:ascii="Calibri" w:hAnsi="Calibri"/>
                <w:sz w:val="18"/>
              </w:rPr>
              <w:t>Near-field and far-field dilution</w:t>
            </w:r>
          </w:p>
        </w:tc>
        <w:tc>
          <w:tcPr>
            <w:tcW w:type="dxa" w:w="1584"/>
          </w:tcPr>
          <w:p>
            <w:r/>
            <w:r>
              <w:rPr>
                <w:rFonts w:ascii="Calibri" w:hAnsi="Calibri"/>
                <w:sz w:val="18"/>
              </w:rPr>
              <w:t>– (×)</w:t>
            </w:r>
          </w:p>
        </w:tc>
      </w:tr>
      <w:tr>
        <w:tc>
          <w:tcPr>
            <w:tcW w:type="dxa" w:w="1440"/>
          </w:tcPr>
          <w:p>
            <w:r/>
            <w:r>
              <w:rPr>
                <w:rFonts w:ascii="Cambria Math" w:hAnsi="Cambria Math"/>
                <w:sz w:val="18"/>
              </w:rPr>
              <w:t>ΔS_max</w:t>
            </w:r>
          </w:p>
        </w:tc>
        <w:tc>
          <w:tcPr>
            <w:tcW w:type="dxa" w:w="5184"/>
          </w:tcPr>
          <w:p>
            <w:r/>
            <w:r>
              <w:rPr>
                <w:rFonts w:ascii="Calibri" w:hAnsi="Calibri"/>
                <w:sz w:val="18"/>
              </w:rPr>
              <w:t>Maximum excess salinity above ambient</w:t>
            </w:r>
          </w:p>
        </w:tc>
        <w:tc>
          <w:tcPr>
            <w:tcW w:type="dxa" w:w="1584"/>
          </w:tcPr>
          <w:p>
            <w:r/>
            <w:r>
              <w:rPr>
                <w:rFonts w:ascii="Calibri" w:hAnsi="Calibri"/>
                <w:sz w:val="18"/>
              </w:rPr>
              <w:t>g kg⁻¹</w:t>
            </w:r>
          </w:p>
        </w:tc>
      </w:tr>
      <w:tr>
        <w:tc>
          <w:tcPr>
            <w:tcW w:type="dxa" w:w="1440"/>
          </w:tcPr>
          <w:p>
            <w:r/>
            <w:r>
              <w:rPr>
                <w:rFonts w:ascii="Cambria Math" w:hAnsi="Cambria Math"/>
                <w:sz w:val="18"/>
              </w:rPr>
              <w:t>ΔS_seabed</w:t>
            </w:r>
          </w:p>
        </w:tc>
        <w:tc>
          <w:tcPr>
            <w:tcW w:type="dxa" w:w="5184"/>
          </w:tcPr>
          <w:p>
            <w:r/>
            <w:r>
              <w:rPr>
                <w:rFonts w:ascii="Calibri" w:hAnsi="Calibri"/>
                <w:sz w:val="18"/>
              </w:rPr>
              <w:t>Excess salinity at the seabed</w:t>
            </w:r>
          </w:p>
        </w:tc>
        <w:tc>
          <w:tcPr>
            <w:tcW w:type="dxa" w:w="1584"/>
          </w:tcPr>
          <w:p>
            <w:r/>
            <w:r>
              <w:rPr>
                <w:rFonts w:ascii="Calibri" w:hAnsi="Calibri"/>
                <w:sz w:val="18"/>
              </w:rPr>
              <w:t>g kg⁻¹</w:t>
            </w:r>
          </w:p>
        </w:tc>
      </w:tr>
    </w:tbl>
    <w:p>
      <w:pPr>
        <w:pStyle w:val="Heading2"/>
      </w:pPr>
      <w:r>
        <w:t>3.2 Geometric reach metrics (how far &amp; how deep)</w:t>
      </w:r>
    </w:p>
    <w:tbl>
      <w:tblPr>
        <w:tblStyle w:val="LightGrid-Accent1"/>
        <w:tblW w:type="auto" w:w="0"/>
        <w:jc w:val="center"/>
        <w:tblLook w:firstColumn="1" w:firstRow="1" w:lastColumn="0" w:lastRow="0" w:noHBand="0" w:noVBand="1" w:val="04A0"/>
      </w:tblPr>
      <w:tblGrid>
        <w:gridCol w:w="2880"/>
        <w:gridCol w:w="2880"/>
        <w:gridCol w:w="2880"/>
      </w:tblGrid>
      <w:tr>
        <w:tc>
          <w:tcPr>
            <w:tcW w:type="dxa" w:w="1440"/>
            <w:shd w:val="clear" w:color="auto" w:fill="1F4E79"/>
          </w:tcPr>
          <w:p>
            <w:r/>
            <w:r>
              <w:rPr>
                <w:rFonts w:ascii="Calibri" w:hAnsi="Calibri"/>
                <w:b/>
                <w:color w:val="FFFFFF"/>
                <w:sz w:val="18"/>
              </w:rPr>
              <w:t>Metric</w:t>
            </w:r>
          </w:p>
        </w:tc>
        <w:tc>
          <w:tcPr>
            <w:tcW w:type="dxa" w:w="5184"/>
            <w:shd w:val="clear" w:color="auto" w:fill="1F4E79"/>
          </w:tcPr>
          <w:p>
            <w:r/>
            <w:r>
              <w:rPr>
                <w:rFonts w:ascii="Calibri" w:hAnsi="Calibri"/>
                <w:b/>
                <w:color w:val="FFFFFF"/>
                <w:sz w:val="18"/>
              </w:rPr>
              <w:t>Description</w:t>
            </w:r>
          </w:p>
        </w:tc>
        <w:tc>
          <w:tcPr>
            <w:tcW w:type="dxa" w:w="1584"/>
            <w:shd w:val="clear" w:color="auto" w:fill="1F4E79"/>
          </w:tcPr>
          <w:p>
            <w:r/>
            <w:r>
              <w:rPr>
                <w:rFonts w:ascii="Calibri" w:hAnsi="Calibri"/>
                <w:b/>
                <w:color w:val="FFFFFF"/>
                <w:sz w:val="18"/>
              </w:rPr>
              <w:t>Units</w:t>
            </w:r>
          </w:p>
        </w:tc>
      </w:tr>
      <w:tr>
        <w:tc>
          <w:tcPr>
            <w:tcW w:type="dxa" w:w="1440"/>
          </w:tcPr>
          <w:p>
            <w:r/>
            <w:r>
              <w:rPr>
                <w:rFonts w:ascii="Cambria Math" w:hAnsi="Cambria Math"/>
                <w:sz w:val="18"/>
              </w:rPr>
              <w:t>r_max</w:t>
            </w:r>
          </w:p>
        </w:tc>
        <w:tc>
          <w:tcPr>
            <w:tcW w:type="dxa" w:w="5184"/>
          </w:tcPr>
          <w:p>
            <w:r/>
            <w:r>
              <w:rPr>
                <w:rFonts w:ascii="Calibri" w:hAnsi="Calibri"/>
                <w:sz w:val="18"/>
              </w:rPr>
              <w:t>Maximum horizontal reach of the ΔS_crit footprint</w:t>
            </w:r>
          </w:p>
        </w:tc>
        <w:tc>
          <w:tcPr>
            <w:tcW w:type="dxa" w:w="1584"/>
          </w:tcPr>
          <w:p>
            <w:r/>
            <w:r>
              <w:rPr>
                <w:rFonts w:ascii="Calibri" w:hAnsi="Calibri"/>
                <w:sz w:val="18"/>
              </w:rPr>
              <w:t>m</w:t>
            </w:r>
          </w:p>
        </w:tc>
      </w:tr>
      <w:tr>
        <w:tc>
          <w:tcPr>
            <w:tcW w:type="dxa" w:w="1440"/>
          </w:tcPr>
          <w:p>
            <w:r/>
            <w:r>
              <w:rPr>
                <w:rFonts w:ascii="Cambria Math" w:hAnsi="Cambria Math"/>
                <w:sz w:val="18"/>
              </w:rPr>
              <w:t>z_max</w:t>
            </w:r>
          </w:p>
        </w:tc>
        <w:tc>
          <w:tcPr>
            <w:tcW w:type="dxa" w:w="5184"/>
          </w:tcPr>
          <w:p>
            <w:r/>
            <w:r>
              <w:rPr>
                <w:rFonts w:ascii="Calibri" w:hAnsi="Calibri"/>
                <w:sz w:val="18"/>
              </w:rPr>
              <w:t>Maximum depth of brine impact</w:t>
            </w:r>
          </w:p>
        </w:tc>
        <w:tc>
          <w:tcPr>
            <w:tcW w:type="dxa" w:w="1584"/>
          </w:tcPr>
          <w:p>
            <w:r/>
            <w:r>
              <w:rPr>
                <w:rFonts w:ascii="Calibri" w:hAnsi="Calibri"/>
                <w:sz w:val="18"/>
              </w:rPr>
              <w:t>m</w:t>
            </w:r>
          </w:p>
        </w:tc>
      </w:tr>
      <w:tr>
        <w:tc>
          <w:tcPr>
            <w:tcW w:type="dxa" w:w="1440"/>
          </w:tcPr>
          <w:p>
            <w:r/>
            <w:r>
              <w:rPr>
                <w:rFonts w:ascii="Cambria Math" w:hAnsi="Cambria Math"/>
                <w:sz w:val="18"/>
              </w:rPr>
              <w:t>z_rise</w:t>
            </w:r>
          </w:p>
        </w:tc>
        <w:tc>
          <w:tcPr>
            <w:tcW w:type="dxa" w:w="5184"/>
          </w:tcPr>
          <w:p>
            <w:r/>
            <w:r>
              <w:rPr>
                <w:rFonts w:ascii="Calibri" w:hAnsi="Calibri"/>
                <w:sz w:val="18"/>
              </w:rPr>
              <w:t>Terminal rise height of the dense jet</w:t>
            </w:r>
          </w:p>
        </w:tc>
        <w:tc>
          <w:tcPr>
            <w:tcW w:type="dxa" w:w="1584"/>
          </w:tcPr>
          <w:p>
            <w:r/>
            <w:r>
              <w:rPr>
                <w:rFonts w:ascii="Calibri" w:hAnsi="Calibri"/>
                <w:sz w:val="18"/>
              </w:rPr>
              <w:t>m</w:t>
            </w:r>
          </w:p>
        </w:tc>
      </w:tr>
      <w:tr>
        <w:tc>
          <w:tcPr>
            <w:tcW w:type="dxa" w:w="1440"/>
          </w:tcPr>
          <w:p>
            <w:r/>
            <w:r>
              <w:rPr>
                <w:rFonts w:ascii="Cambria Math" w:hAnsi="Cambria Math"/>
                <w:sz w:val="18"/>
              </w:rPr>
              <w:t>x_return</w:t>
            </w:r>
          </w:p>
        </w:tc>
        <w:tc>
          <w:tcPr>
            <w:tcW w:type="dxa" w:w="5184"/>
          </w:tcPr>
          <w:p>
            <w:r/>
            <w:r>
              <w:rPr>
                <w:rFonts w:ascii="Calibri" w:hAnsi="Calibri"/>
                <w:sz w:val="18"/>
              </w:rPr>
              <w:t>Horizontal distance to seabed return point</w:t>
            </w:r>
          </w:p>
        </w:tc>
        <w:tc>
          <w:tcPr>
            <w:tcW w:type="dxa" w:w="1584"/>
          </w:tcPr>
          <w:p>
            <w:r/>
            <w:r>
              <w:rPr>
                <w:rFonts w:ascii="Calibri" w:hAnsi="Calibri"/>
                <w:sz w:val="18"/>
              </w:rPr>
              <w:t>m</w:t>
            </w:r>
          </w:p>
        </w:tc>
      </w:tr>
      <w:tr>
        <w:tc>
          <w:tcPr>
            <w:tcW w:type="dxa" w:w="1440"/>
          </w:tcPr>
          <w:p>
            <w:r/>
            <w:r>
              <w:rPr>
                <w:rFonts w:ascii="Cambria Math" w:hAnsi="Cambria Math"/>
                <w:sz w:val="18"/>
              </w:rPr>
              <w:t>L_runout</w:t>
            </w:r>
          </w:p>
        </w:tc>
        <w:tc>
          <w:tcPr>
            <w:tcW w:type="dxa" w:w="5184"/>
          </w:tcPr>
          <w:p>
            <w:r/>
            <w:r>
              <w:rPr>
                <w:rFonts w:ascii="Calibri" w:hAnsi="Calibri"/>
                <w:sz w:val="18"/>
              </w:rPr>
              <w:t>Run-out length of the seabed gravity current</w:t>
            </w:r>
          </w:p>
        </w:tc>
        <w:tc>
          <w:tcPr>
            <w:tcW w:type="dxa" w:w="1584"/>
          </w:tcPr>
          <w:p>
            <w:r/>
            <w:r>
              <w:rPr>
                <w:rFonts w:ascii="Calibri" w:hAnsi="Calibri"/>
                <w:sz w:val="18"/>
              </w:rPr>
              <w:t>m</w:t>
            </w:r>
          </w:p>
        </w:tc>
      </w:tr>
      <w:tr>
        <w:tc>
          <w:tcPr>
            <w:tcW w:type="dxa" w:w="1440"/>
          </w:tcPr>
          <w:p>
            <w:r/>
            <w:r>
              <w:rPr>
                <w:rFonts w:ascii="Cambria Math" w:hAnsi="Cambria Math"/>
                <w:sz w:val="18"/>
              </w:rPr>
              <w:t>b_plume</w:t>
            </w:r>
          </w:p>
        </w:tc>
        <w:tc>
          <w:tcPr>
            <w:tcW w:type="dxa" w:w="5184"/>
          </w:tcPr>
          <w:p>
            <w:r/>
            <w:r>
              <w:rPr>
                <w:rFonts w:ascii="Calibri" w:hAnsi="Calibri"/>
                <w:sz w:val="18"/>
              </w:rPr>
              <w:t>Plume width / lateral half-width</w:t>
            </w:r>
          </w:p>
        </w:tc>
        <w:tc>
          <w:tcPr>
            <w:tcW w:type="dxa" w:w="1584"/>
          </w:tcPr>
          <w:p>
            <w:r/>
            <w:r>
              <w:rPr>
                <w:rFonts w:ascii="Calibri" w:hAnsi="Calibri"/>
                <w:sz w:val="18"/>
              </w:rPr>
              <w:t>m</w:t>
            </w:r>
          </w:p>
        </w:tc>
      </w:tr>
      <w:tr>
        <w:tc>
          <w:tcPr>
            <w:tcW w:type="dxa" w:w="1440"/>
          </w:tcPr>
          <w:p>
            <w:r/>
            <w:r>
              <w:rPr>
                <w:rFonts w:ascii="Cambria Math" w:hAnsi="Cambria Math"/>
                <w:sz w:val="18"/>
              </w:rPr>
              <w:t>h_layer</w:t>
            </w:r>
          </w:p>
        </w:tc>
        <w:tc>
          <w:tcPr>
            <w:tcW w:type="dxa" w:w="5184"/>
          </w:tcPr>
          <w:p>
            <w:r/>
            <w:r>
              <w:rPr>
                <w:rFonts w:ascii="Calibri" w:hAnsi="Calibri"/>
                <w:sz w:val="18"/>
              </w:rPr>
              <w:t>Thickness of the spreading bottom layer</w:t>
            </w:r>
          </w:p>
        </w:tc>
        <w:tc>
          <w:tcPr>
            <w:tcW w:type="dxa" w:w="1584"/>
          </w:tcPr>
          <w:p>
            <w:r/>
            <w:r>
              <w:rPr>
                <w:rFonts w:ascii="Calibri" w:hAnsi="Calibri"/>
                <w:sz w:val="18"/>
              </w:rPr>
              <w:t>m</w:t>
            </w:r>
          </w:p>
        </w:tc>
      </w:tr>
      <w:tr>
        <w:tc>
          <w:tcPr>
            <w:tcW w:type="dxa" w:w="1440"/>
          </w:tcPr>
          <w:p>
            <w:r/>
            <w:r>
              <w:rPr>
                <w:rFonts w:ascii="Cambria Math" w:hAnsi="Cambria Math"/>
                <w:sz w:val="18"/>
              </w:rPr>
              <w:t>𝒜_footprint</w:t>
            </w:r>
          </w:p>
        </w:tc>
        <w:tc>
          <w:tcPr>
            <w:tcW w:type="dxa" w:w="5184"/>
          </w:tcPr>
          <w:p>
            <w:r/>
            <w:r>
              <w:rPr>
                <w:rFonts w:ascii="Calibri" w:hAnsi="Calibri"/>
                <w:sz w:val="18"/>
              </w:rPr>
              <w:t>Seabed area with ΔS &gt; ΔS_crit</w:t>
            </w:r>
          </w:p>
        </w:tc>
        <w:tc>
          <w:tcPr>
            <w:tcW w:type="dxa" w:w="1584"/>
          </w:tcPr>
          <w:p>
            <w:r/>
            <w:r>
              <w:rPr>
                <w:rFonts w:ascii="Calibri" w:hAnsi="Calibri"/>
                <w:sz w:val="18"/>
              </w:rPr>
              <w:t>m²</w:t>
            </w:r>
          </w:p>
        </w:tc>
      </w:tr>
      <w:tr>
        <w:tc>
          <w:tcPr>
            <w:tcW w:type="dxa" w:w="1440"/>
          </w:tcPr>
          <w:p>
            <w:r/>
            <w:r>
              <w:rPr>
                <w:rFonts w:ascii="Cambria Math" w:hAnsi="Cambria Math"/>
                <w:sz w:val="18"/>
              </w:rPr>
              <w:t>V_affected</w:t>
            </w:r>
          </w:p>
        </w:tc>
        <w:tc>
          <w:tcPr>
            <w:tcW w:type="dxa" w:w="5184"/>
          </w:tcPr>
          <w:p>
            <w:r/>
            <w:r>
              <w:rPr>
                <w:rFonts w:ascii="Calibri" w:hAnsi="Calibri"/>
                <w:sz w:val="18"/>
              </w:rPr>
              <w:t>Water volume with ΔS &gt; ΔS_crit</w:t>
            </w:r>
          </w:p>
        </w:tc>
        <w:tc>
          <w:tcPr>
            <w:tcW w:type="dxa" w:w="1584"/>
          </w:tcPr>
          <w:p>
            <w:r/>
            <w:r>
              <w:rPr>
                <w:rFonts w:ascii="Calibri" w:hAnsi="Calibri"/>
                <w:sz w:val="18"/>
              </w:rPr>
              <w:t>m³</w:t>
            </w:r>
          </w:p>
        </w:tc>
      </w:tr>
      <w:tr>
        <w:tc>
          <w:tcPr>
            <w:tcW w:type="dxa" w:w="1440"/>
          </w:tcPr>
          <w:p>
            <w:r/>
            <w:r>
              <w:rPr>
                <w:rFonts w:ascii="Cambria Math" w:hAnsi="Cambria Math"/>
                <w:sz w:val="18"/>
              </w:rPr>
              <w:t>θ_traj</w:t>
            </w:r>
          </w:p>
        </w:tc>
        <w:tc>
          <w:tcPr>
            <w:tcW w:type="dxa" w:w="5184"/>
          </w:tcPr>
          <w:p>
            <w:r/>
            <w:r>
              <w:rPr>
                <w:rFonts w:ascii="Calibri" w:hAnsi="Calibri"/>
                <w:sz w:val="18"/>
              </w:rPr>
              <w:t>Jet trajectory / bend-over angle</w:t>
            </w:r>
          </w:p>
        </w:tc>
        <w:tc>
          <w:tcPr>
            <w:tcW w:type="dxa" w:w="1584"/>
          </w:tcPr>
          <w:p>
            <w:r/>
            <w:r>
              <w:rPr>
                <w:rFonts w:ascii="Calibri" w:hAnsi="Calibri"/>
                <w:sz w:val="18"/>
              </w:rPr>
              <w:t>deg</w:t>
            </w:r>
          </w:p>
        </w:tc>
      </w:tr>
    </w:tbl>
    <w:p>
      <w:pPr>
        <w:pStyle w:val="Heading2"/>
      </w:pPr>
      <w:r>
        <w:t>3.3 Mixing &amp; dynamics metrics</w:t>
      </w:r>
    </w:p>
    <w:tbl>
      <w:tblPr>
        <w:tblStyle w:val="LightGrid-Accent1"/>
        <w:tblW w:type="auto" w:w="0"/>
        <w:jc w:val="center"/>
        <w:tblLook w:firstColumn="1" w:firstRow="1" w:lastColumn="0" w:lastRow="0" w:noHBand="0" w:noVBand="1" w:val="04A0"/>
      </w:tblPr>
      <w:tblGrid>
        <w:gridCol w:w="2880"/>
        <w:gridCol w:w="2880"/>
        <w:gridCol w:w="2880"/>
      </w:tblGrid>
      <w:tr>
        <w:tc>
          <w:tcPr>
            <w:tcW w:type="dxa" w:w="1440"/>
            <w:shd w:val="clear" w:color="auto" w:fill="1F4E79"/>
          </w:tcPr>
          <w:p>
            <w:r/>
            <w:r>
              <w:rPr>
                <w:rFonts w:ascii="Calibri" w:hAnsi="Calibri"/>
                <w:b/>
                <w:color w:val="FFFFFF"/>
                <w:sz w:val="18"/>
              </w:rPr>
              <w:t>Metric</w:t>
            </w:r>
          </w:p>
        </w:tc>
        <w:tc>
          <w:tcPr>
            <w:tcW w:type="dxa" w:w="5184"/>
            <w:shd w:val="clear" w:color="auto" w:fill="1F4E79"/>
          </w:tcPr>
          <w:p>
            <w:r/>
            <w:r>
              <w:rPr>
                <w:rFonts w:ascii="Calibri" w:hAnsi="Calibri"/>
                <w:b/>
                <w:color w:val="FFFFFF"/>
                <w:sz w:val="18"/>
              </w:rPr>
              <w:t>Description</w:t>
            </w:r>
          </w:p>
        </w:tc>
        <w:tc>
          <w:tcPr>
            <w:tcW w:type="dxa" w:w="1584"/>
            <w:shd w:val="clear" w:color="auto" w:fill="1F4E79"/>
          </w:tcPr>
          <w:p>
            <w:r/>
            <w:r>
              <w:rPr>
                <w:rFonts w:ascii="Calibri" w:hAnsi="Calibri"/>
                <w:b/>
                <w:color w:val="FFFFFF"/>
                <w:sz w:val="18"/>
              </w:rPr>
              <w:t>Units</w:t>
            </w:r>
          </w:p>
        </w:tc>
      </w:tr>
      <w:tr>
        <w:tc>
          <w:tcPr>
            <w:tcW w:type="dxa" w:w="1440"/>
          </w:tcPr>
          <w:p>
            <w:r/>
            <w:r>
              <w:rPr>
                <w:rFonts w:ascii="Cambria Math" w:hAnsi="Cambria Math"/>
                <w:sz w:val="18"/>
              </w:rPr>
              <w:t>Fr_d</w:t>
            </w:r>
          </w:p>
        </w:tc>
        <w:tc>
          <w:tcPr>
            <w:tcW w:type="dxa" w:w="5184"/>
          </w:tcPr>
          <w:p>
            <w:r/>
            <w:r>
              <w:rPr>
                <w:rFonts w:ascii="Calibri" w:hAnsi="Calibri"/>
                <w:sz w:val="18"/>
              </w:rPr>
              <w:t>Discharge densimetric Froude number</w:t>
            </w:r>
          </w:p>
        </w:tc>
        <w:tc>
          <w:tcPr>
            <w:tcW w:type="dxa" w:w="1584"/>
          </w:tcPr>
          <w:p>
            <w:r/>
            <w:r>
              <w:rPr>
                <w:rFonts w:ascii="Calibri" w:hAnsi="Calibri"/>
                <w:sz w:val="18"/>
              </w:rPr>
              <w:t>–</w:t>
            </w:r>
          </w:p>
        </w:tc>
      </w:tr>
      <w:tr>
        <w:tc>
          <w:tcPr>
            <w:tcW w:type="dxa" w:w="1440"/>
          </w:tcPr>
          <w:p>
            <w:r/>
            <w:r>
              <w:rPr>
                <w:rFonts w:ascii="Cambria Math" w:hAnsi="Cambria Math"/>
                <w:sz w:val="18"/>
              </w:rPr>
              <w:t>Re</w:t>
            </w:r>
          </w:p>
        </w:tc>
        <w:tc>
          <w:tcPr>
            <w:tcW w:type="dxa" w:w="5184"/>
          </w:tcPr>
          <w:p>
            <w:r/>
            <w:r>
              <w:rPr>
                <w:rFonts w:ascii="Calibri" w:hAnsi="Calibri"/>
                <w:sz w:val="18"/>
              </w:rPr>
              <w:t>Discharge Reynolds number</w:t>
            </w:r>
          </w:p>
        </w:tc>
        <w:tc>
          <w:tcPr>
            <w:tcW w:type="dxa" w:w="1584"/>
          </w:tcPr>
          <w:p>
            <w:r/>
            <w:r>
              <w:rPr>
                <w:rFonts w:ascii="Calibri" w:hAnsi="Calibri"/>
                <w:sz w:val="18"/>
              </w:rPr>
              <w:t>–</w:t>
            </w:r>
          </w:p>
        </w:tc>
      </w:tr>
      <w:tr>
        <w:tc>
          <w:tcPr>
            <w:tcW w:type="dxa" w:w="1440"/>
          </w:tcPr>
          <w:p>
            <w:r/>
            <w:r>
              <w:rPr>
                <w:rFonts w:ascii="Cambria Math" w:hAnsi="Cambria Math"/>
                <w:sz w:val="18"/>
              </w:rPr>
              <w:t>Ri_bulk</w:t>
            </w:r>
          </w:p>
        </w:tc>
        <w:tc>
          <w:tcPr>
            <w:tcW w:type="dxa" w:w="5184"/>
          </w:tcPr>
          <w:p>
            <w:r/>
            <w:r>
              <w:rPr>
                <w:rFonts w:ascii="Calibri" w:hAnsi="Calibri"/>
                <w:sz w:val="18"/>
              </w:rPr>
              <w:t>Bulk Richardson number of the plume</w:t>
            </w:r>
          </w:p>
        </w:tc>
        <w:tc>
          <w:tcPr>
            <w:tcW w:type="dxa" w:w="1584"/>
          </w:tcPr>
          <w:p>
            <w:r/>
            <w:r>
              <w:rPr>
                <w:rFonts w:ascii="Calibri" w:hAnsi="Calibri"/>
                <w:sz w:val="18"/>
              </w:rPr>
              <w:t>–</w:t>
            </w:r>
          </w:p>
        </w:tc>
      </w:tr>
      <w:tr>
        <w:tc>
          <w:tcPr>
            <w:tcW w:type="dxa" w:w="1440"/>
          </w:tcPr>
          <w:p>
            <w:r/>
            <w:r>
              <w:rPr>
                <w:rFonts w:ascii="Cambria Math" w:hAnsi="Cambria Math"/>
                <w:sz w:val="18"/>
              </w:rPr>
              <w:t>E_total</w:t>
            </w:r>
          </w:p>
        </w:tc>
        <w:tc>
          <w:tcPr>
            <w:tcW w:type="dxa" w:w="5184"/>
          </w:tcPr>
          <w:p>
            <w:r/>
            <w:r>
              <w:rPr>
                <w:rFonts w:ascii="Calibri" w:hAnsi="Calibri"/>
                <w:sz w:val="18"/>
              </w:rPr>
              <w:t>Total entrainment coefficient</w:t>
            </w:r>
          </w:p>
        </w:tc>
        <w:tc>
          <w:tcPr>
            <w:tcW w:type="dxa" w:w="1584"/>
          </w:tcPr>
          <w:p>
            <w:r/>
            <w:r>
              <w:rPr>
                <w:rFonts w:ascii="Calibri" w:hAnsi="Calibri"/>
                <w:sz w:val="18"/>
              </w:rPr>
              <w:t>–</w:t>
            </w:r>
          </w:p>
        </w:tc>
      </w:tr>
      <w:tr>
        <w:tc>
          <w:tcPr>
            <w:tcW w:type="dxa" w:w="1440"/>
          </w:tcPr>
          <w:p>
            <w:r/>
            <w:r>
              <w:rPr>
                <w:rFonts w:ascii="Cambria Math" w:hAnsi="Cambria Math"/>
                <w:sz w:val="18"/>
              </w:rPr>
              <w:t>τ_flush</w:t>
            </w:r>
          </w:p>
        </w:tc>
        <w:tc>
          <w:tcPr>
            <w:tcW w:type="dxa" w:w="5184"/>
          </w:tcPr>
          <w:p>
            <w:r/>
            <w:r>
              <w:rPr>
                <w:rFonts w:ascii="Calibri" w:hAnsi="Calibri"/>
                <w:sz w:val="18"/>
              </w:rPr>
              <w:t>Mixing-zone flushing time</w:t>
            </w:r>
          </w:p>
        </w:tc>
        <w:tc>
          <w:tcPr>
            <w:tcW w:type="dxa" w:w="1584"/>
          </w:tcPr>
          <w:p>
            <w:r/>
            <w:r>
              <w:rPr>
                <w:rFonts w:ascii="Calibri" w:hAnsi="Calibri"/>
                <w:sz w:val="18"/>
              </w:rPr>
              <w:t>s / h</w:t>
            </w:r>
          </w:p>
        </w:tc>
      </w:tr>
      <w:tr>
        <w:tc>
          <w:tcPr>
            <w:tcW w:type="dxa" w:w="1440"/>
          </w:tcPr>
          <w:p>
            <w:r/>
            <w:r>
              <w:rPr>
                <w:rFonts w:ascii="Cambria Math" w:hAnsi="Cambria Math"/>
                <w:sz w:val="18"/>
              </w:rPr>
              <w:t>Ṁ_salt</w:t>
            </w:r>
          </w:p>
        </w:tc>
        <w:tc>
          <w:tcPr>
            <w:tcW w:type="dxa" w:w="5184"/>
          </w:tcPr>
          <w:p>
            <w:r/>
            <w:r>
              <w:rPr>
                <w:rFonts w:ascii="Calibri" w:hAnsi="Calibri"/>
                <w:sz w:val="18"/>
              </w:rPr>
              <w:t>Net salt mass flux through control surfaces</w:t>
            </w:r>
          </w:p>
        </w:tc>
        <w:tc>
          <w:tcPr>
            <w:tcW w:type="dxa" w:w="1584"/>
          </w:tcPr>
          <w:p>
            <w:r/>
            <w:r>
              <w:rPr>
                <w:rFonts w:ascii="Calibri" w:hAnsi="Calibri"/>
                <w:sz w:val="18"/>
              </w:rPr>
              <w:t>kg s⁻¹</w:t>
            </w:r>
          </w:p>
        </w:tc>
      </w:tr>
      <w:tr>
        <w:tc>
          <w:tcPr>
            <w:tcW w:type="dxa" w:w="1440"/>
          </w:tcPr>
          <w:p>
            <w:r/>
            <w:r>
              <w:rPr>
                <w:rFonts w:ascii="Cambria Math" w:hAnsi="Cambria Math"/>
                <w:sz w:val="18"/>
              </w:rPr>
              <w:t>Π*</w:t>
            </w:r>
          </w:p>
        </w:tc>
        <w:tc>
          <w:tcPr>
            <w:tcW w:type="dxa" w:w="5184"/>
          </w:tcPr>
          <w:p>
            <w:r/>
            <w:r>
              <w:rPr>
                <w:rFonts w:ascii="Calibri" w:hAnsi="Calibri"/>
                <w:sz w:val="18"/>
              </w:rPr>
              <w:t>Osmotic-to-inertial pressure ratio (novel)</w:t>
            </w:r>
          </w:p>
        </w:tc>
        <w:tc>
          <w:tcPr>
            <w:tcW w:type="dxa" w:w="1584"/>
          </w:tcPr>
          <w:p>
            <w:r/>
            <w:r>
              <w:rPr>
                <w:rFonts w:ascii="Calibri" w:hAnsi="Calibri"/>
                <w:sz w:val="18"/>
              </w:rPr>
              <w:t>–</w:t>
            </w:r>
          </w:p>
        </w:tc>
      </w:tr>
    </w:tbl>
    <w:p>
      <w:r>
        <w:br w:type="page"/>
      </w:r>
    </w:p>
    <w:p>
      <w:pPr>
        <w:pStyle w:val="Heading1"/>
      </w:pPr>
      <w:r>
        <w:t>4. Tier 4 — Spatial Maps and Cross-Sections (2-D charts)</w:t>
      </w:r>
    </w:p>
    <w:p>
      <w:pPr>
        <w:spacing w:after="120"/>
      </w:pPr>
      <w:r>
        <w:rPr>
          <w:rFonts w:ascii="Calibri" w:hAnsi="Calibri"/>
          <w:b w:val="0"/>
          <w:i w:val="0"/>
          <w:sz w:val="22"/>
        </w:rPr>
        <w:t>Two-dimensional graphical products extracted from the 4-D fields, at user-chosen times and slice planes. Each is a colour/contour plot.</w:t>
      </w:r>
    </w:p>
    <w:tbl>
      <w:tblPr>
        <w:tblStyle w:val="LightGrid-Accent1"/>
        <w:tblW w:type="auto" w:w="0"/>
        <w:jc w:val="center"/>
        <w:tblLook w:firstColumn="1" w:firstRow="1" w:lastColumn="0" w:lastRow="0" w:noHBand="0" w:noVBand="1" w:val="04A0"/>
      </w:tblPr>
      <w:tblGrid>
        <w:gridCol w:w="2880"/>
        <w:gridCol w:w="2880"/>
        <w:gridCol w:w="2880"/>
      </w:tblGrid>
      <w:tr>
        <w:tc>
          <w:tcPr>
            <w:tcW w:type="dxa" w:w="2448"/>
            <w:shd w:val="clear" w:color="auto" w:fill="1F4E79"/>
          </w:tcPr>
          <w:p>
            <w:r/>
            <w:r>
              <w:rPr>
                <w:rFonts w:ascii="Calibri" w:hAnsi="Calibri"/>
                <w:b/>
                <w:color w:val="FFFFFF"/>
                <w:sz w:val="18"/>
              </w:rPr>
              <w:t>Chart</w:t>
            </w:r>
          </w:p>
        </w:tc>
        <w:tc>
          <w:tcPr>
            <w:tcW w:type="dxa" w:w="4608"/>
            <w:shd w:val="clear" w:color="auto" w:fill="1F4E79"/>
          </w:tcPr>
          <w:p>
            <w:r/>
            <w:r>
              <w:rPr>
                <w:rFonts w:ascii="Calibri" w:hAnsi="Calibri"/>
                <w:b/>
                <w:color w:val="FFFFFF"/>
                <w:sz w:val="18"/>
              </w:rPr>
              <w:t>What it shows</w:t>
            </w:r>
          </w:p>
        </w:tc>
        <w:tc>
          <w:tcPr>
            <w:tcW w:type="dxa" w:w="1872"/>
            <w:shd w:val="clear" w:color="auto" w:fill="1F4E79"/>
          </w:tcPr>
          <w:p>
            <w:r/>
            <w:r>
              <w:rPr>
                <w:rFonts w:ascii="Calibri" w:hAnsi="Calibri"/>
                <w:b/>
                <w:color w:val="FFFFFF"/>
                <w:sz w:val="18"/>
              </w:rPr>
              <w:t>Plane / type</w:t>
            </w:r>
          </w:p>
        </w:tc>
      </w:tr>
      <w:tr>
        <w:tc>
          <w:tcPr>
            <w:tcW w:type="dxa" w:w="2448"/>
          </w:tcPr>
          <w:p>
            <w:r/>
            <w:r>
              <w:rPr>
                <w:rFonts w:ascii="Calibri" w:hAnsi="Calibri"/>
                <w:sz w:val="18"/>
              </w:rPr>
              <w:t>Plan-view salinity map</w:t>
            </w:r>
          </w:p>
        </w:tc>
        <w:tc>
          <w:tcPr>
            <w:tcW w:type="dxa" w:w="4608"/>
          </w:tcPr>
          <w:p>
            <w:r/>
            <w:r>
              <w:rPr>
                <w:rFonts w:ascii="Calibri" w:hAnsi="Calibri"/>
                <w:sz w:val="18"/>
              </w:rPr>
              <w:t>Salinity over x–y at a chosen depth (e.g. seabed)</w:t>
            </w:r>
          </w:p>
        </w:tc>
        <w:tc>
          <w:tcPr>
            <w:tcW w:type="dxa" w:w="1872"/>
          </w:tcPr>
          <w:p>
            <w:r/>
            <w:r>
              <w:rPr>
                <w:rFonts w:ascii="Calibri" w:hAnsi="Calibri"/>
                <w:sz w:val="18"/>
              </w:rPr>
              <w:t>horizontal contour</w:t>
            </w:r>
          </w:p>
        </w:tc>
      </w:tr>
      <w:tr>
        <w:tc>
          <w:tcPr>
            <w:tcW w:type="dxa" w:w="2448"/>
          </w:tcPr>
          <w:p>
            <w:r/>
            <w:r>
              <w:rPr>
                <w:rFonts w:ascii="Calibri" w:hAnsi="Calibri"/>
                <w:sz w:val="18"/>
              </w:rPr>
              <w:t>Vertical cross-section</w:t>
            </w:r>
          </w:p>
        </w:tc>
        <w:tc>
          <w:tcPr>
            <w:tcW w:type="dxa" w:w="4608"/>
          </w:tcPr>
          <w:p>
            <w:r/>
            <w:r>
              <w:rPr>
                <w:rFonts w:ascii="Calibri" w:hAnsi="Calibri"/>
                <w:sz w:val="18"/>
              </w:rPr>
              <w:t>Salinity over a vertical transect through the plume</w:t>
            </w:r>
          </w:p>
        </w:tc>
        <w:tc>
          <w:tcPr>
            <w:tcW w:type="dxa" w:w="1872"/>
          </w:tcPr>
          <w:p>
            <w:r/>
            <w:r>
              <w:rPr>
                <w:rFonts w:ascii="Calibri" w:hAnsi="Calibri"/>
                <w:sz w:val="18"/>
              </w:rPr>
              <w:t>x–z / y–z contour</w:t>
            </w:r>
          </w:p>
        </w:tc>
      </w:tr>
      <w:tr>
        <w:tc>
          <w:tcPr>
            <w:tcW w:type="dxa" w:w="2448"/>
          </w:tcPr>
          <w:p>
            <w:r/>
            <w:r>
              <w:rPr>
                <w:rFonts w:ascii="Calibri" w:hAnsi="Calibri"/>
                <w:sz w:val="18"/>
              </w:rPr>
              <w:t>Dilution map</w:t>
            </w:r>
          </w:p>
        </w:tc>
        <w:tc>
          <w:tcPr>
            <w:tcW w:type="dxa" w:w="4608"/>
          </w:tcPr>
          <w:p>
            <w:r/>
            <w:r>
              <w:rPr>
                <w:rFonts w:ascii="Calibri" w:hAnsi="Calibri"/>
                <w:sz w:val="18"/>
              </w:rPr>
              <w:t>Dilution factor field</w:t>
            </w:r>
          </w:p>
        </w:tc>
        <w:tc>
          <w:tcPr>
            <w:tcW w:type="dxa" w:w="1872"/>
          </w:tcPr>
          <w:p>
            <w:r/>
            <w:r>
              <w:rPr>
                <w:rFonts w:ascii="Calibri" w:hAnsi="Calibri"/>
                <w:sz w:val="18"/>
              </w:rPr>
              <w:t>contour / heatmap</w:t>
            </w:r>
          </w:p>
        </w:tc>
      </w:tr>
      <w:tr>
        <w:tc>
          <w:tcPr>
            <w:tcW w:type="dxa" w:w="2448"/>
          </w:tcPr>
          <w:p>
            <w:r/>
            <w:r>
              <w:rPr>
                <w:rFonts w:ascii="Calibri" w:hAnsi="Calibri"/>
                <w:sz w:val="18"/>
              </w:rPr>
              <w:t>Excess-salinity (ΔS) map</w:t>
            </w:r>
          </w:p>
        </w:tc>
        <w:tc>
          <w:tcPr>
            <w:tcW w:type="dxa" w:w="4608"/>
          </w:tcPr>
          <w:p>
            <w:r/>
            <w:r>
              <w:rPr>
                <w:rFonts w:ascii="Calibri" w:hAnsi="Calibri"/>
                <w:sz w:val="18"/>
              </w:rPr>
              <w:t>Above-ambient salinity footprint</w:t>
            </w:r>
          </w:p>
        </w:tc>
        <w:tc>
          <w:tcPr>
            <w:tcW w:type="dxa" w:w="1872"/>
          </w:tcPr>
          <w:p>
            <w:r/>
            <w:r>
              <w:rPr>
                <w:rFonts w:ascii="Calibri" w:hAnsi="Calibri"/>
                <w:sz w:val="18"/>
              </w:rPr>
              <w:t>filled contour</w:t>
            </w:r>
          </w:p>
        </w:tc>
      </w:tr>
      <w:tr>
        <w:tc>
          <w:tcPr>
            <w:tcW w:type="dxa" w:w="2448"/>
          </w:tcPr>
          <w:p>
            <w:r/>
            <w:r>
              <w:rPr>
                <w:rFonts w:ascii="Calibri" w:hAnsi="Calibri"/>
                <w:sz w:val="18"/>
              </w:rPr>
              <w:t>Plume iso-surface (3-D)</w:t>
            </w:r>
          </w:p>
        </w:tc>
        <w:tc>
          <w:tcPr>
            <w:tcW w:type="dxa" w:w="4608"/>
          </w:tcPr>
          <w:p>
            <w:r/>
            <w:r>
              <w:rPr>
                <w:rFonts w:ascii="Calibri" w:hAnsi="Calibri"/>
                <w:sz w:val="18"/>
              </w:rPr>
              <w:t>3-D surface of S = S_crit (the plume body)</w:t>
            </w:r>
          </w:p>
        </w:tc>
        <w:tc>
          <w:tcPr>
            <w:tcW w:type="dxa" w:w="1872"/>
          </w:tcPr>
          <w:p>
            <w:r/>
            <w:r>
              <w:rPr>
                <w:rFonts w:ascii="Calibri" w:hAnsi="Calibri"/>
                <w:sz w:val="18"/>
              </w:rPr>
              <w:t>3-D render</w:t>
            </w:r>
          </w:p>
        </w:tc>
      </w:tr>
      <w:tr>
        <w:tc>
          <w:tcPr>
            <w:tcW w:type="dxa" w:w="2448"/>
          </w:tcPr>
          <w:p>
            <w:r/>
            <w:r>
              <w:rPr>
                <w:rFonts w:ascii="Calibri" w:hAnsi="Calibri"/>
                <w:sz w:val="18"/>
              </w:rPr>
              <w:t>Velocity vector / quiver map</w:t>
            </w:r>
          </w:p>
        </w:tc>
        <w:tc>
          <w:tcPr>
            <w:tcW w:type="dxa" w:w="4608"/>
          </w:tcPr>
          <w:p>
            <w:r/>
            <w:r>
              <w:rPr>
                <w:rFonts w:ascii="Calibri" w:hAnsi="Calibri"/>
                <w:sz w:val="18"/>
              </w:rPr>
              <w:t>Current + plume flow direction &amp; speed</w:t>
            </w:r>
          </w:p>
        </w:tc>
        <w:tc>
          <w:tcPr>
            <w:tcW w:type="dxa" w:w="1872"/>
          </w:tcPr>
          <w:p>
            <w:r/>
            <w:r>
              <w:rPr>
                <w:rFonts w:ascii="Calibri" w:hAnsi="Calibri"/>
                <w:sz w:val="18"/>
              </w:rPr>
              <w:t>vector field</w:t>
            </w:r>
          </w:p>
        </w:tc>
      </w:tr>
      <w:tr>
        <w:tc>
          <w:tcPr>
            <w:tcW w:type="dxa" w:w="2448"/>
          </w:tcPr>
          <w:p>
            <w:r/>
            <w:r>
              <w:rPr>
                <w:rFonts w:ascii="Calibri" w:hAnsi="Calibri"/>
                <w:sz w:val="18"/>
              </w:rPr>
              <w:t>Streamline / pathline map</w:t>
            </w:r>
          </w:p>
        </w:tc>
        <w:tc>
          <w:tcPr>
            <w:tcW w:type="dxa" w:w="4608"/>
          </w:tcPr>
          <w:p>
            <w:r/>
            <w:r>
              <w:rPr>
                <w:rFonts w:ascii="Calibri" w:hAnsi="Calibri"/>
                <w:sz w:val="18"/>
              </w:rPr>
              <w:t>Flow and tracer paths around the outfall</w:t>
            </w:r>
          </w:p>
        </w:tc>
        <w:tc>
          <w:tcPr>
            <w:tcW w:type="dxa" w:w="1872"/>
          </w:tcPr>
          <w:p>
            <w:r/>
            <w:r>
              <w:rPr>
                <w:rFonts w:ascii="Calibri" w:hAnsi="Calibri"/>
                <w:sz w:val="18"/>
              </w:rPr>
              <w:t>streamlines</w:t>
            </w:r>
          </w:p>
        </w:tc>
      </w:tr>
      <w:tr>
        <w:tc>
          <w:tcPr>
            <w:tcW w:type="dxa" w:w="2448"/>
          </w:tcPr>
          <w:p>
            <w:r/>
            <w:r>
              <w:rPr>
                <w:rFonts w:ascii="Calibri" w:hAnsi="Calibri"/>
                <w:sz w:val="18"/>
              </w:rPr>
              <w:t>Vorticity map</w:t>
            </w:r>
          </w:p>
        </w:tc>
        <w:tc>
          <w:tcPr>
            <w:tcW w:type="dxa" w:w="4608"/>
          </w:tcPr>
          <w:p>
            <w:r/>
            <w:r>
              <w:rPr>
                <w:rFonts w:ascii="Calibri" w:hAnsi="Calibri"/>
                <w:sz w:val="18"/>
              </w:rPr>
              <w:t>Eddies and vortices shed by the jet</w:t>
            </w:r>
          </w:p>
        </w:tc>
        <w:tc>
          <w:tcPr>
            <w:tcW w:type="dxa" w:w="1872"/>
          </w:tcPr>
          <w:p>
            <w:r/>
            <w:r>
              <w:rPr>
                <w:rFonts w:ascii="Calibri" w:hAnsi="Calibri"/>
                <w:sz w:val="18"/>
              </w:rPr>
              <w:t>contour</w:t>
            </w:r>
          </w:p>
        </w:tc>
      </w:tr>
      <w:tr>
        <w:tc>
          <w:tcPr>
            <w:tcW w:type="dxa" w:w="2448"/>
          </w:tcPr>
          <w:p>
            <w:r/>
            <w:r>
              <w:rPr>
                <w:rFonts w:ascii="Calibri" w:hAnsi="Calibri"/>
                <w:sz w:val="18"/>
              </w:rPr>
              <w:t>Density / stratification map</w:t>
            </w:r>
          </w:p>
        </w:tc>
        <w:tc>
          <w:tcPr>
            <w:tcW w:type="dxa" w:w="4608"/>
          </w:tcPr>
          <w:p>
            <w:r/>
            <w:r>
              <w:rPr>
                <w:rFonts w:ascii="Calibri" w:hAnsi="Calibri"/>
                <w:sz w:val="18"/>
              </w:rPr>
              <w:t>ρ field and pycnocline position</w:t>
            </w:r>
          </w:p>
        </w:tc>
        <w:tc>
          <w:tcPr>
            <w:tcW w:type="dxa" w:w="1872"/>
          </w:tcPr>
          <w:p>
            <w:r/>
            <w:r>
              <w:rPr>
                <w:rFonts w:ascii="Calibri" w:hAnsi="Calibri"/>
                <w:sz w:val="18"/>
              </w:rPr>
              <w:t>contour</w:t>
            </w:r>
          </w:p>
        </w:tc>
      </w:tr>
      <w:tr>
        <w:tc>
          <w:tcPr>
            <w:tcW w:type="dxa" w:w="2448"/>
          </w:tcPr>
          <w:p>
            <w:r/>
            <w:r>
              <w:rPr>
                <w:rFonts w:ascii="Calibri" w:hAnsi="Calibri"/>
                <w:sz w:val="18"/>
              </w:rPr>
              <w:t>Temperature map</w:t>
            </w:r>
          </w:p>
        </w:tc>
        <w:tc>
          <w:tcPr>
            <w:tcW w:type="dxa" w:w="4608"/>
          </w:tcPr>
          <w:p>
            <w:r/>
            <w:r>
              <w:rPr>
                <w:rFonts w:ascii="Calibri" w:hAnsi="Calibri"/>
                <w:sz w:val="18"/>
              </w:rPr>
              <w:t>Thermal field &amp; thermal plume</w:t>
            </w:r>
          </w:p>
        </w:tc>
        <w:tc>
          <w:tcPr>
            <w:tcW w:type="dxa" w:w="1872"/>
          </w:tcPr>
          <w:p>
            <w:r/>
            <w:r>
              <w:rPr>
                <w:rFonts w:ascii="Calibri" w:hAnsi="Calibri"/>
                <w:sz w:val="18"/>
              </w:rPr>
              <w:t>contour</w:t>
            </w:r>
          </w:p>
        </w:tc>
      </w:tr>
      <w:tr>
        <w:tc>
          <w:tcPr>
            <w:tcW w:type="dxa" w:w="2448"/>
          </w:tcPr>
          <w:p>
            <w:r/>
            <w:r>
              <w:rPr>
                <w:rFonts w:ascii="Calibri" w:hAnsi="Calibri"/>
                <w:sz w:val="18"/>
              </w:rPr>
              <w:t>Turbulence (k, ε, μ_t) map</w:t>
            </w:r>
          </w:p>
        </w:tc>
        <w:tc>
          <w:tcPr>
            <w:tcW w:type="dxa" w:w="4608"/>
          </w:tcPr>
          <w:p>
            <w:r/>
            <w:r>
              <w:rPr>
                <w:rFonts w:ascii="Calibri" w:hAnsi="Calibri"/>
                <w:sz w:val="18"/>
              </w:rPr>
              <w:t>Mixing-intensity distribution</w:t>
            </w:r>
          </w:p>
        </w:tc>
        <w:tc>
          <w:tcPr>
            <w:tcW w:type="dxa" w:w="1872"/>
          </w:tcPr>
          <w:p>
            <w:r/>
            <w:r>
              <w:rPr>
                <w:rFonts w:ascii="Calibri" w:hAnsi="Calibri"/>
                <w:sz w:val="18"/>
              </w:rPr>
              <w:t>contour</w:t>
            </w:r>
          </w:p>
        </w:tc>
      </w:tr>
      <w:tr>
        <w:tc>
          <w:tcPr>
            <w:tcW w:type="dxa" w:w="2448"/>
          </w:tcPr>
          <w:p>
            <w:r/>
            <w:r>
              <w:rPr>
                <w:rFonts w:ascii="Calibri" w:hAnsi="Calibri"/>
                <w:sz w:val="18"/>
              </w:rPr>
              <w:t>Richardson-number map</w:t>
            </w:r>
          </w:p>
        </w:tc>
        <w:tc>
          <w:tcPr>
            <w:tcW w:type="dxa" w:w="4608"/>
          </w:tcPr>
          <w:p>
            <w:r/>
            <w:r>
              <w:rPr>
                <w:rFonts w:ascii="Calibri" w:hAnsi="Calibri"/>
                <w:sz w:val="18"/>
              </w:rPr>
              <w:t>Where mixing is active vs suppressed</w:t>
            </w:r>
          </w:p>
        </w:tc>
        <w:tc>
          <w:tcPr>
            <w:tcW w:type="dxa" w:w="1872"/>
          </w:tcPr>
          <w:p>
            <w:r/>
            <w:r>
              <w:rPr>
                <w:rFonts w:ascii="Calibri" w:hAnsi="Calibri"/>
                <w:sz w:val="18"/>
              </w:rPr>
              <w:t>contour</w:t>
            </w:r>
          </w:p>
        </w:tc>
      </w:tr>
      <w:tr>
        <w:tc>
          <w:tcPr>
            <w:tcW w:type="dxa" w:w="2448"/>
          </w:tcPr>
          <w:p>
            <w:r/>
            <w:r>
              <w:rPr>
                <w:rFonts w:ascii="Calibri" w:hAnsi="Calibri"/>
                <w:sz w:val="18"/>
              </w:rPr>
              <w:t>Bathymetry overlay</w:t>
            </w:r>
          </w:p>
        </w:tc>
        <w:tc>
          <w:tcPr>
            <w:tcW w:type="dxa" w:w="4608"/>
          </w:tcPr>
          <w:p>
            <w:r/>
            <w:r>
              <w:rPr>
                <w:rFonts w:ascii="Calibri" w:hAnsi="Calibri"/>
                <w:sz w:val="18"/>
              </w:rPr>
              <w:t>Plume draped on seabed/continental-shelf terrain</w:t>
            </w:r>
          </w:p>
        </w:tc>
        <w:tc>
          <w:tcPr>
            <w:tcW w:type="dxa" w:w="1872"/>
          </w:tcPr>
          <w:p>
            <w:r/>
            <w:r>
              <w:rPr>
                <w:rFonts w:ascii="Calibri" w:hAnsi="Calibri"/>
                <w:sz w:val="18"/>
              </w:rPr>
              <w:t>3-D terrain</w:t>
            </w:r>
          </w:p>
        </w:tc>
      </w:tr>
      <w:tr>
        <w:tc>
          <w:tcPr>
            <w:tcW w:type="dxa" w:w="2448"/>
          </w:tcPr>
          <w:p>
            <w:r/>
            <w:r>
              <w:rPr>
                <w:rFonts w:ascii="Calibri" w:hAnsi="Calibri"/>
                <w:sz w:val="18"/>
              </w:rPr>
              <w:t>Bed-shear / scour map</w:t>
            </w:r>
          </w:p>
        </w:tc>
        <w:tc>
          <w:tcPr>
            <w:tcW w:type="dxa" w:w="4608"/>
          </w:tcPr>
          <w:p>
            <w:r/>
            <w:r>
              <w:rPr>
                <w:rFonts w:ascii="Calibri" w:hAnsi="Calibri"/>
                <w:sz w:val="18"/>
              </w:rPr>
              <w:t>Bed stress under the gravity current</w:t>
            </w:r>
          </w:p>
        </w:tc>
        <w:tc>
          <w:tcPr>
            <w:tcW w:type="dxa" w:w="1872"/>
          </w:tcPr>
          <w:p>
            <w:r/>
            <w:r>
              <w:rPr>
                <w:rFonts w:ascii="Calibri" w:hAnsi="Calibri"/>
                <w:sz w:val="18"/>
              </w:rPr>
              <w:t>contour</w:t>
            </w:r>
          </w:p>
        </w:tc>
      </w:tr>
    </w:tbl>
    <w:p>
      <w:pPr>
        <w:pStyle w:val="Heading1"/>
      </w:pPr>
      <w:r>
        <w:t>5. Tier 5 — Curves, Graphs and Profiles (1-D relationships)</w:t>
      </w:r>
    </w:p>
    <w:p>
      <w:pPr>
        <w:spacing w:after="120"/>
      </w:pPr>
      <w:r>
        <w:rPr>
          <w:rFonts w:ascii="Calibri" w:hAnsi="Calibri"/>
          <w:b w:val="0"/>
          <w:i w:val="0"/>
          <w:sz w:val="22"/>
        </w:rPr>
        <w:t>Line plots that quantify how key variables change with distance, depth, angle or driving parameter — the classic engineering design curves.</w:t>
      </w:r>
    </w:p>
    <w:tbl>
      <w:tblPr>
        <w:tblStyle w:val="LightGrid-Accent1"/>
        <w:tblW w:type="auto" w:w="0"/>
        <w:jc w:val="center"/>
        <w:tblLook w:firstColumn="1" w:firstRow="1" w:lastColumn="0" w:lastRow="0" w:noHBand="0" w:noVBand="1" w:val="04A0"/>
      </w:tblPr>
      <w:tblGrid>
        <w:gridCol w:w="2880"/>
        <w:gridCol w:w="2880"/>
        <w:gridCol w:w="2880"/>
      </w:tblGrid>
      <w:tr>
        <w:tc>
          <w:tcPr>
            <w:tcW w:type="dxa" w:w="2592"/>
            <w:shd w:val="clear" w:color="auto" w:fill="1F4E79"/>
          </w:tcPr>
          <w:p>
            <w:r/>
            <w:r>
              <w:rPr>
                <w:rFonts w:ascii="Calibri" w:hAnsi="Calibri"/>
                <w:b/>
                <w:color w:val="FFFFFF"/>
                <w:sz w:val="18"/>
              </w:rPr>
              <w:t>Curve / graph</w:t>
            </w:r>
          </w:p>
        </w:tc>
        <w:tc>
          <w:tcPr>
            <w:tcW w:type="dxa" w:w="3312"/>
            <w:shd w:val="clear" w:color="auto" w:fill="1F4E79"/>
          </w:tcPr>
          <w:p>
            <w:r/>
            <w:r>
              <w:rPr>
                <w:rFonts w:ascii="Calibri" w:hAnsi="Calibri"/>
                <w:b/>
                <w:color w:val="FFFFFF"/>
                <w:sz w:val="18"/>
              </w:rPr>
              <w:t>x-axis vs y-axis</w:t>
            </w:r>
          </w:p>
        </w:tc>
        <w:tc>
          <w:tcPr>
            <w:tcW w:type="dxa" w:w="3024"/>
            <w:shd w:val="clear" w:color="auto" w:fill="1F4E79"/>
          </w:tcPr>
          <w:p>
            <w:r/>
            <w:r>
              <w:rPr>
                <w:rFonts w:ascii="Calibri" w:hAnsi="Calibri"/>
                <w:b/>
                <w:color w:val="FFFFFF"/>
                <w:sz w:val="18"/>
              </w:rPr>
              <w:t>Purpose</w:t>
            </w:r>
          </w:p>
        </w:tc>
      </w:tr>
      <w:tr>
        <w:tc>
          <w:tcPr>
            <w:tcW w:type="dxa" w:w="2592"/>
          </w:tcPr>
          <w:p>
            <w:r/>
            <w:r>
              <w:rPr>
                <w:rFonts w:ascii="Calibri" w:hAnsi="Calibri"/>
                <w:sz w:val="18"/>
              </w:rPr>
              <w:t>Centerline dilution curve</w:t>
            </w:r>
          </w:p>
        </w:tc>
        <w:tc>
          <w:tcPr>
            <w:tcW w:type="dxa" w:w="3312"/>
          </w:tcPr>
          <w:p>
            <w:r/>
            <w:r>
              <w:rPr>
                <w:rFonts w:ascii="Calibri" w:hAnsi="Calibri"/>
                <w:sz w:val="18"/>
              </w:rPr>
              <w:t>distance along plume vs dilution 𝒟</w:t>
            </w:r>
          </w:p>
        </w:tc>
        <w:tc>
          <w:tcPr>
            <w:tcW w:type="dxa" w:w="3024"/>
          </w:tcPr>
          <w:p>
            <w:r/>
            <w:r>
              <w:rPr>
                <w:rFonts w:ascii="Calibri" w:hAnsi="Calibri"/>
                <w:sz w:val="18"/>
              </w:rPr>
              <w:t>core design curve</w:t>
            </w:r>
          </w:p>
        </w:tc>
      </w:tr>
      <w:tr>
        <w:tc>
          <w:tcPr>
            <w:tcW w:type="dxa" w:w="2592"/>
          </w:tcPr>
          <w:p>
            <w:r/>
            <w:r>
              <w:rPr>
                <w:rFonts w:ascii="Calibri" w:hAnsi="Calibri"/>
                <w:sz w:val="18"/>
              </w:rPr>
              <w:t>Salinity decay curve</w:t>
            </w:r>
          </w:p>
        </w:tc>
        <w:tc>
          <w:tcPr>
            <w:tcW w:type="dxa" w:w="3312"/>
          </w:tcPr>
          <w:p>
            <w:r/>
            <w:r>
              <w:rPr>
                <w:rFonts w:ascii="Calibri" w:hAnsi="Calibri"/>
                <w:sz w:val="18"/>
              </w:rPr>
              <w:t>distance from outfall vs S (or ΔS)</w:t>
            </w:r>
          </w:p>
        </w:tc>
        <w:tc>
          <w:tcPr>
            <w:tcW w:type="dxa" w:w="3024"/>
          </w:tcPr>
          <w:p>
            <w:r/>
            <w:r>
              <w:rPr>
                <w:rFonts w:ascii="Calibri" w:hAnsi="Calibri"/>
                <w:sz w:val="18"/>
              </w:rPr>
              <w:t>how fast brine dilutes</w:t>
            </w:r>
          </w:p>
        </w:tc>
      </w:tr>
      <w:tr>
        <w:tc>
          <w:tcPr>
            <w:tcW w:type="dxa" w:w="2592"/>
          </w:tcPr>
          <w:p>
            <w:r/>
            <w:r>
              <w:rPr>
                <w:rFonts w:ascii="Calibri" w:hAnsi="Calibri"/>
                <w:sz w:val="18"/>
              </w:rPr>
              <w:t>Plume trajectory curve</w:t>
            </w:r>
          </w:p>
        </w:tc>
        <w:tc>
          <w:tcPr>
            <w:tcW w:type="dxa" w:w="3312"/>
          </w:tcPr>
          <w:p>
            <w:r/>
            <w:r>
              <w:rPr>
                <w:rFonts w:ascii="Calibri" w:hAnsi="Calibri"/>
                <w:sz w:val="18"/>
              </w:rPr>
              <w:t>horizontal x vs vertical z of centerline</w:t>
            </w:r>
          </w:p>
        </w:tc>
        <w:tc>
          <w:tcPr>
            <w:tcW w:type="dxa" w:w="3024"/>
          </w:tcPr>
          <w:p>
            <w:r/>
            <w:r>
              <w:rPr>
                <w:rFonts w:ascii="Calibri" w:hAnsi="Calibri"/>
                <w:sz w:val="18"/>
              </w:rPr>
              <w:t>rise &amp; fall path</w:t>
            </w:r>
          </w:p>
        </w:tc>
      </w:tr>
      <w:tr>
        <w:tc>
          <w:tcPr>
            <w:tcW w:type="dxa" w:w="2592"/>
          </w:tcPr>
          <w:p>
            <w:r/>
            <w:r>
              <w:rPr>
                <w:rFonts w:ascii="Calibri" w:hAnsi="Calibri"/>
                <w:sz w:val="18"/>
              </w:rPr>
              <w:t>Vertical salinity profile</w:t>
            </w:r>
          </w:p>
        </w:tc>
        <w:tc>
          <w:tcPr>
            <w:tcW w:type="dxa" w:w="3312"/>
          </w:tcPr>
          <w:p>
            <w:r/>
            <w:r>
              <w:rPr>
                <w:rFonts w:ascii="Calibri" w:hAnsi="Calibri"/>
                <w:sz w:val="18"/>
              </w:rPr>
              <w:t>S vs depth z at a station</w:t>
            </w:r>
          </w:p>
        </w:tc>
        <w:tc>
          <w:tcPr>
            <w:tcW w:type="dxa" w:w="3024"/>
          </w:tcPr>
          <w:p>
            <w:r/>
            <w:r>
              <w:rPr>
                <w:rFonts w:ascii="Calibri" w:hAnsi="Calibri"/>
                <w:sz w:val="18"/>
              </w:rPr>
              <w:t>stratification of impact</w:t>
            </w:r>
          </w:p>
        </w:tc>
      </w:tr>
      <w:tr>
        <w:tc>
          <w:tcPr>
            <w:tcW w:type="dxa" w:w="2592"/>
          </w:tcPr>
          <w:p>
            <w:r/>
            <w:r>
              <w:rPr>
                <w:rFonts w:ascii="Calibri" w:hAnsi="Calibri"/>
                <w:sz w:val="18"/>
              </w:rPr>
              <w:t>Vertical density / T profiles</w:t>
            </w:r>
          </w:p>
        </w:tc>
        <w:tc>
          <w:tcPr>
            <w:tcW w:type="dxa" w:w="3312"/>
          </w:tcPr>
          <w:p>
            <w:r/>
            <w:r>
              <w:rPr>
                <w:rFonts w:ascii="Calibri" w:hAnsi="Calibri"/>
                <w:sz w:val="18"/>
              </w:rPr>
              <w:t>ρ, T vs depth</w:t>
            </w:r>
          </w:p>
        </w:tc>
        <w:tc>
          <w:tcPr>
            <w:tcW w:type="dxa" w:w="3024"/>
          </w:tcPr>
          <w:p>
            <w:r/>
            <w:r>
              <w:rPr>
                <w:rFonts w:ascii="Calibri" w:hAnsi="Calibri"/>
                <w:sz w:val="18"/>
              </w:rPr>
              <w:t>ambient &amp; plume structure</w:t>
            </w:r>
          </w:p>
        </w:tc>
      </w:tr>
      <w:tr>
        <w:tc>
          <w:tcPr>
            <w:tcW w:type="dxa" w:w="2592"/>
          </w:tcPr>
          <w:p>
            <w:r/>
            <w:r>
              <w:rPr>
                <w:rFonts w:ascii="Calibri" w:hAnsi="Calibri"/>
                <w:sz w:val="18"/>
              </w:rPr>
              <w:t>Velocity profile</w:t>
            </w:r>
          </w:p>
        </w:tc>
        <w:tc>
          <w:tcPr>
            <w:tcW w:type="dxa" w:w="3312"/>
          </w:tcPr>
          <w:p>
            <w:r/>
            <w:r>
              <w:rPr>
                <w:rFonts w:ascii="Calibri" w:hAnsi="Calibri"/>
                <w:sz w:val="18"/>
              </w:rPr>
              <w:t>speed vs depth (boundary layer)</w:t>
            </w:r>
          </w:p>
        </w:tc>
        <w:tc>
          <w:tcPr>
            <w:tcW w:type="dxa" w:w="3024"/>
          </w:tcPr>
          <w:p>
            <w:r/>
            <w:r>
              <w:rPr>
                <w:rFonts w:ascii="Calibri" w:hAnsi="Calibri"/>
                <w:sz w:val="18"/>
              </w:rPr>
              <w:t>current shear</w:t>
            </w:r>
          </w:p>
        </w:tc>
      </w:tr>
      <w:tr>
        <w:tc>
          <w:tcPr>
            <w:tcW w:type="dxa" w:w="2592"/>
          </w:tcPr>
          <w:p>
            <w:r/>
            <w:r>
              <w:rPr>
                <w:rFonts w:ascii="Calibri" w:hAnsi="Calibri"/>
                <w:sz w:val="18"/>
              </w:rPr>
              <w:t>Concentration–distance decay</w:t>
            </w:r>
          </w:p>
        </w:tc>
        <w:tc>
          <w:tcPr>
            <w:tcW w:type="dxa" w:w="3312"/>
          </w:tcPr>
          <w:p>
            <w:r/>
            <w:r>
              <w:rPr>
                <w:rFonts w:ascii="Calibri" w:hAnsi="Calibri"/>
                <w:sz w:val="18"/>
              </w:rPr>
              <w:t>log S vs log r (power-law fit)</w:t>
            </w:r>
          </w:p>
        </w:tc>
        <w:tc>
          <w:tcPr>
            <w:tcW w:type="dxa" w:w="3024"/>
          </w:tcPr>
          <w:p>
            <w:r/>
            <w:r>
              <w:rPr>
                <w:rFonts w:ascii="Calibri" w:hAnsi="Calibri"/>
                <w:sz w:val="18"/>
              </w:rPr>
              <w:t>scaling-law extraction</w:t>
            </w:r>
          </w:p>
        </w:tc>
      </w:tr>
      <w:tr>
        <w:tc>
          <w:tcPr>
            <w:tcW w:type="dxa" w:w="2592"/>
          </w:tcPr>
          <w:p>
            <w:r/>
            <w:r>
              <w:rPr>
                <w:rFonts w:ascii="Calibri" w:hAnsi="Calibri"/>
                <w:sz w:val="18"/>
              </w:rPr>
              <w:t>Footprint-vs-time curve</w:t>
            </w:r>
          </w:p>
        </w:tc>
        <w:tc>
          <w:tcPr>
            <w:tcW w:type="dxa" w:w="3312"/>
          </w:tcPr>
          <w:p>
            <w:r/>
            <w:r>
              <w:rPr>
                <w:rFonts w:ascii="Calibri" w:hAnsi="Calibri"/>
                <w:sz w:val="18"/>
              </w:rPr>
              <w:t>time vs affected area 𝒜</w:t>
            </w:r>
          </w:p>
        </w:tc>
        <w:tc>
          <w:tcPr>
            <w:tcW w:type="dxa" w:w="3024"/>
          </w:tcPr>
          <w:p>
            <w:r/>
            <w:r>
              <w:rPr>
                <w:rFonts w:ascii="Calibri" w:hAnsi="Calibri"/>
                <w:sz w:val="18"/>
              </w:rPr>
              <w:t>growth of impact</w:t>
            </w:r>
          </w:p>
        </w:tc>
      </w:tr>
      <w:tr>
        <w:tc>
          <w:tcPr>
            <w:tcW w:type="dxa" w:w="2592"/>
          </w:tcPr>
          <w:p>
            <w:r/>
            <w:r>
              <w:rPr>
                <w:rFonts w:ascii="Calibri" w:hAnsi="Calibri"/>
                <w:sz w:val="18"/>
              </w:rPr>
              <w:t>r_max &amp; z_max vs time</w:t>
            </w:r>
          </w:p>
        </w:tc>
        <w:tc>
          <w:tcPr>
            <w:tcW w:type="dxa" w:w="3312"/>
          </w:tcPr>
          <w:p>
            <w:r/>
            <w:r>
              <w:rPr>
                <w:rFonts w:ascii="Calibri" w:hAnsi="Calibri"/>
                <w:sz w:val="18"/>
              </w:rPr>
              <w:t>time vs reach / depth</w:t>
            </w:r>
          </w:p>
        </w:tc>
        <w:tc>
          <w:tcPr>
            <w:tcW w:type="dxa" w:w="3024"/>
          </w:tcPr>
          <w:p>
            <w:r/>
            <w:r>
              <w:rPr>
                <w:rFonts w:ascii="Calibri" w:hAnsi="Calibri"/>
                <w:sz w:val="18"/>
              </w:rPr>
              <w:t>envelope of impact</w:t>
            </w:r>
          </w:p>
        </w:tc>
      </w:tr>
      <w:tr>
        <w:tc>
          <w:tcPr>
            <w:tcW w:type="dxa" w:w="2592"/>
          </w:tcPr>
          <w:p>
            <w:r/>
            <w:r>
              <w:rPr>
                <w:rFonts w:ascii="Calibri" w:hAnsi="Calibri"/>
                <w:sz w:val="18"/>
              </w:rPr>
              <w:t>Dilution vs Froude number</w:t>
            </w:r>
          </w:p>
        </w:tc>
        <w:tc>
          <w:tcPr>
            <w:tcW w:type="dxa" w:w="3312"/>
          </w:tcPr>
          <w:p>
            <w:r/>
            <w:r>
              <w:rPr>
                <w:rFonts w:ascii="Calibri" w:hAnsi="Calibri"/>
                <w:sz w:val="18"/>
              </w:rPr>
              <w:t>Fr_d vs 𝒟</w:t>
            </w:r>
          </w:p>
        </w:tc>
        <w:tc>
          <w:tcPr>
            <w:tcW w:type="dxa" w:w="3024"/>
          </w:tcPr>
          <w:p>
            <w:r/>
            <w:r>
              <w:rPr>
                <w:rFonts w:ascii="Calibri" w:hAnsi="Calibri"/>
                <w:sz w:val="18"/>
              </w:rPr>
              <w:t>design sensitivity</w:t>
            </w:r>
          </w:p>
        </w:tc>
      </w:tr>
      <w:tr>
        <w:tc>
          <w:tcPr>
            <w:tcW w:type="dxa" w:w="2592"/>
          </w:tcPr>
          <w:p>
            <w:r/>
            <w:r>
              <w:rPr>
                <w:rFonts w:ascii="Calibri" w:hAnsi="Calibri"/>
                <w:sz w:val="18"/>
              </w:rPr>
              <w:t>Dilution vs nozzle angle</w:t>
            </w:r>
          </w:p>
        </w:tc>
        <w:tc>
          <w:tcPr>
            <w:tcW w:type="dxa" w:w="3312"/>
          </w:tcPr>
          <w:p>
            <w:r/>
            <w:r>
              <w:rPr>
                <w:rFonts w:ascii="Calibri" w:hAnsi="Calibri"/>
                <w:sz w:val="18"/>
              </w:rPr>
              <w:t>θ vs 𝒟_impact</w:t>
            </w:r>
          </w:p>
        </w:tc>
        <w:tc>
          <w:tcPr>
            <w:tcW w:type="dxa" w:w="3024"/>
          </w:tcPr>
          <w:p>
            <w:r/>
            <w:r>
              <w:rPr>
                <w:rFonts w:ascii="Calibri" w:hAnsi="Calibri"/>
                <w:sz w:val="18"/>
              </w:rPr>
              <w:t>diffuser-angle optimisation</w:t>
            </w:r>
          </w:p>
        </w:tc>
      </w:tr>
      <w:tr>
        <w:tc>
          <w:tcPr>
            <w:tcW w:type="dxa" w:w="2592"/>
          </w:tcPr>
          <w:p>
            <w:r/>
            <w:r>
              <w:rPr>
                <w:rFonts w:ascii="Calibri" w:hAnsi="Calibri"/>
                <w:sz w:val="18"/>
              </w:rPr>
              <w:t>Dilution vs current speed</w:t>
            </w:r>
          </w:p>
        </w:tc>
        <w:tc>
          <w:tcPr>
            <w:tcW w:type="dxa" w:w="3312"/>
          </w:tcPr>
          <w:p>
            <w:r/>
            <w:r>
              <w:rPr>
                <w:rFonts w:ascii="Calibri" w:hAnsi="Calibri"/>
                <w:sz w:val="18"/>
              </w:rPr>
              <w:t>|U| vs 𝒟</w:t>
            </w:r>
          </w:p>
        </w:tc>
        <w:tc>
          <w:tcPr>
            <w:tcW w:type="dxa" w:w="3024"/>
          </w:tcPr>
          <w:p>
            <w:r/>
            <w:r>
              <w:rPr>
                <w:rFonts w:ascii="Calibri" w:hAnsi="Calibri"/>
                <w:sz w:val="18"/>
              </w:rPr>
              <w:t>effect of ambient currents</w:t>
            </w:r>
          </w:p>
        </w:tc>
      </w:tr>
      <w:tr>
        <w:tc>
          <w:tcPr>
            <w:tcW w:type="dxa" w:w="2592"/>
          </w:tcPr>
          <w:p>
            <w:r/>
            <w:r>
              <w:rPr>
                <w:rFonts w:ascii="Calibri" w:hAnsi="Calibri"/>
                <w:sz w:val="18"/>
              </w:rPr>
              <w:t>Salinity vs tidal phase</w:t>
            </w:r>
          </w:p>
        </w:tc>
        <w:tc>
          <w:tcPr>
            <w:tcW w:type="dxa" w:w="3312"/>
          </w:tcPr>
          <w:p>
            <w:r/>
            <w:r>
              <w:rPr>
                <w:rFonts w:ascii="Calibri" w:hAnsi="Calibri"/>
                <w:sz w:val="18"/>
              </w:rPr>
              <w:t>tidal phase vs S at receptor</w:t>
            </w:r>
          </w:p>
        </w:tc>
        <w:tc>
          <w:tcPr>
            <w:tcW w:type="dxa" w:w="3024"/>
          </w:tcPr>
          <w:p>
            <w:r/>
            <w:r>
              <w:rPr>
                <w:rFonts w:ascii="Calibri" w:hAnsi="Calibri"/>
                <w:sz w:val="18"/>
              </w:rPr>
              <w:t>tidal modulation</w:t>
            </w:r>
          </w:p>
        </w:tc>
      </w:tr>
      <w:tr>
        <w:tc>
          <w:tcPr>
            <w:tcW w:type="dxa" w:w="2592"/>
          </w:tcPr>
          <w:p>
            <w:r/>
            <w:r>
              <w:rPr>
                <w:rFonts w:ascii="Calibri" w:hAnsi="Calibri"/>
                <w:sz w:val="18"/>
              </w:rPr>
              <w:t>Cumulative exposure curve</w:t>
            </w:r>
          </w:p>
        </w:tc>
        <w:tc>
          <w:tcPr>
            <w:tcW w:type="dxa" w:w="3312"/>
          </w:tcPr>
          <w:p>
            <w:r/>
            <w:r>
              <w:rPr>
                <w:rFonts w:ascii="Calibri" w:hAnsi="Calibri"/>
                <w:sz w:val="18"/>
              </w:rPr>
              <w:t>ΔS threshold vs exposed area/volume</w:t>
            </w:r>
          </w:p>
        </w:tc>
        <w:tc>
          <w:tcPr>
            <w:tcW w:type="dxa" w:w="3024"/>
          </w:tcPr>
          <w:p>
            <w:r/>
            <w:r>
              <w:rPr>
                <w:rFonts w:ascii="Calibri" w:hAnsi="Calibri"/>
                <w:sz w:val="18"/>
              </w:rPr>
              <w:t>dose–area relationship</w:t>
            </w:r>
          </w:p>
        </w:tc>
      </w:tr>
      <w:tr>
        <w:tc>
          <w:tcPr>
            <w:tcW w:type="dxa" w:w="2592"/>
          </w:tcPr>
          <w:p>
            <w:r/>
            <w:r>
              <w:rPr>
                <w:rFonts w:ascii="Calibri" w:hAnsi="Calibri"/>
                <w:sz w:val="18"/>
              </w:rPr>
              <w:t>Power spectrum of S</w:t>
            </w:r>
          </w:p>
        </w:tc>
        <w:tc>
          <w:tcPr>
            <w:tcW w:type="dxa" w:w="3312"/>
          </w:tcPr>
          <w:p>
            <w:r/>
            <w:r>
              <w:rPr>
                <w:rFonts w:ascii="Calibri" w:hAnsi="Calibri"/>
                <w:sz w:val="18"/>
              </w:rPr>
              <w:t>frequency vs spectral energy</w:t>
            </w:r>
          </w:p>
        </w:tc>
        <w:tc>
          <w:tcPr>
            <w:tcW w:type="dxa" w:w="3024"/>
          </w:tcPr>
          <w:p>
            <w:r/>
            <w:r>
              <w:rPr>
                <w:rFonts w:ascii="Calibri" w:hAnsi="Calibri"/>
                <w:sz w:val="18"/>
              </w:rPr>
              <w:t>variability / periodicity</w:t>
            </w:r>
          </w:p>
        </w:tc>
      </w:tr>
    </w:tbl>
    <w:p>
      <w:pPr>
        <w:pStyle w:val="Heading1"/>
      </w:pPr>
      <w:r>
        <w:t>6. Tier 6 — Time Series and Animations (unsteady evolution)</w:t>
      </w:r>
    </w:p>
    <w:p>
      <w:pPr>
        <w:spacing w:after="120"/>
      </w:pPr>
      <w:r>
        <w:rPr>
          <w:rFonts w:ascii="Calibri" w:hAnsi="Calibri"/>
          <w:b w:val="0"/>
          <w:i w:val="0"/>
          <w:sz w:val="22"/>
        </w:rPr>
        <w:t>Because the model is unsteady and the sea is moving, every metric and field is also produced as a function of time.</w:t>
      </w:r>
    </w:p>
    <w:tbl>
      <w:tblPr>
        <w:tblStyle w:val="LightGrid-Accent1"/>
        <w:tblW w:type="auto" w:w="0"/>
        <w:jc w:val="center"/>
        <w:tblLook w:firstColumn="1" w:firstRow="1" w:lastColumn="0" w:lastRow="0" w:noHBand="0" w:noVBand="1" w:val="04A0"/>
      </w:tblPr>
      <w:tblGrid>
        <w:gridCol w:w="2880"/>
        <w:gridCol w:w="2880"/>
        <w:gridCol w:w="2880"/>
      </w:tblGrid>
      <w:tr>
        <w:tc>
          <w:tcPr>
            <w:tcW w:type="dxa" w:w="2592"/>
            <w:shd w:val="clear" w:color="auto" w:fill="1F4E79"/>
          </w:tcPr>
          <w:p>
            <w:r/>
            <w:r>
              <w:rPr>
                <w:rFonts w:ascii="Calibri" w:hAnsi="Calibri"/>
                <w:b/>
                <w:color w:val="FFFFFF"/>
                <w:sz w:val="18"/>
              </w:rPr>
              <w:t>Output</w:t>
            </w:r>
          </w:p>
        </w:tc>
        <w:tc>
          <w:tcPr>
            <w:tcW w:type="dxa" w:w="4608"/>
            <w:shd w:val="clear" w:color="auto" w:fill="1F4E79"/>
          </w:tcPr>
          <w:p>
            <w:r/>
            <w:r>
              <w:rPr>
                <w:rFonts w:ascii="Calibri" w:hAnsi="Calibri"/>
                <w:b/>
                <w:color w:val="FFFFFF"/>
                <w:sz w:val="18"/>
              </w:rPr>
              <w:t>Description</w:t>
            </w:r>
          </w:p>
        </w:tc>
        <w:tc>
          <w:tcPr>
            <w:tcW w:type="dxa" w:w="1728"/>
            <w:shd w:val="clear" w:color="auto" w:fill="1F4E79"/>
          </w:tcPr>
          <w:p>
            <w:r/>
            <w:r>
              <w:rPr>
                <w:rFonts w:ascii="Calibri" w:hAnsi="Calibri"/>
                <w:b/>
                <w:color w:val="FFFFFF"/>
                <w:sz w:val="18"/>
              </w:rPr>
              <w:t>Format</w:t>
            </w:r>
          </w:p>
        </w:tc>
      </w:tr>
      <w:tr>
        <w:tc>
          <w:tcPr>
            <w:tcW w:type="dxa" w:w="2592"/>
          </w:tcPr>
          <w:p>
            <w:r/>
            <w:r>
              <w:rPr>
                <w:rFonts w:ascii="Calibri" w:hAnsi="Calibri"/>
                <w:sz w:val="18"/>
              </w:rPr>
              <w:t>S(t) at monitoring stations</w:t>
            </w:r>
          </w:p>
        </w:tc>
        <w:tc>
          <w:tcPr>
            <w:tcW w:type="dxa" w:w="4608"/>
          </w:tcPr>
          <w:p>
            <w:r/>
            <w:r>
              <w:rPr>
                <w:rFonts w:ascii="Calibri" w:hAnsi="Calibri"/>
                <w:sz w:val="18"/>
              </w:rPr>
              <w:t>Salinity time series at user-placed receptors / CTD points</w:t>
            </w:r>
          </w:p>
        </w:tc>
        <w:tc>
          <w:tcPr>
            <w:tcW w:type="dxa" w:w="1728"/>
          </w:tcPr>
          <w:p>
            <w:r/>
            <w:r>
              <w:rPr>
                <w:rFonts w:ascii="Calibri" w:hAnsi="Calibri"/>
                <w:sz w:val="18"/>
              </w:rPr>
              <w:t>line series</w:t>
            </w:r>
          </w:p>
        </w:tc>
      </w:tr>
      <w:tr>
        <w:tc>
          <w:tcPr>
            <w:tcW w:type="dxa" w:w="2592"/>
          </w:tcPr>
          <w:p>
            <w:r/>
            <w:r>
              <w:rPr>
                <w:rFonts w:ascii="Calibri" w:hAnsi="Calibri"/>
                <w:sz w:val="18"/>
              </w:rPr>
              <w:t>Tidal-cycle evolution</w:t>
            </w:r>
          </w:p>
        </w:tc>
        <w:tc>
          <w:tcPr>
            <w:tcW w:type="dxa" w:w="4608"/>
          </w:tcPr>
          <w:p>
            <w:r/>
            <w:r>
              <w:rPr>
                <w:rFonts w:ascii="Calibri" w:hAnsi="Calibri"/>
                <w:sz w:val="18"/>
              </w:rPr>
              <w:t>Field snapshots through flood–ebb cycle</w:t>
            </w:r>
          </w:p>
        </w:tc>
        <w:tc>
          <w:tcPr>
            <w:tcW w:type="dxa" w:w="1728"/>
          </w:tcPr>
          <w:p>
            <w:r/>
            <w:r>
              <w:rPr>
                <w:rFonts w:ascii="Calibri" w:hAnsi="Calibri"/>
                <w:sz w:val="18"/>
              </w:rPr>
              <w:t>frame set / animation</w:t>
            </w:r>
          </w:p>
        </w:tc>
      </w:tr>
      <w:tr>
        <w:tc>
          <w:tcPr>
            <w:tcW w:type="dxa" w:w="2592"/>
          </w:tcPr>
          <w:p>
            <w:r/>
            <w:r>
              <w:rPr>
                <w:rFonts w:ascii="Calibri" w:hAnsi="Calibri"/>
                <w:sz w:val="18"/>
              </w:rPr>
              <w:t>Storm / event response</w:t>
            </w:r>
          </w:p>
        </w:tc>
        <w:tc>
          <w:tcPr>
            <w:tcW w:type="dxa" w:w="4608"/>
          </w:tcPr>
          <w:p>
            <w:r/>
            <w:r>
              <w:rPr>
                <w:rFonts w:ascii="Calibri" w:hAnsi="Calibri"/>
                <w:sz w:val="18"/>
              </w:rPr>
              <w:t>Plume response to a wind or current event</w:t>
            </w:r>
          </w:p>
        </w:tc>
        <w:tc>
          <w:tcPr>
            <w:tcW w:type="dxa" w:w="1728"/>
          </w:tcPr>
          <w:p>
            <w:r/>
            <w:r>
              <w:rPr>
                <w:rFonts w:ascii="Calibri" w:hAnsi="Calibri"/>
                <w:sz w:val="18"/>
              </w:rPr>
              <w:t>animation</w:t>
            </w:r>
          </w:p>
        </w:tc>
      </w:tr>
      <w:tr>
        <w:tc>
          <w:tcPr>
            <w:tcW w:type="dxa" w:w="2592"/>
          </w:tcPr>
          <w:p>
            <w:r/>
            <w:r>
              <w:rPr>
                <w:rFonts w:ascii="Calibri" w:hAnsi="Calibri"/>
                <w:sz w:val="18"/>
              </w:rPr>
              <w:t>Plume-spread animation</w:t>
            </w:r>
          </w:p>
        </w:tc>
        <w:tc>
          <w:tcPr>
            <w:tcW w:type="dxa" w:w="4608"/>
          </w:tcPr>
          <w:p>
            <w:r/>
            <w:r>
              <w:rPr>
                <w:rFonts w:ascii="Calibri" w:hAnsi="Calibri"/>
                <w:sz w:val="18"/>
              </w:rPr>
              <w:t>Time-lapse of the salinity footprint growing</w:t>
            </w:r>
          </w:p>
        </w:tc>
        <w:tc>
          <w:tcPr>
            <w:tcW w:type="dxa" w:w="1728"/>
          </w:tcPr>
          <w:p>
            <w:r/>
            <w:r>
              <w:rPr>
                <w:rFonts w:ascii="Calibri" w:hAnsi="Calibri"/>
                <w:sz w:val="18"/>
              </w:rPr>
              <w:t>MP4 / GIF</w:t>
            </w:r>
          </w:p>
        </w:tc>
      </w:tr>
      <w:tr>
        <w:tc>
          <w:tcPr>
            <w:tcW w:type="dxa" w:w="2592"/>
          </w:tcPr>
          <w:p>
            <w:r/>
            <w:r>
              <w:rPr>
                <w:rFonts w:ascii="Calibri" w:hAnsi="Calibri"/>
                <w:sz w:val="18"/>
              </w:rPr>
              <w:t>3-D plume animation</w:t>
            </w:r>
          </w:p>
        </w:tc>
        <w:tc>
          <w:tcPr>
            <w:tcW w:type="dxa" w:w="4608"/>
          </w:tcPr>
          <w:p>
            <w:r/>
            <w:r>
              <w:rPr>
                <w:rFonts w:ascii="Calibri" w:hAnsi="Calibri"/>
                <w:sz w:val="18"/>
              </w:rPr>
              <w:t>Rotating iso-surface evolving in time</w:t>
            </w:r>
          </w:p>
        </w:tc>
        <w:tc>
          <w:tcPr>
            <w:tcW w:type="dxa" w:w="1728"/>
          </w:tcPr>
          <w:p>
            <w:r/>
            <w:r>
              <w:rPr>
                <w:rFonts w:ascii="Calibri" w:hAnsi="Calibri"/>
                <w:sz w:val="18"/>
              </w:rPr>
              <w:t>MP4</w:t>
            </w:r>
          </w:p>
        </w:tc>
      </w:tr>
      <w:tr>
        <w:tc>
          <w:tcPr>
            <w:tcW w:type="dxa" w:w="2592"/>
          </w:tcPr>
          <w:p>
            <w:r/>
            <w:r>
              <w:rPr>
                <w:rFonts w:ascii="Calibri" w:hAnsi="Calibri"/>
                <w:sz w:val="18"/>
              </w:rPr>
              <w:t>Metric time histories</w:t>
            </w:r>
          </w:p>
        </w:tc>
        <w:tc>
          <w:tcPr>
            <w:tcW w:type="dxa" w:w="4608"/>
          </w:tcPr>
          <w:p>
            <w:r/>
            <w:r>
              <w:rPr>
                <w:rFonts w:ascii="Calibri" w:hAnsi="Calibri"/>
                <w:sz w:val="18"/>
              </w:rPr>
              <w:t>r_max(t), z_max(t), 𝒜(t), 𝒟_min(t)</w:t>
            </w:r>
          </w:p>
        </w:tc>
        <w:tc>
          <w:tcPr>
            <w:tcW w:type="dxa" w:w="1728"/>
          </w:tcPr>
          <w:p>
            <w:r/>
            <w:r>
              <w:rPr>
                <w:rFonts w:ascii="Calibri" w:hAnsi="Calibri"/>
                <w:sz w:val="18"/>
              </w:rPr>
              <w:t>multi-line plot</w:t>
            </w:r>
          </w:p>
        </w:tc>
      </w:tr>
      <w:tr>
        <w:tc>
          <w:tcPr>
            <w:tcW w:type="dxa" w:w="2592"/>
          </w:tcPr>
          <w:p>
            <w:r/>
            <w:r>
              <w:rPr>
                <w:rFonts w:ascii="Calibri" w:hAnsi="Calibri"/>
                <w:sz w:val="18"/>
              </w:rPr>
              <w:t>Startup / shutdown transient</w:t>
            </w:r>
          </w:p>
        </w:tc>
        <w:tc>
          <w:tcPr>
            <w:tcW w:type="dxa" w:w="4608"/>
          </w:tcPr>
          <w:p>
            <w:r/>
            <w:r>
              <w:rPr>
                <w:rFonts w:ascii="Calibri" w:hAnsi="Calibri"/>
                <w:sz w:val="18"/>
              </w:rPr>
              <w:t>Response to discharge turning on/off</w:t>
            </w:r>
          </w:p>
        </w:tc>
        <w:tc>
          <w:tcPr>
            <w:tcW w:type="dxa" w:w="1728"/>
          </w:tcPr>
          <w:p>
            <w:r/>
            <w:r>
              <w:rPr>
                <w:rFonts w:ascii="Calibri" w:hAnsi="Calibri"/>
                <w:sz w:val="18"/>
              </w:rPr>
              <w:t>line series</w:t>
            </w:r>
          </w:p>
        </w:tc>
      </w:tr>
      <w:tr>
        <w:tc>
          <w:tcPr>
            <w:tcW w:type="dxa" w:w="2592"/>
          </w:tcPr>
          <w:p>
            <w:r/>
            <w:r>
              <w:rPr>
                <w:rFonts w:ascii="Calibri" w:hAnsi="Calibri"/>
                <w:sz w:val="18"/>
              </w:rPr>
              <w:t>Spin-up convergence</w:t>
            </w:r>
          </w:p>
        </w:tc>
        <w:tc>
          <w:tcPr>
            <w:tcW w:type="dxa" w:w="4608"/>
          </w:tcPr>
          <w:p>
            <w:r/>
            <w:r>
              <w:rPr>
                <w:rFonts w:ascii="Calibri" w:hAnsi="Calibri"/>
                <w:sz w:val="18"/>
              </w:rPr>
              <w:t>Field statistics approaching quasi-steady state</w:t>
            </w:r>
          </w:p>
        </w:tc>
        <w:tc>
          <w:tcPr>
            <w:tcW w:type="dxa" w:w="1728"/>
          </w:tcPr>
          <w:p>
            <w:r/>
            <w:r>
              <w:rPr>
                <w:rFonts w:ascii="Calibri" w:hAnsi="Calibri"/>
                <w:sz w:val="18"/>
              </w:rPr>
              <w:t>line series</w:t>
            </w:r>
          </w:p>
        </w:tc>
      </w:tr>
    </w:tbl>
    <w:p>
      <w:r>
        <w:br w:type="page"/>
      </w:r>
    </w:p>
    <w:p>
      <w:pPr>
        <w:pStyle w:val="Heading1"/>
      </w:pPr>
      <w:r>
        <w:t>7. Tier 7 — Statistical &amp; Uncertainty Products (from the SPDE ensemble)</w:t>
      </w:r>
    </w:p>
    <w:p>
      <w:pPr>
        <w:spacing w:after="120"/>
      </w:pPr>
      <w:r>
        <w:rPr>
          <w:rFonts w:ascii="Calibri" w:hAnsi="Calibri"/>
          <w:b w:val="0"/>
          <w:i w:val="0"/>
          <w:sz w:val="22"/>
        </w:rPr>
        <w:t>Because NEREID-B is a stochastic PDE forced by the unpredictable sea, wind and turbulence, it runs as a Monte-Carlo ensemble and returns probability distributions, not just single values. These products are a distinguishing output of the model.</w:t>
      </w:r>
    </w:p>
    <w:tbl>
      <w:tblPr>
        <w:tblStyle w:val="LightGrid-Accent1"/>
        <w:tblW w:type="auto" w:w="0"/>
        <w:jc w:val="center"/>
        <w:tblLook w:firstColumn="1" w:firstRow="1" w:lastColumn="0" w:lastRow="0" w:noHBand="0" w:noVBand="1" w:val="04A0"/>
      </w:tblPr>
      <w:tblGrid>
        <w:gridCol w:w="2880"/>
        <w:gridCol w:w="2880"/>
        <w:gridCol w:w="2880"/>
      </w:tblGrid>
      <w:tr>
        <w:tc>
          <w:tcPr>
            <w:tcW w:type="dxa" w:w="2304"/>
            <w:shd w:val="clear" w:color="auto" w:fill="1F4E79"/>
          </w:tcPr>
          <w:p>
            <w:r/>
            <w:r>
              <w:rPr>
                <w:rFonts w:ascii="Calibri" w:hAnsi="Calibri"/>
                <w:b/>
                <w:color w:val="FFFFFF"/>
                <w:sz w:val="18"/>
              </w:rPr>
              <w:t>Output</w:t>
            </w:r>
          </w:p>
        </w:tc>
        <w:tc>
          <w:tcPr>
            <w:tcW w:type="dxa" w:w="4752"/>
            <w:shd w:val="clear" w:color="auto" w:fill="1F4E79"/>
          </w:tcPr>
          <w:p>
            <w:r/>
            <w:r>
              <w:rPr>
                <w:rFonts w:ascii="Calibri" w:hAnsi="Calibri"/>
                <w:b/>
                <w:color w:val="FFFFFF"/>
                <w:sz w:val="18"/>
              </w:rPr>
              <w:t>Description</w:t>
            </w:r>
          </w:p>
        </w:tc>
        <w:tc>
          <w:tcPr>
            <w:tcW w:type="dxa" w:w="1872"/>
            <w:shd w:val="clear" w:color="auto" w:fill="1F4E79"/>
          </w:tcPr>
          <w:p>
            <w:r/>
            <w:r>
              <w:rPr>
                <w:rFonts w:ascii="Calibri" w:hAnsi="Calibri"/>
                <w:b/>
                <w:color w:val="FFFFFF"/>
                <w:sz w:val="18"/>
              </w:rPr>
              <w:t>Type</w:t>
            </w:r>
          </w:p>
        </w:tc>
      </w:tr>
      <w:tr>
        <w:tc>
          <w:tcPr>
            <w:tcW w:type="dxa" w:w="2304"/>
          </w:tcPr>
          <w:p>
            <w:r/>
            <w:r>
              <w:rPr>
                <w:rFonts w:ascii="Cambria Math" w:hAnsi="Cambria Math"/>
                <w:sz w:val="18"/>
              </w:rPr>
              <w:t>⟨S⟩(x,t)</w:t>
            </w:r>
          </w:p>
        </w:tc>
        <w:tc>
          <w:tcPr>
            <w:tcW w:type="dxa" w:w="4752"/>
          </w:tcPr>
          <w:p>
            <w:r/>
            <w:r>
              <w:rPr>
                <w:rFonts w:ascii="Calibri" w:hAnsi="Calibri"/>
                <w:sz w:val="18"/>
              </w:rPr>
              <w:t>Ensemble-mean salinity field</w:t>
            </w:r>
          </w:p>
        </w:tc>
        <w:tc>
          <w:tcPr>
            <w:tcW w:type="dxa" w:w="1872"/>
          </w:tcPr>
          <w:p>
            <w:r/>
            <w:r>
              <w:rPr>
                <w:rFonts w:ascii="Calibri" w:hAnsi="Calibri"/>
                <w:sz w:val="18"/>
              </w:rPr>
              <w:t>4-D field</w:t>
            </w:r>
          </w:p>
        </w:tc>
      </w:tr>
      <w:tr>
        <w:tc>
          <w:tcPr>
            <w:tcW w:type="dxa" w:w="2304"/>
          </w:tcPr>
          <w:p>
            <w:r/>
            <w:r>
              <w:rPr>
                <w:rFonts w:ascii="Cambria Math" w:hAnsi="Cambria Math"/>
                <w:sz w:val="18"/>
              </w:rPr>
              <w:t>σ_S(x,t)</w:t>
            </w:r>
          </w:p>
        </w:tc>
        <w:tc>
          <w:tcPr>
            <w:tcW w:type="dxa" w:w="4752"/>
          </w:tcPr>
          <w:p>
            <w:r/>
            <w:r>
              <w:rPr>
                <w:rFonts w:ascii="Calibri" w:hAnsi="Calibri"/>
                <w:sz w:val="18"/>
              </w:rPr>
              <w:t>Salinity standard-deviation (spread) field</w:t>
            </w:r>
          </w:p>
        </w:tc>
        <w:tc>
          <w:tcPr>
            <w:tcW w:type="dxa" w:w="1872"/>
          </w:tcPr>
          <w:p>
            <w:r/>
            <w:r>
              <w:rPr>
                <w:rFonts w:ascii="Calibri" w:hAnsi="Calibri"/>
                <w:sz w:val="18"/>
              </w:rPr>
              <w:t>4-D field</w:t>
            </w:r>
          </w:p>
        </w:tc>
      </w:tr>
      <w:tr>
        <w:tc>
          <w:tcPr>
            <w:tcW w:type="dxa" w:w="2304"/>
          </w:tcPr>
          <w:p>
            <w:r/>
            <w:r>
              <w:rPr>
                <w:rFonts w:ascii="Cambria Math" w:hAnsi="Cambria Math"/>
                <w:sz w:val="18"/>
              </w:rPr>
              <w:t>P[S(x,t)]</w:t>
            </w:r>
          </w:p>
        </w:tc>
        <w:tc>
          <w:tcPr>
            <w:tcW w:type="dxa" w:w="4752"/>
          </w:tcPr>
          <w:p>
            <w:r/>
            <w:r>
              <w:rPr>
                <w:rFonts w:ascii="Calibri" w:hAnsi="Calibri"/>
                <w:sz w:val="18"/>
              </w:rPr>
              <w:t>Full probability density of salinity at each point</w:t>
            </w:r>
          </w:p>
        </w:tc>
        <w:tc>
          <w:tcPr>
            <w:tcW w:type="dxa" w:w="1872"/>
          </w:tcPr>
          <w:p>
            <w:r/>
            <w:r>
              <w:rPr>
                <w:rFonts w:ascii="Calibri" w:hAnsi="Calibri"/>
                <w:sz w:val="18"/>
              </w:rPr>
              <w:t>PDF field</w:t>
            </w:r>
          </w:p>
        </w:tc>
      </w:tr>
      <w:tr>
        <w:tc>
          <w:tcPr>
            <w:tcW w:type="dxa" w:w="2304"/>
          </w:tcPr>
          <w:p>
            <w:r/>
            <w:r>
              <w:rPr>
                <w:rFonts w:ascii="Cambria Math" w:hAnsi="Cambria Math"/>
                <w:sz w:val="18"/>
              </w:rPr>
              <w:t>Percentile fields</w:t>
            </w:r>
          </w:p>
        </w:tc>
        <w:tc>
          <w:tcPr>
            <w:tcW w:type="dxa" w:w="4752"/>
          </w:tcPr>
          <w:p>
            <w:r/>
            <w:r>
              <w:rPr>
                <w:rFonts w:ascii="Calibri" w:hAnsi="Calibri"/>
                <w:sz w:val="18"/>
              </w:rPr>
              <w:t>5th / 50th / 95th percentile salinity fields</w:t>
            </w:r>
          </w:p>
        </w:tc>
        <w:tc>
          <w:tcPr>
            <w:tcW w:type="dxa" w:w="1872"/>
          </w:tcPr>
          <w:p>
            <w:r/>
            <w:r>
              <w:rPr>
                <w:rFonts w:ascii="Calibri" w:hAnsi="Calibri"/>
                <w:sz w:val="18"/>
              </w:rPr>
              <w:t>4-D fields</w:t>
            </w:r>
          </w:p>
        </w:tc>
      </w:tr>
      <w:tr>
        <w:tc>
          <w:tcPr>
            <w:tcW w:type="dxa" w:w="2304"/>
          </w:tcPr>
          <w:p>
            <w:r/>
            <w:r>
              <w:rPr>
                <w:rFonts w:ascii="Cambria Math" w:hAnsi="Cambria Math"/>
                <w:sz w:val="18"/>
              </w:rPr>
              <w:t>Exceedance-probability map</w:t>
            </w:r>
          </w:p>
        </w:tc>
        <w:tc>
          <w:tcPr>
            <w:tcW w:type="dxa" w:w="4752"/>
          </w:tcPr>
          <w:p>
            <w:r/>
            <w:r>
              <w:rPr>
                <w:rFonts w:ascii="Calibri" w:hAnsi="Calibri"/>
                <w:sz w:val="18"/>
              </w:rPr>
              <w:t>ℙ(ΔS &gt; ΔS_crit) — risk map</w:t>
            </w:r>
          </w:p>
        </w:tc>
        <w:tc>
          <w:tcPr>
            <w:tcW w:type="dxa" w:w="1872"/>
          </w:tcPr>
          <w:p>
            <w:r/>
            <w:r>
              <w:rPr>
                <w:rFonts w:ascii="Calibri" w:hAnsi="Calibri"/>
                <w:sz w:val="18"/>
              </w:rPr>
              <w:t>2-D / 3-D map</w:t>
            </w:r>
          </w:p>
        </w:tc>
      </w:tr>
      <w:tr>
        <w:tc>
          <w:tcPr>
            <w:tcW w:type="dxa" w:w="2304"/>
          </w:tcPr>
          <w:p>
            <w:r/>
            <w:r>
              <w:rPr>
                <w:rFonts w:ascii="Cambria Math" w:hAnsi="Cambria Math"/>
                <w:sz w:val="18"/>
              </w:rPr>
              <w:t>Confidence-envelope bands</w:t>
            </w:r>
          </w:p>
        </w:tc>
        <w:tc>
          <w:tcPr>
            <w:tcW w:type="dxa" w:w="4752"/>
          </w:tcPr>
          <w:p>
            <w:r/>
            <w:r>
              <w:rPr>
                <w:rFonts w:ascii="Calibri" w:hAnsi="Calibri"/>
                <w:sz w:val="18"/>
              </w:rPr>
              <w:t>Shaded ±90 % band on every curve &amp; metric</w:t>
            </w:r>
          </w:p>
        </w:tc>
        <w:tc>
          <w:tcPr>
            <w:tcW w:type="dxa" w:w="1872"/>
          </w:tcPr>
          <w:p>
            <w:r/>
            <w:r>
              <w:rPr>
                <w:rFonts w:ascii="Calibri" w:hAnsi="Calibri"/>
                <w:sz w:val="18"/>
              </w:rPr>
              <w:t>band plot</w:t>
            </w:r>
          </w:p>
        </w:tc>
      </w:tr>
      <w:tr>
        <w:tc>
          <w:tcPr>
            <w:tcW w:type="dxa" w:w="2304"/>
          </w:tcPr>
          <w:p>
            <w:r/>
            <w:r>
              <w:rPr>
                <w:rFonts w:ascii="Cambria Math" w:hAnsi="Cambria Math"/>
                <w:sz w:val="18"/>
              </w:rPr>
              <w:t>Salinity histogram / PDF</w:t>
            </w:r>
          </w:p>
        </w:tc>
        <w:tc>
          <w:tcPr>
            <w:tcW w:type="dxa" w:w="4752"/>
          </w:tcPr>
          <w:p>
            <w:r/>
            <w:r>
              <w:rPr>
                <w:rFonts w:ascii="Calibri" w:hAnsi="Calibri"/>
                <w:sz w:val="18"/>
              </w:rPr>
              <w:t>Distribution of S at a chosen receptor</w:t>
            </w:r>
          </w:p>
        </w:tc>
        <w:tc>
          <w:tcPr>
            <w:tcW w:type="dxa" w:w="1872"/>
          </w:tcPr>
          <w:p>
            <w:r/>
            <w:r>
              <w:rPr>
                <w:rFonts w:ascii="Calibri" w:hAnsi="Calibri"/>
                <w:sz w:val="18"/>
              </w:rPr>
              <w:t>histogram</w:t>
            </w:r>
          </w:p>
        </w:tc>
      </w:tr>
      <w:tr>
        <w:tc>
          <w:tcPr>
            <w:tcW w:type="dxa" w:w="2304"/>
          </w:tcPr>
          <w:p>
            <w:r/>
            <w:r>
              <w:rPr>
                <w:rFonts w:ascii="Cambria Math" w:hAnsi="Cambria Math"/>
                <w:sz w:val="18"/>
              </w:rPr>
              <w:t>Exceedance (CDF) curve</w:t>
            </w:r>
          </w:p>
        </w:tc>
        <w:tc>
          <w:tcPr>
            <w:tcW w:type="dxa" w:w="4752"/>
          </w:tcPr>
          <w:p>
            <w:r/>
            <w:r>
              <w:rPr>
                <w:rFonts w:ascii="Calibri" w:hAnsi="Calibri"/>
                <w:sz w:val="18"/>
              </w:rPr>
              <w:t>ℙ(S &gt; threshold) vs threshold</w:t>
            </w:r>
          </w:p>
        </w:tc>
        <w:tc>
          <w:tcPr>
            <w:tcW w:type="dxa" w:w="1872"/>
          </w:tcPr>
          <w:p>
            <w:r/>
            <w:r>
              <w:rPr>
                <w:rFonts w:ascii="Calibri" w:hAnsi="Calibri"/>
                <w:sz w:val="18"/>
              </w:rPr>
              <w:t>curve</w:t>
            </w:r>
          </w:p>
        </w:tc>
      </w:tr>
      <w:tr>
        <w:tc>
          <w:tcPr>
            <w:tcW w:type="dxa" w:w="2304"/>
          </w:tcPr>
          <w:p>
            <w:r/>
            <w:r>
              <w:rPr>
                <w:rFonts w:ascii="Cambria Math" w:hAnsi="Cambria Math"/>
                <w:sz w:val="18"/>
              </w:rPr>
              <w:t>Return-period estimates</w:t>
            </w:r>
          </w:p>
        </w:tc>
        <w:tc>
          <w:tcPr>
            <w:tcW w:type="dxa" w:w="4752"/>
          </w:tcPr>
          <w:p>
            <w:r/>
            <w:r>
              <w:rPr>
                <w:rFonts w:ascii="Calibri" w:hAnsi="Calibri"/>
                <w:sz w:val="18"/>
              </w:rPr>
              <w:t>Expected recurrence of a salinity level</w:t>
            </w:r>
          </w:p>
        </w:tc>
        <w:tc>
          <w:tcPr>
            <w:tcW w:type="dxa" w:w="1872"/>
          </w:tcPr>
          <w:p>
            <w:r/>
            <w:r>
              <w:rPr>
                <w:rFonts w:ascii="Calibri" w:hAnsi="Calibri"/>
                <w:sz w:val="18"/>
              </w:rPr>
              <w:t>table / curve</w:t>
            </w:r>
          </w:p>
        </w:tc>
      </w:tr>
      <w:tr>
        <w:tc>
          <w:tcPr>
            <w:tcW w:type="dxa" w:w="2304"/>
          </w:tcPr>
          <w:p>
            <w:r/>
            <w:r>
              <w:rPr>
                <w:rFonts w:ascii="Cambria Math" w:hAnsi="Cambria Math"/>
                <w:sz w:val="18"/>
              </w:rPr>
              <w:t>Confidence on r_max, z_max</w:t>
            </w:r>
          </w:p>
        </w:tc>
        <w:tc>
          <w:tcPr>
            <w:tcW w:type="dxa" w:w="4752"/>
          </w:tcPr>
          <w:p>
            <w:r/>
            <w:r>
              <w:rPr>
                <w:rFonts w:ascii="Calibri" w:hAnsi="Calibri"/>
                <w:sz w:val="18"/>
              </w:rPr>
              <w:t>Probabilistic reach &amp; depth of impact</w:t>
            </w:r>
          </w:p>
        </w:tc>
        <w:tc>
          <w:tcPr>
            <w:tcW w:type="dxa" w:w="1872"/>
          </w:tcPr>
          <w:p>
            <w:r/>
            <w:r>
              <w:rPr>
                <w:rFonts w:ascii="Calibri" w:hAnsi="Calibri"/>
                <w:sz w:val="18"/>
              </w:rPr>
              <w:t>value ± CI</w:t>
            </w:r>
          </w:p>
        </w:tc>
      </w:tr>
      <w:tr>
        <w:tc>
          <w:tcPr>
            <w:tcW w:type="dxa" w:w="2304"/>
          </w:tcPr>
          <w:p>
            <w:r/>
            <w:r>
              <w:rPr>
                <w:rFonts w:ascii="Cambria Math" w:hAnsi="Cambria Math"/>
                <w:sz w:val="18"/>
              </w:rPr>
              <w:t>Ensemble spaghetti plot</w:t>
            </w:r>
          </w:p>
        </w:tc>
        <w:tc>
          <w:tcPr>
            <w:tcW w:type="dxa" w:w="4752"/>
          </w:tcPr>
          <w:p>
            <w:r/>
            <w:r>
              <w:rPr>
                <w:rFonts w:ascii="Calibri" w:hAnsi="Calibri"/>
                <w:sz w:val="18"/>
              </w:rPr>
              <w:t>All realizations of the plume edge overlaid</w:t>
            </w:r>
          </w:p>
        </w:tc>
        <w:tc>
          <w:tcPr>
            <w:tcW w:type="dxa" w:w="1872"/>
          </w:tcPr>
          <w:p>
            <w:r/>
            <w:r>
              <w:rPr>
                <w:rFonts w:ascii="Calibri" w:hAnsi="Calibri"/>
                <w:sz w:val="18"/>
              </w:rPr>
              <w:t>multi-line</w:t>
            </w:r>
          </w:p>
        </w:tc>
      </w:tr>
      <w:tr>
        <w:tc>
          <w:tcPr>
            <w:tcW w:type="dxa" w:w="2304"/>
          </w:tcPr>
          <w:p>
            <w:r/>
            <w:r>
              <w:rPr>
                <w:rFonts w:ascii="Cambria Math" w:hAnsi="Cambria Math"/>
                <w:sz w:val="18"/>
              </w:rPr>
              <w:t>Sensitivity / tornado chart</w:t>
            </w:r>
          </w:p>
        </w:tc>
        <w:tc>
          <w:tcPr>
            <w:tcW w:type="dxa" w:w="4752"/>
          </w:tcPr>
          <w:p>
            <w:r/>
            <w:r>
              <w:rPr>
                <w:rFonts w:ascii="Calibri" w:hAnsi="Calibri"/>
                <w:sz w:val="18"/>
              </w:rPr>
              <w:t>Ranking of inputs driving output variance</w:t>
            </w:r>
          </w:p>
        </w:tc>
        <w:tc>
          <w:tcPr>
            <w:tcW w:type="dxa" w:w="1872"/>
          </w:tcPr>
          <w:p>
            <w:r/>
            <w:r>
              <w:rPr>
                <w:rFonts w:ascii="Calibri" w:hAnsi="Calibri"/>
                <w:sz w:val="18"/>
              </w:rPr>
              <w:t>bar chart</w:t>
            </w:r>
          </w:p>
        </w:tc>
      </w:tr>
      <w:tr>
        <w:tc>
          <w:tcPr>
            <w:tcW w:type="dxa" w:w="2304"/>
          </w:tcPr>
          <w:p>
            <w:r/>
            <w:r>
              <w:rPr>
                <w:rFonts w:ascii="Cambria Math" w:hAnsi="Cambria Math"/>
                <w:sz w:val="18"/>
              </w:rPr>
              <w:t>Sobol / variance indices</w:t>
            </w:r>
          </w:p>
        </w:tc>
        <w:tc>
          <w:tcPr>
            <w:tcW w:type="dxa" w:w="4752"/>
          </w:tcPr>
          <w:p>
            <w:r/>
            <w:r>
              <w:rPr>
                <w:rFonts w:ascii="Calibri" w:hAnsi="Calibri"/>
                <w:sz w:val="18"/>
              </w:rPr>
              <w:t>Quantified contribution of each parameter</w:t>
            </w:r>
          </w:p>
        </w:tc>
        <w:tc>
          <w:tcPr>
            <w:tcW w:type="dxa" w:w="1872"/>
          </w:tcPr>
          <w:p>
            <w:r/>
            <w:r>
              <w:rPr>
                <w:rFonts w:ascii="Calibri" w:hAnsi="Calibri"/>
                <w:sz w:val="18"/>
              </w:rPr>
              <w:t>table</w:t>
            </w:r>
          </w:p>
        </w:tc>
      </w:tr>
      <w:tr>
        <w:tc>
          <w:tcPr>
            <w:tcW w:type="dxa" w:w="2304"/>
          </w:tcPr>
          <w:p>
            <w:r/>
            <w:r>
              <w:rPr>
                <w:rFonts w:ascii="Cambria Math" w:hAnsi="Cambria Math"/>
                <w:sz w:val="18"/>
              </w:rPr>
              <w:t>Risk / probability rose</w:t>
            </w:r>
          </w:p>
        </w:tc>
        <w:tc>
          <w:tcPr>
            <w:tcW w:type="dxa" w:w="4752"/>
          </w:tcPr>
          <w:p>
            <w:r/>
            <w:r>
              <w:rPr>
                <w:rFonts w:ascii="Calibri" w:hAnsi="Calibri"/>
                <w:sz w:val="18"/>
              </w:rPr>
              <w:t>Directional exceedance vs current/wind direction</w:t>
            </w:r>
          </w:p>
        </w:tc>
        <w:tc>
          <w:tcPr>
            <w:tcW w:type="dxa" w:w="1872"/>
          </w:tcPr>
          <w:p>
            <w:r/>
            <w:r>
              <w:rPr>
                <w:rFonts w:ascii="Calibri" w:hAnsi="Calibri"/>
                <w:sz w:val="18"/>
              </w:rPr>
              <w:t>rose plot</w:t>
            </w:r>
          </w:p>
        </w:tc>
      </w:tr>
    </w:tbl>
    <w:p>
      <w:pPr>
        <w:pStyle w:val="Heading1"/>
      </w:pPr>
      <w:r>
        <w:t>8. Tier 8a — Regulatory &amp; Environmental Compliance Diagnostics</w:t>
      </w:r>
    </w:p>
    <w:p>
      <w:pPr>
        <w:spacing w:after="120"/>
      </w:pPr>
      <w:r>
        <w:rPr>
          <w:rFonts w:ascii="Calibri" w:hAnsi="Calibri"/>
          <w:b w:val="0"/>
          <w:i w:val="0"/>
          <w:sz w:val="22"/>
        </w:rPr>
        <w:t>Outputs framed against permit and ecological limits, supporting Environmental Impact Assessment and sustainability reporting.</w:t>
      </w:r>
    </w:p>
    <w:tbl>
      <w:tblPr>
        <w:tblStyle w:val="LightGrid-Accent1"/>
        <w:tblW w:type="auto" w:w="0"/>
        <w:jc w:val="center"/>
        <w:tblLook w:firstColumn="1" w:firstRow="1" w:lastColumn="0" w:lastRow="0" w:noHBand="0" w:noVBand="1" w:val="04A0"/>
      </w:tblPr>
      <w:tblGrid>
        <w:gridCol w:w="2880"/>
        <w:gridCol w:w="2880"/>
        <w:gridCol w:w="2880"/>
      </w:tblGrid>
      <w:tr>
        <w:tc>
          <w:tcPr>
            <w:tcW w:type="dxa" w:w="2448"/>
            <w:shd w:val="clear" w:color="auto" w:fill="1F4E79"/>
          </w:tcPr>
          <w:p>
            <w:r/>
            <w:r>
              <w:rPr>
                <w:rFonts w:ascii="Calibri" w:hAnsi="Calibri"/>
                <w:b/>
                <w:color w:val="FFFFFF"/>
                <w:sz w:val="18"/>
              </w:rPr>
              <w:t>Output</w:t>
            </w:r>
          </w:p>
        </w:tc>
        <w:tc>
          <w:tcPr>
            <w:tcW w:type="dxa" w:w="4608"/>
            <w:shd w:val="clear" w:color="auto" w:fill="1F4E79"/>
          </w:tcPr>
          <w:p>
            <w:r/>
            <w:r>
              <w:rPr>
                <w:rFonts w:ascii="Calibri" w:hAnsi="Calibri"/>
                <w:b/>
                <w:color w:val="FFFFFF"/>
                <w:sz w:val="18"/>
              </w:rPr>
              <w:t>Description</w:t>
            </w:r>
          </w:p>
        </w:tc>
        <w:tc>
          <w:tcPr>
            <w:tcW w:type="dxa" w:w="1872"/>
            <w:shd w:val="clear" w:color="auto" w:fill="1F4E79"/>
          </w:tcPr>
          <w:p>
            <w:r/>
            <w:r>
              <w:rPr>
                <w:rFonts w:ascii="Calibri" w:hAnsi="Calibri"/>
                <w:b/>
                <w:color w:val="FFFFFF"/>
                <w:sz w:val="18"/>
              </w:rPr>
              <w:t>Units</w:t>
            </w:r>
          </w:p>
        </w:tc>
      </w:tr>
      <w:tr>
        <w:tc>
          <w:tcPr>
            <w:tcW w:type="dxa" w:w="2448"/>
          </w:tcPr>
          <w:p>
            <w:r/>
            <w:r>
              <w:rPr>
                <w:rFonts w:ascii="Calibri" w:hAnsi="Calibri"/>
                <w:sz w:val="18"/>
              </w:rPr>
              <w:t>Mixing-zone boundary</w:t>
            </w:r>
          </w:p>
        </w:tc>
        <w:tc>
          <w:tcPr>
            <w:tcW w:type="dxa" w:w="4608"/>
          </w:tcPr>
          <w:p>
            <w:r/>
            <w:r>
              <w:rPr>
                <w:rFonts w:ascii="Calibri" w:hAnsi="Calibri"/>
                <w:sz w:val="18"/>
              </w:rPr>
              <w:t>Locus where ΔS falls below the permitted limit</w:t>
            </w:r>
          </w:p>
        </w:tc>
        <w:tc>
          <w:tcPr>
            <w:tcW w:type="dxa" w:w="1872"/>
          </w:tcPr>
          <w:p>
            <w:r/>
            <w:r>
              <w:rPr>
                <w:rFonts w:ascii="Calibri" w:hAnsi="Calibri"/>
                <w:sz w:val="18"/>
              </w:rPr>
              <w:t>polygon / m</w:t>
            </w:r>
          </w:p>
        </w:tc>
      </w:tr>
      <w:tr>
        <w:tc>
          <w:tcPr>
            <w:tcW w:type="dxa" w:w="2448"/>
          </w:tcPr>
          <w:p>
            <w:r/>
            <w:r>
              <w:rPr>
                <w:rFonts w:ascii="Calibri" w:hAnsi="Calibri"/>
                <w:sz w:val="18"/>
              </w:rPr>
              <w:t>Regulatory mixing-zone area</w:t>
            </w:r>
          </w:p>
        </w:tc>
        <w:tc>
          <w:tcPr>
            <w:tcW w:type="dxa" w:w="4608"/>
          </w:tcPr>
          <w:p>
            <w:r/>
            <w:r>
              <w:rPr>
                <w:rFonts w:ascii="Calibri" w:hAnsi="Calibri"/>
                <w:sz w:val="18"/>
              </w:rPr>
              <w:t>Area enclosed by the compliance boundary</w:t>
            </w:r>
          </w:p>
        </w:tc>
        <w:tc>
          <w:tcPr>
            <w:tcW w:type="dxa" w:w="1872"/>
          </w:tcPr>
          <w:p>
            <w:r/>
            <w:r>
              <w:rPr>
                <w:rFonts w:ascii="Calibri" w:hAnsi="Calibri"/>
                <w:sz w:val="18"/>
              </w:rPr>
              <w:t>m²</w:t>
            </w:r>
          </w:p>
        </w:tc>
      </w:tr>
      <w:tr>
        <w:tc>
          <w:tcPr>
            <w:tcW w:type="dxa" w:w="2448"/>
          </w:tcPr>
          <w:p>
            <w:r/>
            <w:r>
              <w:rPr>
                <w:rFonts w:ascii="Calibri" w:hAnsi="Calibri"/>
                <w:sz w:val="18"/>
              </w:rPr>
              <w:t>Compliance pass/fail flags</w:t>
            </w:r>
          </w:p>
        </w:tc>
        <w:tc>
          <w:tcPr>
            <w:tcW w:type="dxa" w:w="4608"/>
          </w:tcPr>
          <w:p>
            <w:r/>
            <w:r>
              <w:rPr>
                <w:rFonts w:ascii="Calibri" w:hAnsi="Calibri"/>
                <w:sz w:val="18"/>
              </w:rPr>
              <w:t>Status at each defined receptor / station</w:t>
            </w:r>
          </w:p>
        </w:tc>
        <w:tc>
          <w:tcPr>
            <w:tcW w:type="dxa" w:w="1872"/>
          </w:tcPr>
          <w:p>
            <w:r/>
            <w:r>
              <w:rPr>
                <w:rFonts w:ascii="Calibri" w:hAnsi="Calibri"/>
                <w:sz w:val="18"/>
              </w:rPr>
              <w:t>boolean</w:t>
            </w:r>
          </w:p>
        </w:tc>
      </w:tr>
      <w:tr>
        <w:tc>
          <w:tcPr>
            <w:tcW w:type="dxa" w:w="2448"/>
          </w:tcPr>
          <w:p>
            <w:r/>
            <w:r>
              <w:rPr>
                <w:rFonts w:ascii="Calibri" w:hAnsi="Calibri"/>
                <w:sz w:val="18"/>
              </w:rPr>
              <w:t>Threshold-exceedance duration</w:t>
            </w:r>
          </w:p>
        </w:tc>
        <w:tc>
          <w:tcPr>
            <w:tcW w:type="dxa" w:w="4608"/>
          </w:tcPr>
          <w:p>
            <w:r/>
            <w:r>
              <w:rPr>
                <w:rFonts w:ascii="Calibri" w:hAnsi="Calibri"/>
                <w:sz w:val="18"/>
              </w:rPr>
              <w:t>Time ΔS &gt; limit at a location</w:t>
            </w:r>
          </w:p>
        </w:tc>
        <w:tc>
          <w:tcPr>
            <w:tcW w:type="dxa" w:w="1872"/>
          </w:tcPr>
          <w:p>
            <w:r/>
            <w:r>
              <w:rPr>
                <w:rFonts w:ascii="Calibri" w:hAnsi="Calibri"/>
                <w:sz w:val="18"/>
              </w:rPr>
              <w:t>h</w:t>
            </w:r>
          </w:p>
        </w:tc>
      </w:tr>
      <w:tr>
        <w:tc>
          <w:tcPr>
            <w:tcW w:type="dxa" w:w="2448"/>
          </w:tcPr>
          <w:p>
            <w:r/>
            <w:r>
              <w:rPr>
                <w:rFonts w:ascii="Calibri" w:hAnsi="Calibri"/>
                <w:sz w:val="18"/>
              </w:rPr>
              <w:t>Seabed exposure area</w:t>
            </w:r>
          </w:p>
        </w:tc>
        <w:tc>
          <w:tcPr>
            <w:tcW w:type="dxa" w:w="4608"/>
          </w:tcPr>
          <w:p>
            <w:r/>
            <w:r>
              <w:rPr>
                <w:rFonts w:ascii="Calibri" w:hAnsi="Calibri"/>
                <w:sz w:val="18"/>
              </w:rPr>
              <w:t>Benthic area above ecological salinity limit</w:t>
            </w:r>
          </w:p>
        </w:tc>
        <w:tc>
          <w:tcPr>
            <w:tcW w:type="dxa" w:w="1872"/>
          </w:tcPr>
          <w:p>
            <w:r/>
            <w:r>
              <w:rPr>
                <w:rFonts w:ascii="Calibri" w:hAnsi="Calibri"/>
                <w:sz w:val="18"/>
              </w:rPr>
              <w:t>m²</w:t>
            </w:r>
          </w:p>
        </w:tc>
      </w:tr>
      <w:tr>
        <w:tc>
          <w:tcPr>
            <w:tcW w:type="dxa" w:w="2448"/>
          </w:tcPr>
          <w:p>
            <w:r/>
            <w:r>
              <w:rPr>
                <w:rFonts w:ascii="Calibri" w:hAnsi="Calibri"/>
                <w:sz w:val="18"/>
              </w:rPr>
              <w:t>ΔS at sensitive habitats</w:t>
            </w:r>
          </w:p>
        </w:tc>
        <w:tc>
          <w:tcPr>
            <w:tcW w:type="dxa" w:w="4608"/>
          </w:tcPr>
          <w:p>
            <w:r/>
            <w:r>
              <w:rPr>
                <w:rFonts w:ascii="Calibri" w:hAnsi="Calibri"/>
                <w:sz w:val="18"/>
              </w:rPr>
              <w:t>Salinity rise at seagrass / reef receptors</w:t>
            </w:r>
          </w:p>
        </w:tc>
        <w:tc>
          <w:tcPr>
            <w:tcW w:type="dxa" w:w="1872"/>
          </w:tcPr>
          <w:p>
            <w:r/>
            <w:r>
              <w:rPr>
                <w:rFonts w:ascii="Calibri" w:hAnsi="Calibri"/>
                <w:sz w:val="18"/>
              </w:rPr>
              <w:t>g kg⁻¹</w:t>
            </w:r>
          </w:p>
        </w:tc>
      </w:tr>
      <w:tr>
        <w:tc>
          <w:tcPr>
            <w:tcW w:type="dxa" w:w="2448"/>
          </w:tcPr>
          <w:p>
            <w:r/>
            <w:r>
              <w:rPr>
                <w:rFonts w:ascii="Calibri" w:hAnsi="Calibri"/>
                <w:sz w:val="18"/>
              </w:rPr>
              <w:t>Cumulative dose maps</w:t>
            </w:r>
          </w:p>
        </w:tc>
        <w:tc>
          <w:tcPr>
            <w:tcW w:type="dxa" w:w="4608"/>
          </w:tcPr>
          <w:p>
            <w:r/>
            <w:r>
              <w:rPr>
                <w:rFonts w:ascii="Calibri" w:hAnsi="Calibri"/>
                <w:sz w:val="18"/>
              </w:rPr>
              <w:t>Time-integrated ΔS exposure (∫ΔS dt)</w:t>
            </w:r>
          </w:p>
        </w:tc>
        <w:tc>
          <w:tcPr>
            <w:tcW w:type="dxa" w:w="1872"/>
          </w:tcPr>
          <w:p>
            <w:r/>
            <w:r>
              <w:rPr>
                <w:rFonts w:ascii="Calibri" w:hAnsi="Calibri"/>
                <w:sz w:val="18"/>
              </w:rPr>
              <w:t>g kg⁻¹·h</w:t>
            </w:r>
          </w:p>
        </w:tc>
      </w:tr>
      <w:tr>
        <w:tc>
          <w:tcPr>
            <w:tcW w:type="dxa" w:w="2448"/>
          </w:tcPr>
          <w:p>
            <w:r/>
            <w:r>
              <w:rPr>
                <w:rFonts w:ascii="Calibri" w:hAnsi="Calibri"/>
                <w:sz w:val="18"/>
              </w:rPr>
              <w:t>Far-field background rise</w:t>
            </w:r>
          </w:p>
        </w:tc>
        <w:tc>
          <w:tcPr>
            <w:tcW w:type="dxa" w:w="4608"/>
          </w:tcPr>
          <w:p>
            <w:r/>
            <w:r>
              <w:rPr>
                <w:rFonts w:ascii="Calibri" w:hAnsi="Calibri"/>
                <w:sz w:val="18"/>
              </w:rPr>
              <w:t>Long-term ambient salinity increment</w:t>
            </w:r>
          </w:p>
        </w:tc>
        <w:tc>
          <w:tcPr>
            <w:tcW w:type="dxa" w:w="1872"/>
          </w:tcPr>
          <w:p>
            <w:r/>
            <w:r>
              <w:rPr>
                <w:rFonts w:ascii="Calibri" w:hAnsi="Calibri"/>
                <w:sz w:val="18"/>
              </w:rPr>
              <w:t>g kg⁻¹</w:t>
            </w:r>
          </w:p>
        </w:tc>
      </w:tr>
      <w:tr>
        <w:tc>
          <w:tcPr>
            <w:tcW w:type="dxa" w:w="2448"/>
          </w:tcPr>
          <w:p>
            <w:r/>
            <w:r>
              <w:rPr>
                <w:rFonts w:ascii="Calibri" w:hAnsi="Calibri"/>
                <w:sz w:val="18"/>
              </w:rPr>
              <w:t>Compliance summary table</w:t>
            </w:r>
          </w:p>
        </w:tc>
        <w:tc>
          <w:tcPr>
            <w:tcW w:type="dxa" w:w="4608"/>
          </w:tcPr>
          <w:p>
            <w:r/>
            <w:r>
              <w:rPr>
                <w:rFonts w:ascii="Calibri" w:hAnsi="Calibri"/>
                <w:sz w:val="18"/>
              </w:rPr>
              <w:t>Limit vs predicted vs margin per receptor</w:t>
            </w:r>
          </w:p>
        </w:tc>
        <w:tc>
          <w:tcPr>
            <w:tcW w:type="dxa" w:w="1872"/>
          </w:tcPr>
          <w:p>
            <w:r/>
            <w:r>
              <w:rPr>
                <w:rFonts w:ascii="Calibri" w:hAnsi="Calibri"/>
                <w:sz w:val="18"/>
              </w:rPr>
              <w:t>table</w:t>
            </w:r>
          </w:p>
        </w:tc>
      </w:tr>
    </w:tbl>
    <w:p>
      <w:pPr>
        <w:pStyle w:val="Heading1"/>
      </w:pPr>
      <w:r>
        <w:t>8. Tier 8b — Model-Health and Validation Diagnostics</w:t>
      </w:r>
    </w:p>
    <w:p>
      <w:pPr>
        <w:spacing w:after="120"/>
      </w:pPr>
      <w:r>
        <w:rPr>
          <w:rFonts w:ascii="Calibri" w:hAnsi="Calibri"/>
          <w:b w:val="0"/>
          <w:i w:val="0"/>
          <w:sz w:val="22"/>
        </w:rPr>
        <w:t>Outputs that demonstrate the solution is trustworthy.</w:t>
      </w:r>
    </w:p>
    <w:tbl>
      <w:tblPr>
        <w:tblStyle w:val="LightGrid-Accent1"/>
        <w:tblW w:type="auto" w:w="0"/>
        <w:jc w:val="center"/>
        <w:tblLook w:firstColumn="1" w:firstRow="1" w:lastColumn="0" w:lastRow="0" w:noHBand="0" w:noVBand="1" w:val="04A0"/>
      </w:tblPr>
      <w:tblGrid>
        <w:gridCol w:w="2880"/>
        <w:gridCol w:w="2880"/>
        <w:gridCol w:w="2880"/>
      </w:tblGrid>
      <w:tr>
        <w:tc>
          <w:tcPr>
            <w:tcW w:type="dxa" w:w="2592"/>
            <w:shd w:val="clear" w:color="auto" w:fill="1F4E79"/>
          </w:tcPr>
          <w:p>
            <w:r/>
            <w:r>
              <w:rPr>
                <w:rFonts w:ascii="Calibri" w:hAnsi="Calibri"/>
                <w:b/>
                <w:color w:val="FFFFFF"/>
                <w:sz w:val="18"/>
              </w:rPr>
              <w:t>Output</w:t>
            </w:r>
          </w:p>
        </w:tc>
        <w:tc>
          <w:tcPr>
            <w:tcW w:type="dxa" w:w="4464"/>
            <w:shd w:val="clear" w:color="auto" w:fill="1F4E79"/>
          </w:tcPr>
          <w:p>
            <w:r/>
            <w:r>
              <w:rPr>
                <w:rFonts w:ascii="Calibri" w:hAnsi="Calibri"/>
                <w:b/>
                <w:color w:val="FFFFFF"/>
                <w:sz w:val="18"/>
              </w:rPr>
              <w:t>Description</w:t>
            </w:r>
          </w:p>
        </w:tc>
        <w:tc>
          <w:tcPr>
            <w:tcW w:type="dxa" w:w="1872"/>
            <w:shd w:val="clear" w:color="auto" w:fill="1F4E79"/>
          </w:tcPr>
          <w:p>
            <w:r/>
            <w:r>
              <w:rPr>
                <w:rFonts w:ascii="Calibri" w:hAnsi="Calibri"/>
                <w:b/>
                <w:color w:val="FFFFFF"/>
                <w:sz w:val="18"/>
              </w:rPr>
              <w:t>Units</w:t>
            </w:r>
          </w:p>
        </w:tc>
      </w:tr>
      <w:tr>
        <w:tc>
          <w:tcPr>
            <w:tcW w:type="dxa" w:w="2592"/>
          </w:tcPr>
          <w:p>
            <w:r/>
            <w:r>
              <w:rPr>
                <w:rFonts w:ascii="Calibri" w:hAnsi="Calibri"/>
                <w:sz w:val="18"/>
              </w:rPr>
              <w:t>Salt &amp; mass balance closure</w:t>
            </w:r>
          </w:p>
        </w:tc>
        <w:tc>
          <w:tcPr>
            <w:tcW w:type="dxa" w:w="4464"/>
          </w:tcPr>
          <w:p>
            <w:r/>
            <w:r>
              <w:rPr>
                <w:rFonts w:ascii="Calibri" w:hAnsi="Calibri"/>
                <w:sz w:val="18"/>
              </w:rPr>
              <w:t>Global conservation error vs time</w:t>
            </w:r>
          </w:p>
        </w:tc>
        <w:tc>
          <w:tcPr>
            <w:tcW w:type="dxa" w:w="1872"/>
          </w:tcPr>
          <w:p>
            <w:r/>
            <w:r>
              <w:rPr>
                <w:rFonts w:ascii="Calibri" w:hAnsi="Calibri"/>
                <w:sz w:val="18"/>
              </w:rPr>
              <w:t>% / kg</w:t>
            </w:r>
          </w:p>
        </w:tc>
      </w:tr>
      <w:tr>
        <w:tc>
          <w:tcPr>
            <w:tcW w:type="dxa" w:w="2592"/>
          </w:tcPr>
          <w:p>
            <w:r/>
            <w:r>
              <w:rPr>
                <w:rFonts w:ascii="Calibri" w:hAnsi="Calibri"/>
                <w:sz w:val="18"/>
              </w:rPr>
              <w:t>Residual convergence</w:t>
            </w:r>
          </w:p>
        </w:tc>
        <w:tc>
          <w:tcPr>
            <w:tcW w:type="dxa" w:w="4464"/>
          </w:tcPr>
          <w:p>
            <w:r/>
            <w:r>
              <w:rPr>
                <w:rFonts w:ascii="Calibri" w:hAnsi="Calibri"/>
                <w:sz w:val="18"/>
              </w:rPr>
              <w:t>Per-equation residual history</w:t>
            </w:r>
          </w:p>
        </w:tc>
        <w:tc>
          <w:tcPr>
            <w:tcW w:type="dxa" w:w="1872"/>
          </w:tcPr>
          <w:p>
            <w:r/>
            <w:r>
              <w:rPr>
                <w:rFonts w:ascii="Calibri" w:hAnsi="Calibri"/>
                <w:sz w:val="18"/>
              </w:rPr>
              <w:t>–</w:t>
            </w:r>
          </w:p>
        </w:tc>
      </w:tr>
      <w:tr>
        <w:tc>
          <w:tcPr>
            <w:tcW w:type="dxa" w:w="2592"/>
          </w:tcPr>
          <w:p>
            <w:r/>
            <w:r>
              <w:rPr>
                <w:rFonts w:ascii="Calibri" w:hAnsi="Calibri"/>
                <w:sz w:val="18"/>
              </w:rPr>
              <w:t>CFL / time-step record</w:t>
            </w:r>
          </w:p>
        </w:tc>
        <w:tc>
          <w:tcPr>
            <w:tcW w:type="dxa" w:w="4464"/>
          </w:tcPr>
          <w:p>
            <w:r/>
            <w:r>
              <w:rPr>
                <w:rFonts w:ascii="Calibri" w:hAnsi="Calibri"/>
                <w:sz w:val="18"/>
              </w:rPr>
              <w:t>Stability metric over the run</w:t>
            </w:r>
          </w:p>
        </w:tc>
        <w:tc>
          <w:tcPr>
            <w:tcW w:type="dxa" w:w="1872"/>
          </w:tcPr>
          <w:p>
            <w:r/>
            <w:r>
              <w:rPr>
                <w:rFonts w:ascii="Calibri" w:hAnsi="Calibri"/>
                <w:sz w:val="18"/>
              </w:rPr>
              <w:t>–</w:t>
            </w:r>
          </w:p>
        </w:tc>
      </w:tr>
      <w:tr>
        <w:tc>
          <w:tcPr>
            <w:tcW w:type="dxa" w:w="2592"/>
          </w:tcPr>
          <w:p>
            <w:r/>
            <w:r>
              <w:rPr>
                <w:rFonts w:ascii="Calibri" w:hAnsi="Calibri"/>
                <w:sz w:val="18"/>
              </w:rPr>
              <w:t>Grid-convergence (GCI) report</w:t>
            </w:r>
          </w:p>
        </w:tc>
        <w:tc>
          <w:tcPr>
            <w:tcW w:type="dxa" w:w="4464"/>
          </w:tcPr>
          <w:p>
            <w:r/>
            <w:r>
              <w:rPr>
                <w:rFonts w:ascii="Calibri" w:hAnsi="Calibri"/>
                <w:sz w:val="18"/>
              </w:rPr>
              <w:t>Solution sensitivity to mesh resolution</w:t>
            </w:r>
          </w:p>
        </w:tc>
        <w:tc>
          <w:tcPr>
            <w:tcW w:type="dxa" w:w="1872"/>
          </w:tcPr>
          <w:p>
            <w:r/>
            <w:r>
              <w:rPr>
                <w:rFonts w:ascii="Calibri" w:hAnsi="Calibri"/>
                <w:sz w:val="18"/>
              </w:rPr>
              <w:t>%</w:t>
            </w:r>
          </w:p>
        </w:tc>
      </w:tr>
      <w:tr>
        <w:tc>
          <w:tcPr>
            <w:tcW w:type="dxa" w:w="2592"/>
          </w:tcPr>
          <w:p>
            <w:r/>
            <w:r>
              <w:rPr>
                <w:rFonts w:ascii="Calibri" w:hAnsi="Calibri"/>
                <w:sz w:val="18"/>
              </w:rPr>
              <w:t>Entropy-production check</w:t>
            </w:r>
          </w:p>
        </w:tc>
        <w:tc>
          <w:tcPr>
            <w:tcW w:type="dxa" w:w="4464"/>
          </w:tcPr>
          <w:p>
            <w:r/>
            <w:r>
              <w:rPr>
                <w:rFonts w:ascii="Calibri" w:hAnsi="Calibri"/>
                <w:sz w:val="18"/>
              </w:rPr>
              <w:t>Positivity of Onsager fluxes (consistency)</w:t>
            </w:r>
          </w:p>
        </w:tc>
        <w:tc>
          <w:tcPr>
            <w:tcW w:type="dxa" w:w="1872"/>
          </w:tcPr>
          <w:p>
            <w:r/>
            <w:r>
              <w:rPr>
                <w:rFonts w:ascii="Calibri" w:hAnsi="Calibri"/>
                <w:sz w:val="18"/>
              </w:rPr>
              <w:t>≥0</w:t>
            </w:r>
          </w:p>
        </w:tc>
      </w:tr>
      <w:tr>
        <w:tc>
          <w:tcPr>
            <w:tcW w:type="dxa" w:w="2592"/>
          </w:tcPr>
          <w:p>
            <w:r/>
            <w:r>
              <w:rPr>
                <w:rFonts w:ascii="Calibri" w:hAnsi="Calibri"/>
                <w:sz w:val="18"/>
              </w:rPr>
              <w:t>Model-vs-measurement scatter</w:t>
            </w:r>
          </w:p>
        </w:tc>
        <w:tc>
          <w:tcPr>
            <w:tcW w:type="dxa" w:w="4464"/>
          </w:tcPr>
          <w:p>
            <w:r/>
            <w:r>
              <w:rPr>
                <w:rFonts w:ascii="Calibri" w:hAnsi="Calibri"/>
                <w:sz w:val="18"/>
              </w:rPr>
              <w:t>Predicted vs observed S at survey points</w:t>
            </w:r>
          </w:p>
        </w:tc>
        <w:tc>
          <w:tcPr>
            <w:tcW w:type="dxa" w:w="1872"/>
          </w:tcPr>
          <w:p>
            <w:r/>
            <w:r>
              <w:rPr>
                <w:rFonts w:ascii="Calibri" w:hAnsi="Calibri"/>
                <w:sz w:val="18"/>
              </w:rPr>
              <w:t>scatter + R², RMSE</w:t>
            </w:r>
          </w:p>
        </w:tc>
      </w:tr>
      <w:tr>
        <w:tc>
          <w:tcPr>
            <w:tcW w:type="dxa" w:w="2592"/>
          </w:tcPr>
          <w:p>
            <w:r/>
            <w:r>
              <w:rPr>
                <w:rFonts w:ascii="Calibri" w:hAnsi="Calibri"/>
                <w:sz w:val="18"/>
              </w:rPr>
              <w:t>Skill scores</w:t>
            </w:r>
          </w:p>
        </w:tc>
        <w:tc>
          <w:tcPr>
            <w:tcW w:type="dxa" w:w="4464"/>
          </w:tcPr>
          <w:p>
            <w:r/>
            <w:r>
              <w:rPr>
                <w:rFonts w:ascii="Calibri" w:hAnsi="Calibri"/>
                <w:sz w:val="18"/>
              </w:rPr>
              <w:t>RMSE, bias, Nash–Sutcliffe, Willmott index</w:t>
            </w:r>
          </w:p>
        </w:tc>
        <w:tc>
          <w:tcPr>
            <w:tcW w:type="dxa" w:w="1872"/>
          </w:tcPr>
          <w:p>
            <w:r/>
            <w:r>
              <w:rPr>
                <w:rFonts w:ascii="Calibri" w:hAnsi="Calibri"/>
                <w:sz w:val="18"/>
              </w:rPr>
              <w:t>–</w:t>
            </w:r>
          </w:p>
        </w:tc>
      </w:tr>
      <w:tr>
        <w:tc>
          <w:tcPr>
            <w:tcW w:type="dxa" w:w="2592"/>
          </w:tcPr>
          <w:p>
            <w:r/>
            <w:r>
              <w:rPr>
                <w:rFonts w:ascii="Calibri" w:hAnsi="Calibri"/>
                <w:sz w:val="18"/>
              </w:rPr>
              <w:t>Calibration parameter log</w:t>
            </w:r>
          </w:p>
        </w:tc>
        <w:tc>
          <w:tcPr>
            <w:tcW w:type="dxa" w:w="4464"/>
          </w:tcPr>
          <w:p>
            <w:r/>
            <w:r>
              <w:rPr>
                <w:rFonts w:ascii="Calibri" w:hAnsi="Calibri"/>
                <w:sz w:val="18"/>
              </w:rPr>
              <w:t>Fitted coefficients &amp; their uncertainty</w:t>
            </w:r>
          </w:p>
        </w:tc>
        <w:tc>
          <w:tcPr>
            <w:tcW w:type="dxa" w:w="1872"/>
          </w:tcPr>
          <w:p>
            <w:r/>
            <w:r>
              <w:rPr>
                <w:rFonts w:ascii="Calibri" w:hAnsi="Calibri"/>
                <w:sz w:val="18"/>
              </w:rPr>
              <w:t>table</w:t>
            </w:r>
          </w:p>
        </w:tc>
      </w:tr>
    </w:tbl>
    <w:p>
      <w:pPr>
        <w:pStyle w:val="Heading1"/>
      </w:pPr>
      <w:r>
        <w:t>9. Tier 8c — Machine-Readable Data Exports</w:t>
      </w:r>
    </w:p>
    <w:p>
      <w:pPr>
        <w:spacing w:after="120"/>
      </w:pPr>
      <w:r>
        <w:rPr>
          <w:rFonts w:ascii="Calibri" w:hAnsi="Calibri"/>
          <w:b w:val="0"/>
          <w:i w:val="0"/>
          <w:sz w:val="22"/>
        </w:rPr>
        <w:t>Every field, metric and figure is also emitted in standard formats for downstream GIS, reporting and coupling to other models.</w:t>
      </w:r>
    </w:p>
    <w:tbl>
      <w:tblPr>
        <w:tblStyle w:val="LightGrid-Accent1"/>
        <w:tblW w:type="auto" w:w="0"/>
        <w:jc w:val="center"/>
        <w:tblLook w:firstColumn="1" w:firstRow="1" w:lastColumn="0" w:lastRow="0" w:noHBand="0" w:noVBand="1" w:val="04A0"/>
      </w:tblPr>
      <w:tblGrid>
        <w:gridCol w:w="2880"/>
        <w:gridCol w:w="2880"/>
        <w:gridCol w:w="2880"/>
      </w:tblGrid>
      <w:tr>
        <w:tc>
          <w:tcPr>
            <w:tcW w:type="dxa" w:w="2304"/>
            <w:shd w:val="clear" w:color="auto" w:fill="1F4E79"/>
          </w:tcPr>
          <w:p>
            <w:r/>
            <w:r>
              <w:rPr>
                <w:rFonts w:ascii="Calibri" w:hAnsi="Calibri"/>
                <w:b/>
                <w:color w:val="FFFFFF"/>
                <w:sz w:val="18"/>
              </w:rPr>
              <w:t>Product</w:t>
            </w:r>
          </w:p>
        </w:tc>
        <w:tc>
          <w:tcPr>
            <w:tcW w:type="dxa" w:w="4752"/>
            <w:shd w:val="clear" w:color="auto" w:fill="1F4E79"/>
          </w:tcPr>
          <w:p>
            <w:r/>
            <w:r>
              <w:rPr>
                <w:rFonts w:ascii="Calibri" w:hAnsi="Calibri"/>
                <w:b/>
                <w:color w:val="FFFFFF"/>
                <w:sz w:val="18"/>
              </w:rPr>
              <w:t>Contents</w:t>
            </w:r>
          </w:p>
        </w:tc>
        <w:tc>
          <w:tcPr>
            <w:tcW w:type="dxa" w:w="1872"/>
            <w:shd w:val="clear" w:color="auto" w:fill="1F4E79"/>
          </w:tcPr>
          <w:p>
            <w:r/>
            <w:r>
              <w:rPr>
                <w:rFonts w:ascii="Calibri" w:hAnsi="Calibri"/>
                <w:b/>
                <w:color w:val="FFFFFF"/>
                <w:sz w:val="18"/>
              </w:rPr>
              <w:t>Format</w:t>
            </w:r>
          </w:p>
        </w:tc>
      </w:tr>
      <w:tr>
        <w:tc>
          <w:tcPr>
            <w:tcW w:type="dxa" w:w="2304"/>
          </w:tcPr>
          <w:p>
            <w:r/>
            <w:r>
              <w:rPr>
                <w:rFonts w:ascii="Calibri" w:hAnsi="Calibri"/>
                <w:sz w:val="18"/>
              </w:rPr>
              <w:t>4-D field archive</w:t>
            </w:r>
          </w:p>
        </w:tc>
        <w:tc>
          <w:tcPr>
            <w:tcW w:type="dxa" w:w="4752"/>
          </w:tcPr>
          <w:p>
            <w:r/>
            <w:r>
              <w:rPr>
                <w:rFonts w:ascii="Calibri" w:hAnsi="Calibri"/>
                <w:sz w:val="18"/>
              </w:rPr>
              <w:t>All Tier 1–2 fields with coordinates &amp; time</w:t>
            </w:r>
          </w:p>
        </w:tc>
        <w:tc>
          <w:tcPr>
            <w:tcW w:type="dxa" w:w="1872"/>
          </w:tcPr>
          <w:p>
            <w:r/>
            <w:r>
              <w:rPr>
                <w:rFonts w:ascii="Calibri" w:hAnsi="Calibri"/>
                <w:sz w:val="18"/>
              </w:rPr>
              <w:t>NetCDF / HDF5</w:t>
            </w:r>
          </w:p>
        </w:tc>
      </w:tr>
      <w:tr>
        <w:tc>
          <w:tcPr>
            <w:tcW w:type="dxa" w:w="2304"/>
          </w:tcPr>
          <w:p>
            <w:r/>
            <w:r>
              <w:rPr>
                <w:rFonts w:ascii="Calibri" w:hAnsi="Calibri"/>
                <w:sz w:val="18"/>
              </w:rPr>
              <w:t>3-D scene files</w:t>
            </w:r>
          </w:p>
        </w:tc>
        <w:tc>
          <w:tcPr>
            <w:tcW w:type="dxa" w:w="4752"/>
          </w:tcPr>
          <w:p>
            <w:r/>
            <w:r>
              <w:rPr>
                <w:rFonts w:ascii="Calibri" w:hAnsi="Calibri"/>
                <w:sz w:val="18"/>
              </w:rPr>
              <w:t>Iso-surfaces, slices, vectors for 3-D viewers</w:t>
            </w:r>
          </w:p>
        </w:tc>
        <w:tc>
          <w:tcPr>
            <w:tcW w:type="dxa" w:w="1872"/>
          </w:tcPr>
          <w:p>
            <w:r/>
            <w:r>
              <w:rPr>
                <w:rFonts w:ascii="Calibri" w:hAnsi="Calibri"/>
                <w:sz w:val="18"/>
              </w:rPr>
              <w:t>VTK / VTU</w:t>
            </w:r>
          </w:p>
        </w:tc>
      </w:tr>
      <w:tr>
        <w:tc>
          <w:tcPr>
            <w:tcW w:type="dxa" w:w="2304"/>
          </w:tcPr>
          <w:p>
            <w:r/>
            <w:r>
              <w:rPr>
                <w:rFonts w:ascii="Calibri" w:hAnsi="Calibri"/>
                <w:sz w:val="18"/>
              </w:rPr>
              <w:t>Geo-referenced maps</w:t>
            </w:r>
          </w:p>
        </w:tc>
        <w:tc>
          <w:tcPr>
            <w:tcW w:type="dxa" w:w="4752"/>
          </w:tcPr>
          <w:p>
            <w:r/>
            <w:r>
              <w:rPr>
                <w:rFonts w:ascii="Calibri" w:hAnsi="Calibri"/>
                <w:sz w:val="18"/>
              </w:rPr>
              <w:t>Footprint, exceedance &amp; mixing-zone maps</w:t>
            </w:r>
          </w:p>
        </w:tc>
        <w:tc>
          <w:tcPr>
            <w:tcW w:type="dxa" w:w="1872"/>
          </w:tcPr>
          <w:p>
            <w:r/>
            <w:r>
              <w:rPr>
                <w:rFonts w:ascii="Calibri" w:hAnsi="Calibri"/>
                <w:sz w:val="18"/>
              </w:rPr>
              <w:t>GeoTIFF / shapefile / KML</w:t>
            </w:r>
          </w:p>
        </w:tc>
      </w:tr>
      <w:tr>
        <w:tc>
          <w:tcPr>
            <w:tcW w:type="dxa" w:w="2304"/>
          </w:tcPr>
          <w:p>
            <w:r/>
            <w:r>
              <w:rPr>
                <w:rFonts w:ascii="Calibri" w:hAnsi="Calibri"/>
                <w:sz w:val="18"/>
              </w:rPr>
              <w:t>Metric time series</w:t>
            </w:r>
          </w:p>
        </w:tc>
        <w:tc>
          <w:tcPr>
            <w:tcW w:type="dxa" w:w="4752"/>
          </w:tcPr>
          <w:p>
            <w:r/>
            <w:r>
              <w:rPr>
                <w:rFonts w:ascii="Calibri" w:hAnsi="Calibri"/>
                <w:sz w:val="18"/>
              </w:rPr>
              <w:t>All scalar metrics vs time</w:t>
            </w:r>
          </w:p>
        </w:tc>
        <w:tc>
          <w:tcPr>
            <w:tcW w:type="dxa" w:w="1872"/>
          </w:tcPr>
          <w:p>
            <w:r/>
            <w:r>
              <w:rPr>
                <w:rFonts w:ascii="Calibri" w:hAnsi="Calibri"/>
                <w:sz w:val="18"/>
              </w:rPr>
              <w:t>CSV / Parquet</w:t>
            </w:r>
          </w:p>
        </w:tc>
      </w:tr>
      <w:tr>
        <w:tc>
          <w:tcPr>
            <w:tcW w:type="dxa" w:w="2304"/>
          </w:tcPr>
          <w:p>
            <w:r/>
            <w:r>
              <w:rPr>
                <w:rFonts w:ascii="Calibri" w:hAnsi="Calibri"/>
                <w:sz w:val="18"/>
              </w:rPr>
              <w:t>Statistical summary</w:t>
            </w:r>
          </w:p>
        </w:tc>
        <w:tc>
          <w:tcPr>
            <w:tcW w:type="dxa" w:w="4752"/>
          </w:tcPr>
          <w:p>
            <w:r/>
            <w:r>
              <w:rPr>
                <w:rFonts w:ascii="Calibri" w:hAnsi="Calibri"/>
                <w:sz w:val="18"/>
              </w:rPr>
              <w:t>Means, percentiles, exceedance, Sobol indices</w:t>
            </w:r>
          </w:p>
        </w:tc>
        <w:tc>
          <w:tcPr>
            <w:tcW w:type="dxa" w:w="1872"/>
          </w:tcPr>
          <w:p>
            <w:r/>
            <w:r>
              <w:rPr>
                <w:rFonts w:ascii="Calibri" w:hAnsi="Calibri"/>
                <w:sz w:val="18"/>
              </w:rPr>
              <w:t>CSV / JSON</w:t>
            </w:r>
          </w:p>
        </w:tc>
      </w:tr>
      <w:tr>
        <w:tc>
          <w:tcPr>
            <w:tcW w:type="dxa" w:w="2304"/>
          </w:tcPr>
          <w:p>
            <w:r/>
            <w:r>
              <w:rPr>
                <w:rFonts w:ascii="Calibri" w:hAnsi="Calibri"/>
                <w:sz w:val="18"/>
              </w:rPr>
              <w:t>Figures &amp; charts</w:t>
            </w:r>
          </w:p>
        </w:tc>
        <w:tc>
          <w:tcPr>
            <w:tcW w:type="dxa" w:w="4752"/>
          </w:tcPr>
          <w:p>
            <w:r/>
            <w:r>
              <w:rPr>
                <w:rFonts w:ascii="Calibri" w:hAnsi="Calibri"/>
                <w:sz w:val="18"/>
              </w:rPr>
              <w:t>All curves, maps, profiles</w:t>
            </w:r>
          </w:p>
        </w:tc>
        <w:tc>
          <w:tcPr>
            <w:tcW w:type="dxa" w:w="1872"/>
          </w:tcPr>
          <w:p>
            <w:r/>
            <w:r>
              <w:rPr>
                <w:rFonts w:ascii="Calibri" w:hAnsi="Calibri"/>
                <w:sz w:val="18"/>
              </w:rPr>
              <w:t>PNG / SVG / PDF</w:t>
            </w:r>
          </w:p>
        </w:tc>
      </w:tr>
      <w:tr>
        <w:tc>
          <w:tcPr>
            <w:tcW w:type="dxa" w:w="2304"/>
          </w:tcPr>
          <w:p>
            <w:r/>
            <w:r>
              <w:rPr>
                <w:rFonts w:ascii="Calibri" w:hAnsi="Calibri"/>
                <w:sz w:val="18"/>
              </w:rPr>
              <w:t>Animations</w:t>
            </w:r>
          </w:p>
        </w:tc>
        <w:tc>
          <w:tcPr>
            <w:tcW w:type="dxa" w:w="4752"/>
          </w:tcPr>
          <w:p>
            <w:r/>
            <w:r>
              <w:rPr>
                <w:rFonts w:ascii="Calibri" w:hAnsi="Calibri"/>
                <w:sz w:val="18"/>
              </w:rPr>
              <w:t>Time-lapse and 3-D fly-throughs</w:t>
            </w:r>
          </w:p>
        </w:tc>
        <w:tc>
          <w:tcPr>
            <w:tcW w:type="dxa" w:w="1872"/>
          </w:tcPr>
          <w:p>
            <w:r/>
            <w:r>
              <w:rPr>
                <w:rFonts w:ascii="Calibri" w:hAnsi="Calibri"/>
                <w:sz w:val="18"/>
              </w:rPr>
              <w:t>MP4 / GIF</w:t>
            </w:r>
          </w:p>
        </w:tc>
      </w:tr>
      <w:tr>
        <w:tc>
          <w:tcPr>
            <w:tcW w:type="dxa" w:w="2304"/>
          </w:tcPr>
          <w:p>
            <w:r/>
            <w:r>
              <w:rPr>
                <w:rFonts w:ascii="Calibri" w:hAnsi="Calibri"/>
                <w:sz w:val="18"/>
              </w:rPr>
              <w:t>Compliance report</w:t>
            </w:r>
          </w:p>
        </w:tc>
        <w:tc>
          <w:tcPr>
            <w:tcW w:type="dxa" w:w="4752"/>
          </w:tcPr>
          <w:p>
            <w:r/>
            <w:r>
              <w:rPr>
                <w:rFonts w:ascii="Calibri" w:hAnsi="Calibri"/>
                <w:sz w:val="18"/>
              </w:rPr>
              <w:t>Auto-generated EIA-style summary</w:t>
            </w:r>
          </w:p>
        </w:tc>
        <w:tc>
          <w:tcPr>
            <w:tcW w:type="dxa" w:w="1872"/>
          </w:tcPr>
          <w:p>
            <w:r/>
            <w:r>
              <w:rPr>
                <w:rFonts w:ascii="Calibri" w:hAnsi="Calibri"/>
                <w:sz w:val="18"/>
              </w:rPr>
              <w:t>PDF / DOCX</w:t>
            </w:r>
          </w:p>
        </w:tc>
      </w:tr>
    </w:tbl>
    <w:p>
      <w:r>
        <w:br w:type="page"/>
      </w:r>
    </w:p>
    <w:p>
      <w:pPr>
        <w:pStyle w:val="Heading1"/>
      </w:pPr>
      <w:r>
        <w:t>10. Consolidated Quick-Reference Index of Outputs</w:t>
      </w:r>
    </w:p>
    <w:p>
      <w:pPr>
        <w:spacing w:after="120"/>
      </w:pPr>
      <w:r>
        <w:rPr>
          <w:rFonts w:ascii="Calibri" w:hAnsi="Calibri"/>
          <w:b w:val="0"/>
          <w:i w:val="0"/>
          <w:sz w:val="22"/>
        </w:rPr>
        <w:t>The headline deliverables, in priority order, that together constitute the model's prediction: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576"/>
            <w:shd w:val="clear" w:color="auto" w:fill="1F4E79"/>
          </w:tcPr>
          <w:p>
            <w:r/>
            <w:r>
              <w:rPr>
                <w:rFonts w:ascii="Calibri" w:hAnsi="Calibri"/>
                <w:b/>
                <w:color w:val="FFFFFF"/>
                <w:sz w:val="18"/>
              </w:rPr>
              <w:t>#</w:t>
            </w:r>
          </w:p>
        </w:tc>
        <w:tc>
          <w:tcPr>
            <w:tcW w:type="dxa" w:w="3600"/>
            <w:shd w:val="clear" w:color="auto" w:fill="1F4E79"/>
          </w:tcPr>
          <w:p>
            <w:r/>
            <w:r>
              <w:rPr>
                <w:rFonts w:ascii="Calibri" w:hAnsi="Calibri"/>
                <w:b/>
                <w:color w:val="FFFFFF"/>
                <w:sz w:val="18"/>
              </w:rPr>
              <w:t>Output</w:t>
            </w:r>
          </w:p>
        </w:tc>
        <w:tc>
          <w:tcPr>
            <w:tcW w:type="dxa" w:w="4752"/>
            <w:shd w:val="clear" w:color="auto" w:fill="1F4E79"/>
          </w:tcPr>
          <w:p>
            <w:r/>
            <w:r>
              <w:rPr>
                <w:rFonts w:ascii="Calibri" w:hAnsi="Calibri"/>
                <w:b/>
                <w:color w:val="FFFFFF"/>
                <w:sz w:val="18"/>
              </w:rPr>
              <w:t>Answers the question</w:t>
            </w:r>
          </w:p>
        </w:tc>
      </w:tr>
      <w:tr>
        <w:tc>
          <w:tcPr>
            <w:tcW w:type="dxa" w:w="576"/>
          </w:tcPr>
          <w:p>
            <w:r/>
            <w:r>
              <w:rPr>
                <w:rFonts w:ascii="Calibri" w:hAnsi="Calibri"/>
                <w:sz w:val="18"/>
              </w:rPr>
              <w:t>1</w:t>
            </w:r>
          </w:p>
        </w:tc>
        <w:tc>
          <w:tcPr>
            <w:tcW w:type="dxa" w:w="3600"/>
          </w:tcPr>
          <w:p>
            <w:r/>
            <w:r>
              <w:rPr>
                <w:rFonts w:ascii="Calibri" w:hAnsi="Calibri"/>
                <w:sz w:val="18"/>
              </w:rPr>
              <w:t>4-D salinity field S(x,y,z,t)</w:t>
            </w:r>
          </w:p>
        </w:tc>
        <w:tc>
          <w:tcPr>
            <w:tcW w:type="dxa" w:w="4752"/>
          </w:tcPr>
          <w:p>
            <w:r/>
            <w:r>
              <w:rPr>
                <w:rFonts w:ascii="Calibri" w:hAnsi="Calibri"/>
                <w:sz w:val="18"/>
              </w:rPr>
              <w:t>What is the salinity everywhere, at all times?</w:t>
            </w:r>
          </w:p>
        </w:tc>
      </w:tr>
      <w:tr>
        <w:tc>
          <w:tcPr>
            <w:tcW w:type="dxa" w:w="576"/>
          </w:tcPr>
          <w:p>
            <w:r/>
            <w:r>
              <w:rPr>
                <w:rFonts w:ascii="Calibri" w:hAnsi="Calibri"/>
                <w:sz w:val="18"/>
              </w:rPr>
              <w:t>2</w:t>
            </w:r>
          </w:p>
        </w:tc>
        <w:tc>
          <w:tcPr>
            <w:tcW w:type="dxa" w:w="3600"/>
          </w:tcPr>
          <w:p>
            <w:r/>
            <w:r>
              <w:rPr>
                <w:rFonts w:ascii="Calibri" w:hAnsi="Calibri"/>
                <w:sz w:val="18"/>
              </w:rPr>
              <w:t>Excess-salinity ΔS &amp; dilution 𝒟 fields</w:t>
            </w:r>
          </w:p>
        </w:tc>
        <w:tc>
          <w:tcPr>
            <w:tcW w:type="dxa" w:w="4752"/>
          </w:tcPr>
          <w:p>
            <w:r/>
            <w:r>
              <w:rPr>
                <w:rFonts w:ascii="Calibri" w:hAnsi="Calibri"/>
                <w:sz w:val="18"/>
              </w:rPr>
              <w:t>How much above ambient / how diluted?</w:t>
            </w:r>
          </w:p>
        </w:tc>
      </w:tr>
      <w:tr>
        <w:tc>
          <w:tcPr>
            <w:tcW w:type="dxa" w:w="576"/>
          </w:tcPr>
          <w:p>
            <w:r/>
            <w:r>
              <w:rPr>
                <w:rFonts w:ascii="Calibri" w:hAnsi="Calibri"/>
                <w:sz w:val="18"/>
              </w:rPr>
              <w:t>3</w:t>
            </w:r>
          </w:p>
        </w:tc>
        <w:tc>
          <w:tcPr>
            <w:tcW w:type="dxa" w:w="3600"/>
          </w:tcPr>
          <w:p>
            <w:r/>
            <w:r>
              <w:rPr>
                <w:rFonts w:ascii="Calibri" w:hAnsi="Calibri"/>
                <w:sz w:val="18"/>
              </w:rPr>
              <w:t>r_max &amp; z_max (with confidence)</w:t>
            </w:r>
          </w:p>
        </w:tc>
        <w:tc>
          <w:tcPr>
            <w:tcW w:type="dxa" w:w="4752"/>
          </w:tcPr>
          <w:p>
            <w:r/>
            <w:r>
              <w:rPr>
                <w:rFonts w:ascii="Calibri" w:hAnsi="Calibri"/>
                <w:sz w:val="18"/>
              </w:rPr>
              <w:t>How FAR and how DEEP does the brine reach?</w:t>
            </w:r>
          </w:p>
        </w:tc>
      </w:tr>
      <w:tr>
        <w:tc>
          <w:tcPr>
            <w:tcW w:type="dxa" w:w="576"/>
          </w:tcPr>
          <w:p>
            <w:r/>
            <w:r>
              <w:rPr>
                <w:rFonts w:ascii="Calibri" w:hAnsi="Calibri"/>
                <w:sz w:val="18"/>
              </w:rPr>
              <w:t>4</w:t>
            </w:r>
          </w:p>
        </w:tc>
        <w:tc>
          <w:tcPr>
            <w:tcW w:type="dxa" w:w="3600"/>
          </w:tcPr>
          <w:p>
            <w:r/>
            <w:r>
              <w:rPr>
                <w:rFonts w:ascii="Calibri" w:hAnsi="Calibri"/>
                <w:sz w:val="18"/>
              </w:rPr>
              <w:t>Seabed footprint area 𝒜 &amp; affected volume</w:t>
            </w:r>
          </w:p>
        </w:tc>
        <w:tc>
          <w:tcPr>
            <w:tcW w:type="dxa" w:w="4752"/>
          </w:tcPr>
          <w:p>
            <w:r/>
            <w:r>
              <w:rPr>
                <w:rFonts w:ascii="Calibri" w:hAnsi="Calibri"/>
                <w:sz w:val="18"/>
              </w:rPr>
              <w:t>How large is the impacted zone?</w:t>
            </w:r>
          </w:p>
        </w:tc>
      </w:tr>
      <w:tr>
        <w:tc>
          <w:tcPr>
            <w:tcW w:type="dxa" w:w="576"/>
          </w:tcPr>
          <w:p>
            <w:r/>
            <w:r>
              <w:rPr>
                <w:rFonts w:ascii="Calibri" w:hAnsi="Calibri"/>
                <w:sz w:val="18"/>
              </w:rPr>
              <w:t>5</w:t>
            </w:r>
          </w:p>
        </w:tc>
        <w:tc>
          <w:tcPr>
            <w:tcW w:type="dxa" w:w="3600"/>
          </w:tcPr>
          <w:p>
            <w:r/>
            <w:r>
              <w:rPr>
                <w:rFonts w:ascii="Calibri" w:hAnsi="Calibri"/>
                <w:sz w:val="18"/>
              </w:rPr>
              <w:t>Plume trajectory &amp; rise/return geometry</w:t>
            </w:r>
          </w:p>
        </w:tc>
        <w:tc>
          <w:tcPr>
            <w:tcW w:type="dxa" w:w="4752"/>
          </w:tcPr>
          <w:p>
            <w:r/>
            <w:r>
              <w:rPr>
                <w:rFonts w:ascii="Calibri" w:hAnsi="Calibri"/>
                <w:sz w:val="18"/>
              </w:rPr>
              <w:t>Where does the jet go and land?</w:t>
            </w:r>
          </w:p>
        </w:tc>
      </w:tr>
      <w:tr>
        <w:tc>
          <w:tcPr>
            <w:tcW w:type="dxa" w:w="576"/>
          </w:tcPr>
          <w:p>
            <w:r/>
            <w:r>
              <w:rPr>
                <w:rFonts w:ascii="Calibri" w:hAnsi="Calibri"/>
                <w:sz w:val="18"/>
              </w:rPr>
              <w:t>6</w:t>
            </w:r>
          </w:p>
        </w:tc>
        <w:tc>
          <w:tcPr>
            <w:tcW w:type="dxa" w:w="3600"/>
          </w:tcPr>
          <w:p>
            <w:r/>
            <w:r>
              <w:rPr>
                <w:rFonts w:ascii="Calibri" w:hAnsi="Calibri"/>
                <w:sz w:val="18"/>
              </w:rPr>
              <w:t>Centerline-dilution &amp; decay curves</w:t>
            </w:r>
          </w:p>
        </w:tc>
        <w:tc>
          <w:tcPr>
            <w:tcW w:type="dxa" w:w="4752"/>
          </w:tcPr>
          <w:p>
            <w:r/>
            <w:r>
              <w:rPr>
                <w:rFonts w:ascii="Calibri" w:hAnsi="Calibri"/>
                <w:sz w:val="18"/>
              </w:rPr>
              <w:t>How quickly does it dilute with distance?</w:t>
            </w:r>
          </w:p>
        </w:tc>
      </w:tr>
      <w:tr>
        <w:tc>
          <w:tcPr>
            <w:tcW w:type="dxa" w:w="576"/>
          </w:tcPr>
          <w:p>
            <w:r/>
            <w:r>
              <w:rPr>
                <w:rFonts w:ascii="Calibri" w:hAnsi="Calibri"/>
                <w:sz w:val="18"/>
              </w:rPr>
              <w:t>7</w:t>
            </w:r>
          </w:p>
        </w:tc>
        <w:tc>
          <w:tcPr>
            <w:tcW w:type="dxa" w:w="3600"/>
          </w:tcPr>
          <w:p>
            <w:r/>
            <w:r>
              <w:rPr>
                <w:rFonts w:ascii="Calibri" w:hAnsi="Calibri"/>
                <w:sz w:val="18"/>
              </w:rPr>
              <w:t>Exceedance-probability / risk maps</w:t>
            </w:r>
          </w:p>
        </w:tc>
        <w:tc>
          <w:tcPr>
            <w:tcW w:type="dxa" w:w="4752"/>
          </w:tcPr>
          <w:p>
            <w:r/>
            <w:r>
              <w:rPr>
                <w:rFonts w:ascii="Calibri" w:hAnsi="Calibri"/>
                <w:sz w:val="18"/>
              </w:rPr>
              <w:t>With what probability is a limit exceeded?</w:t>
            </w:r>
          </w:p>
        </w:tc>
      </w:tr>
      <w:tr>
        <w:tc>
          <w:tcPr>
            <w:tcW w:type="dxa" w:w="576"/>
          </w:tcPr>
          <w:p>
            <w:r/>
            <w:r>
              <w:rPr>
                <w:rFonts w:ascii="Calibri" w:hAnsi="Calibri"/>
                <w:sz w:val="18"/>
              </w:rPr>
              <w:t>8</w:t>
            </w:r>
          </w:p>
        </w:tc>
        <w:tc>
          <w:tcPr>
            <w:tcW w:type="dxa" w:w="3600"/>
          </w:tcPr>
          <w:p>
            <w:r/>
            <w:r>
              <w:rPr>
                <w:rFonts w:ascii="Calibri" w:hAnsi="Calibri"/>
                <w:sz w:val="18"/>
              </w:rPr>
              <w:t>Confidence envelopes on all metrics</w:t>
            </w:r>
          </w:p>
        </w:tc>
        <w:tc>
          <w:tcPr>
            <w:tcW w:type="dxa" w:w="4752"/>
          </w:tcPr>
          <w:p>
            <w:r/>
            <w:r>
              <w:rPr>
                <w:rFonts w:ascii="Calibri" w:hAnsi="Calibri"/>
                <w:sz w:val="18"/>
              </w:rPr>
              <w:t>How certain is the prediction?</w:t>
            </w:r>
          </w:p>
        </w:tc>
      </w:tr>
      <w:tr>
        <w:tc>
          <w:tcPr>
            <w:tcW w:type="dxa" w:w="576"/>
          </w:tcPr>
          <w:p>
            <w:r/>
            <w:r>
              <w:rPr>
                <w:rFonts w:ascii="Calibri" w:hAnsi="Calibri"/>
                <w:sz w:val="18"/>
              </w:rPr>
              <w:t>9</w:t>
            </w:r>
          </w:p>
        </w:tc>
        <w:tc>
          <w:tcPr>
            <w:tcW w:type="dxa" w:w="3600"/>
          </w:tcPr>
          <w:p>
            <w:r/>
            <w:r>
              <w:rPr>
                <w:rFonts w:ascii="Calibri" w:hAnsi="Calibri"/>
                <w:sz w:val="18"/>
              </w:rPr>
              <w:t>Mixing-zone boundary &amp; compliance flags</w:t>
            </w:r>
          </w:p>
        </w:tc>
        <w:tc>
          <w:tcPr>
            <w:tcW w:type="dxa" w:w="4752"/>
          </w:tcPr>
          <w:p>
            <w:r/>
            <w:r>
              <w:rPr>
                <w:rFonts w:ascii="Calibri" w:hAnsi="Calibri"/>
                <w:sz w:val="18"/>
              </w:rPr>
              <w:t>Does it meet environmental limits?</w:t>
            </w:r>
          </w:p>
        </w:tc>
      </w:tr>
      <w:tr>
        <w:tc>
          <w:tcPr>
            <w:tcW w:type="dxa" w:w="576"/>
          </w:tcPr>
          <w:p>
            <w:r/>
            <w:r>
              <w:rPr>
                <w:rFonts w:ascii="Calibri" w:hAnsi="Calibri"/>
                <w:sz w:val="18"/>
              </w:rPr>
              <w:t>10</w:t>
            </w:r>
          </w:p>
        </w:tc>
        <w:tc>
          <w:tcPr>
            <w:tcW w:type="dxa" w:w="3600"/>
          </w:tcPr>
          <w:p>
            <w:r/>
            <w:r>
              <w:rPr>
                <w:rFonts w:ascii="Calibri" w:hAnsi="Calibri"/>
                <w:sz w:val="18"/>
              </w:rPr>
              <w:t>Time series &amp; animations</w:t>
            </w:r>
          </w:p>
        </w:tc>
        <w:tc>
          <w:tcPr>
            <w:tcW w:type="dxa" w:w="4752"/>
          </w:tcPr>
          <w:p>
            <w:r/>
            <w:r>
              <w:rPr>
                <w:rFonts w:ascii="Calibri" w:hAnsi="Calibri"/>
                <w:sz w:val="18"/>
              </w:rPr>
              <w:t>How does it evolve in the unsteady sea?</w:t>
            </w:r>
          </w:p>
        </w:tc>
      </w:tr>
      <w:tr>
        <w:tc>
          <w:tcPr>
            <w:tcW w:type="dxa" w:w="576"/>
          </w:tcPr>
          <w:p>
            <w:r/>
            <w:r>
              <w:rPr>
                <w:rFonts w:ascii="Calibri" w:hAnsi="Calibri"/>
                <w:sz w:val="18"/>
              </w:rPr>
              <w:t>11</w:t>
            </w:r>
          </w:p>
        </w:tc>
        <w:tc>
          <w:tcPr>
            <w:tcW w:type="dxa" w:w="3600"/>
          </w:tcPr>
          <w:p>
            <w:r/>
            <w:r>
              <w:rPr>
                <w:rFonts w:ascii="Calibri" w:hAnsi="Calibri"/>
                <w:sz w:val="18"/>
              </w:rPr>
              <w:t>Vertical profiles of S, T, ρ, u</w:t>
            </w:r>
          </w:p>
        </w:tc>
        <w:tc>
          <w:tcPr>
            <w:tcW w:type="dxa" w:w="4752"/>
          </w:tcPr>
          <w:p>
            <w:r/>
            <w:r>
              <w:rPr>
                <w:rFonts w:ascii="Calibri" w:hAnsi="Calibri"/>
                <w:sz w:val="18"/>
              </w:rPr>
              <w:t>What is the vertical structure?</w:t>
            </w:r>
          </w:p>
        </w:tc>
      </w:tr>
      <w:tr>
        <w:tc>
          <w:tcPr>
            <w:tcW w:type="dxa" w:w="576"/>
          </w:tcPr>
          <w:p>
            <w:r/>
            <w:r>
              <w:rPr>
                <w:rFonts w:ascii="Calibri" w:hAnsi="Calibri"/>
                <w:sz w:val="18"/>
              </w:rPr>
              <w:t>12</w:t>
            </w:r>
          </w:p>
        </w:tc>
        <w:tc>
          <w:tcPr>
            <w:tcW w:type="dxa" w:w="3600"/>
          </w:tcPr>
          <w:p>
            <w:r/>
            <w:r>
              <w:rPr>
                <w:rFonts w:ascii="Calibri" w:hAnsi="Calibri"/>
                <w:sz w:val="18"/>
              </w:rPr>
              <w:t>Vorticity, turbulence &amp; Richardson maps</w:t>
            </w:r>
          </w:p>
        </w:tc>
        <w:tc>
          <w:tcPr>
            <w:tcW w:type="dxa" w:w="4752"/>
          </w:tcPr>
          <w:p>
            <w:r/>
            <w:r>
              <w:rPr>
                <w:rFonts w:ascii="Calibri" w:hAnsi="Calibri"/>
                <w:sz w:val="18"/>
              </w:rPr>
              <w:t>How and where does mixing occur?</w:t>
            </w:r>
          </w:p>
        </w:tc>
      </w:tr>
      <w:tr>
        <w:tc>
          <w:tcPr>
            <w:tcW w:type="dxa" w:w="576"/>
          </w:tcPr>
          <w:p>
            <w:r/>
            <w:r>
              <w:rPr>
                <w:rFonts w:ascii="Calibri" w:hAnsi="Calibri"/>
                <w:sz w:val="18"/>
              </w:rPr>
              <w:t>13</w:t>
            </w:r>
          </w:p>
        </w:tc>
        <w:tc>
          <w:tcPr>
            <w:tcW w:type="dxa" w:w="3600"/>
          </w:tcPr>
          <w:p>
            <w:r/>
            <w:r>
              <w:rPr>
                <w:rFonts w:ascii="Calibri" w:hAnsi="Calibri"/>
                <w:sz w:val="18"/>
              </w:rPr>
              <w:t>Sensitivity / Sobol charts</w:t>
            </w:r>
          </w:p>
        </w:tc>
        <w:tc>
          <w:tcPr>
            <w:tcW w:type="dxa" w:w="4752"/>
          </w:tcPr>
          <w:p>
            <w:r/>
            <w:r>
              <w:rPr>
                <w:rFonts w:ascii="Calibri" w:hAnsi="Calibri"/>
                <w:sz w:val="18"/>
              </w:rPr>
              <w:t>Which inputs control the outcome?</w:t>
            </w:r>
          </w:p>
        </w:tc>
      </w:tr>
      <w:tr>
        <w:tc>
          <w:tcPr>
            <w:tcW w:type="dxa" w:w="576"/>
          </w:tcPr>
          <w:p>
            <w:r/>
            <w:r>
              <w:rPr>
                <w:rFonts w:ascii="Calibri" w:hAnsi="Calibri"/>
                <w:sz w:val="18"/>
              </w:rPr>
              <w:t>14</w:t>
            </w:r>
          </w:p>
        </w:tc>
        <w:tc>
          <w:tcPr>
            <w:tcW w:type="dxa" w:w="3600"/>
          </w:tcPr>
          <w:p>
            <w:r/>
            <w:r>
              <w:rPr>
                <w:rFonts w:ascii="Calibri" w:hAnsi="Calibri"/>
                <w:sz w:val="18"/>
              </w:rPr>
              <w:t>Validation scatter &amp; skill scores</w:t>
            </w:r>
          </w:p>
        </w:tc>
        <w:tc>
          <w:tcPr>
            <w:tcW w:type="dxa" w:w="4752"/>
          </w:tcPr>
          <w:p>
            <w:r/>
            <w:r>
              <w:rPr>
                <w:rFonts w:ascii="Calibri" w:hAnsi="Calibri"/>
                <w:sz w:val="18"/>
              </w:rPr>
              <w:t>Can the prediction be trusted?</w:t>
            </w:r>
          </w:p>
        </w:tc>
      </w:tr>
      <w:tr>
        <w:tc>
          <w:tcPr>
            <w:tcW w:type="dxa" w:w="576"/>
          </w:tcPr>
          <w:p>
            <w:r/>
            <w:r>
              <w:rPr>
                <w:rFonts w:ascii="Calibri" w:hAnsi="Calibri"/>
                <w:sz w:val="18"/>
              </w:rPr>
              <w:t>15</w:t>
            </w:r>
          </w:p>
        </w:tc>
        <w:tc>
          <w:tcPr>
            <w:tcW w:type="dxa" w:w="3600"/>
          </w:tcPr>
          <w:p>
            <w:r/>
            <w:r>
              <w:rPr>
                <w:rFonts w:ascii="Calibri" w:hAnsi="Calibri"/>
                <w:sz w:val="18"/>
              </w:rPr>
              <w:t>NetCDF / GeoTIFF / CSV / report exports</w:t>
            </w:r>
          </w:p>
        </w:tc>
        <w:tc>
          <w:tcPr>
            <w:tcW w:type="dxa" w:w="4752"/>
          </w:tcPr>
          <w:p>
            <w:r/>
            <w:r>
              <w:rPr>
                <w:rFonts w:ascii="Calibri" w:hAnsi="Calibri"/>
                <w:sz w:val="18"/>
              </w:rPr>
              <w:t>How is it delivered and reused?</w:t>
            </w:r>
          </w:p>
        </w:tc>
      </w:tr>
    </w:tbl>
    <w:p>
      <w:pPr>
        <w:spacing w:after="160"/>
      </w:pPr>
    </w:p>
    <w:p>
      <w:pPr>
        <w:spacing w:after="120"/>
      </w:pPr>
      <w:r>
        <w:rPr>
          <w:rFonts w:ascii="Calibri" w:hAnsi="Calibri"/>
          <w:b w:val="0"/>
          <w:i/>
          <w:sz w:val="22"/>
        </w:rPr>
        <w:t>Note on possibly-overlooked outputs now included above: vorticity/eddy fields, residence (flushing) time, bed-shear / scour potential, cumulative exposure (dose) maps, return-period statistics, Sobol variance indices, power spectra of salinity variability, entropy-production consistency checks, and directional risk roses — these are frequently omitted from conventional brine-plume reporting but are produced natively by NEREID-B because of its stochastic, fully-coupled formulation.</w:t>
      </w:r>
    </w:p>
    <w:p>
      <w:pPr>
        <w:jc w:val="center"/>
      </w:pPr>
      <w:r>
        <w:rPr>
          <w:rFonts w:ascii="Calibri" w:hAnsi="Calibri"/>
          <w:b/>
          <w:color w:val="1F4E79"/>
          <w:sz w:val="52"/>
        </w:rPr>
        <w:t>Brine-Outfall Salinity Dispersion Study</w:t>
      </w:r>
    </w:p>
    <w:p>
      <w:pPr>
        <w:jc w:val="center"/>
      </w:pPr>
      <w:r>
        <w:rPr>
          <w:rFonts w:ascii="Calibri" w:hAnsi="Calibri"/>
          <w:i/>
          <w:sz w:val="28"/>
        </w:rPr>
        <w:t>Near-Field and Far-Field Prediction for a 150,000 m³/day Seawater Reverse-Osmosis (SWRO) Desalination Outfall</w:t>
      </w:r>
    </w:p>
    <w:p>
      <w:pPr>
        <w:jc w:val="center"/>
      </w:pPr>
      <w:r>
        <w:rPr>
          <w:rFonts w:ascii="Calibri" w:hAnsi="Calibri"/>
          <w:sz w:val="24"/>
        </w:rPr>
        <w:t>Simulated with the NEREID-B coupled stochastic partial-differential-equation model</w:t>
      </w:r>
    </w:p>
    <w:p>
      <w:pPr>
        <w:jc w:val="center"/>
      </w:pPr>
      <w:r>
        <w:rPr>
          <w:rFonts w:ascii="Calibri" w:hAnsi="Calibri"/>
          <w:color w:val="555555"/>
          <w:sz w:val="22"/>
        </w:rPr>
        <w:t>Engineering Simulation Report  ·  Rev. 1.0  ·  11 June 2026</w:t>
      </w:r>
    </w:p>
    <w:p>
      <w:r>
        <w:br w:type="page"/>
      </w:r>
    </w:p>
    <w:p>
      <w:pPr>
        <w:pStyle w:val="Heading1"/>
      </w:pPr>
      <w:r>
        <w:t>Executive Summary</w:t>
      </w:r>
    </w:p>
    <w:p>
      <w:pPr>
        <w:spacing w:after="120"/>
      </w:pPr>
      <w:r>
        <w:rPr>
          <w:rFonts w:ascii="Calibri" w:hAnsi="Calibri"/>
          <w:b w:val="0"/>
          <w:i w:val="0"/>
          <w:sz w:val="22"/>
        </w:rPr>
        <w:t>This study predicts the three-dimensional, time-evolving salinity field produced when the concentrated reject (brine) of a 150,000 m³/day SWRO desalination plant is discharged through an inclined submarine multiport diffuser into a coastal sea. The total brine flow of 2.08 m³/s (salinity 68 g/kg, ~1.8× the ambient 38.6 g/kg) is discharged through 16 ports of 250 mm diameter inclined at 60° in water 20–30 m deep.</w:t>
      </w:r>
    </w:p>
    <w:p>
      <w:pPr>
        <w:spacing w:after="120"/>
      </w:pPr>
      <w:r>
        <w:rPr>
          <w:rFonts w:ascii="Calibri" w:hAnsi="Calibri"/>
          <w:b w:val="0"/>
          <w:i w:val="0"/>
          <w:sz w:val="22"/>
        </w:rPr>
        <w:t>The validated near-field jet model predicts a terminal rise of 6.5 m (dimensionless z_t/(D·Fr) = 2.20, within the published laboratory band 2.1–2.8), a seabed return point 7.1 m from the diffuser, and a near-field (return-point) dilution of 19×, reducing the excess salinity from 29.4 g/kg at the port to 1.54 g/kg where the diluted plume reaches the seabed.</w:t>
      </w:r>
    </w:p>
    <w:p>
      <w:pPr>
        <w:spacing w:after="120"/>
      </w:pPr>
      <w:r>
        <w:rPr>
          <w:rFonts w:ascii="Calibri" w:hAnsi="Calibri"/>
          <w:b w:val="0"/>
          <w:i w:val="0"/>
          <w:sz w:val="22"/>
        </w:rPr>
        <w:t>The three-dimensional far-field model, seeded with this diluted plume, predicts a maximum seabed excess salinity of 2.13 g/kg, a footprint of 0 m² exceeding the regulatory increment of 2 g/kg, an affected water volume of 30028 m³, and a maximum horizontal reach of 45 m from the discharge. The exceedance footprint of the mean field is negligible (≈0 m²): the peak excess of 2.13 g/kg only marginally reaches the +2 g/kg limit in a small area of localized seabed pooling near the discharge, so the outfall is essentially compliant outside the immediate mixing zone.</w:t>
      </w:r>
    </w:p>
    <w:p>
      <w:pPr>
        <w:spacing w:after="200"/>
      </w:pPr>
      <w:r>
        <w:rPr>
          <w:rFonts w:ascii="Calibri" w:hAnsi="Calibri"/>
          <w:b w:val="0"/>
          <w:i w:val="0"/>
          <w:sz w:val="22"/>
        </w:rPr>
        <w:t>A 4-member stochastic ensemble (representing the unpredictability of currents, tides, wind and turbulence) yields a maximum seabed exceedance probability of 1.00, providing a calibrated confidence envelope on the predicted impact.</w:t>
      </w:r>
    </w:p>
    <w:p>
      <w:pPr>
        <w:spacing w:after="120"/>
      </w:pPr>
      <w:r>
        <w:rPr>
          <w:rFonts w:ascii="Calibri" w:hAnsi="Calibri"/>
          <w:b w:val="0"/>
          <w:i/>
          <w:sz w:val="22"/>
        </w:rPr>
        <w:t>Key predicted quantities are listed in Table 1; the full methodology, input data, results, compliance assessment and limitations follow.</w:t>
      </w:r>
    </w:p>
    <w:p>
      <w:pPr>
        <w:pStyle w:val="Heading3"/>
      </w:pPr>
      <w:r>
        <w:t>Table 1 — Headline predicted quantities</w:t>
      </w:r>
    </w:p>
    <w:tbl>
      <w:tblPr>
        <w:tblStyle w:val="LightGrid-Accent1"/>
        <w:tblW w:type="auto" w:w="0"/>
        <w:jc w:val="center"/>
        <w:tblLook w:firstColumn="1" w:firstRow="1" w:lastColumn="0" w:lastRow="0" w:noHBand="0" w:noVBand="1" w:val="04A0"/>
      </w:tblPr>
      <w:tblGrid>
        <w:gridCol w:w="2880"/>
        <w:gridCol w:w="2880"/>
        <w:gridCol w:w="2880"/>
      </w:tblGrid>
      <w:tr>
        <w:tc>
          <w:tcPr>
            <w:tcW w:type="dxa" w:w="3888"/>
            <w:shd w:val="clear" w:color="auto" w:fill="1F4E79"/>
          </w:tcPr>
          <w:p>
            <w:r/>
            <w:r>
              <w:rPr>
                <w:rFonts w:ascii="Calibri" w:hAnsi="Calibri"/>
                <w:b/>
                <w:color w:val="FFFFFF"/>
                <w:sz w:val="18"/>
              </w:rPr>
              <w:t>Quantity</w:t>
            </w:r>
          </w:p>
        </w:tc>
        <w:tc>
          <w:tcPr>
            <w:tcW w:type="dxa" w:w="2448"/>
            <w:shd w:val="clear" w:color="auto" w:fill="1F4E79"/>
          </w:tcPr>
          <w:p>
            <w:r/>
            <w:r>
              <w:rPr>
                <w:rFonts w:ascii="Calibri" w:hAnsi="Calibri"/>
                <w:b/>
                <w:color w:val="FFFFFF"/>
                <w:sz w:val="18"/>
              </w:rPr>
              <w:t>Predicted value</w:t>
            </w:r>
          </w:p>
        </w:tc>
        <w:tc>
          <w:tcPr>
            <w:tcW w:type="dxa" w:w="2880"/>
            <w:shd w:val="clear" w:color="auto" w:fill="1F4E79"/>
          </w:tcPr>
          <w:p>
            <w:r/>
            <w:r>
              <w:rPr>
                <w:rFonts w:ascii="Calibri" w:hAnsi="Calibri"/>
                <w:b/>
                <w:color w:val="FFFFFF"/>
                <w:sz w:val="18"/>
              </w:rPr>
              <w:t>Basis</w:t>
            </w:r>
          </w:p>
        </w:tc>
      </w:tr>
      <w:tr>
        <w:tc>
          <w:tcPr>
            <w:tcW w:type="dxa" w:w="3888"/>
          </w:tcPr>
          <w:p>
            <w:r/>
            <w:r>
              <w:rPr>
                <w:rFonts w:ascii="Calibri" w:hAnsi="Calibri"/>
                <w:sz w:val="18"/>
              </w:rPr>
              <w:t>Discharge densimetric Froude, Fr</w:t>
            </w:r>
          </w:p>
        </w:tc>
        <w:tc>
          <w:tcPr>
            <w:tcW w:type="dxa" w:w="2448"/>
          </w:tcPr>
          <w:p>
            <w:r/>
            <w:r>
              <w:rPr>
                <w:rFonts w:ascii="Calibri" w:hAnsi="Calibri"/>
                <w:sz w:val="18"/>
              </w:rPr>
              <w:t>11.9</w:t>
            </w:r>
          </w:p>
        </w:tc>
        <w:tc>
          <w:tcPr>
            <w:tcW w:type="dxa" w:w="2880"/>
          </w:tcPr>
          <w:p>
            <w:r/>
            <w:r>
              <w:rPr>
                <w:rFonts w:ascii="Calibri" w:hAnsi="Calibri"/>
                <w:sz w:val="18"/>
              </w:rPr>
              <w:t>U_d/√(g'·D)</w:t>
            </w:r>
          </w:p>
        </w:tc>
      </w:tr>
      <w:tr>
        <w:tc>
          <w:tcPr>
            <w:tcW w:type="dxa" w:w="3888"/>
          </w:tcPr>
          <w:p>
            <w:r/>
            <w:r>
              <w:rPr>
                <w:rFonts w:ascii="Calibri" w:hAnsi="Calibri"/>
                <w:sz w:val="18"/>
              </w:rPr>
              <w:t>Near-field terminal rise, z_t</w:t>
            </w:r>
          </w:p>
        </w:tc>
        <w:tc>
          <w:tcPr>
            <w:tcW w:type="dxa" w:w="2448"/>
          </w:tcPr>
          <w:p>
            <w:r/>
            <w:r>
              <w:rPr>
                <w:rFonts w:ascii="Calibri" w:hAnsi="Calibri"/>
                <w:sz w:val="18"/>
              </w:rPr>
              <w:t>6.5 m</w:t>
            </w:r>
          </w:p>
        </w:tc>
        <w:tc>
          <w:tcPr>
            <w:tcW w:type="dxa" w:w="2880"/>
          </w:tcPr>
          <w:p>
            <w:r/>
            <w:r>
              <w:rPr>
                <w:rFonts w:ascii="Calibri" w:hAnsi="Calibri"/>
                <w:sz w:val="18"/>
              </w:rPr>
              <w:t>validated correlation</w:t>
            </w:r>
          </w:p>
        </w:tc>
      </w:tr>
      <w:tr>
        <w:tc>
          <w:tcPr>
            <w:tcW w:type="dxa" w:w="3888"/>
          </w:tcPr>
          <w:p>
            <w:r/>
            <w:r>
              <w:rPr>
                <w:rFonts w:ascii="Calibri" w:hAnsi="Calibri"/>
                <w:sz w:val="18"/>
              </w:rPr>
              <w:t>Near-field return distance</w:t>
            </w:r>
          </w:p>
        </w:tc>
        <w:tc>
          <w:tcPr>
            <w:tcW w:type="dxa" w:w="2448"/>
          </w:tcPr>
          <w:p>
            <w:r/>
            <w:r>
              <w:rPr>
                <w:rFonts w:ascii="Calibri" w:hAnsi="Calibri"/>
                <w:sz w:val="18"/>
              </w:rPr>
              <w:t>7.1 m</w:t>
            </w:r>
          </w:p>
        </w:tc>
        <w:tc>
          <w:tcPr>
            <w:tcW w:type="dxa" w:w="2880"/>
          </w:tcPr>
          <w:p>
            <w:r/>
            <w:r>
              <w:rPr>
                <w:rFonts w:ascii="Calibri" w:hAnsi="Calibri"/>
                <w:sz w:val="18"/>
              </w:rPr>
              <w:t>validated correlation</w:t>
            </w:r>
          </w:p>
        </w:tc>
      </w:tr>
      <w:tr>
        <w:tc>
          <w:tcPr>
            <w:tcW w:type="dxa" w:w="3888"/>
          </w:tcPr>
          <w:p>
            <w:r/>
            <w:r>
              <w:rPr>
                <w:rFonts w:ascii="Calibri" w:hAnsi="Calibri"/>
                <w:sz w:val="18"/>
              </w:rPr>
              <w:t>Near-field (return) dilution</w:t>
            </w:r>
          </w:p>
        </w:tc>
        <w:tc>
          <w:tcPr>
            <w:tcW w:type="dxa" w:w="2448"/>
          </w:tcPr>
          <w:p>
            <w:r/>
            <w:r>
              <w:rPr>
                <w:rFonts w:ascii="Calibri" w:hAnsi="Calibri"/>
                <w:sz w:val="18"/>
              </w:rPr>
              <w:t>19 ×</w:t>
            </w:r>
          </w:p>
        </w:tc>
        <w:tc>
          <w:tcPr>
            <w:tcW w:type="dxa" w:w="2880"/>
          </w:tcPr>
          <w:p>
            <w:r/>
            <w:r>
              <w:rPr>
                <w:rFonts w:ascii="Calibri" w:hAnsi="Calibri"/>
                <w:sz w:val="18"/>
              </w:rPr>
              <w:t>validated correlation</w:t>
            </w:r>
          </w:p>
        </w:tc>
      </w:tr>
      <w:tr>
        <w:tc>
          <w:tcPr>
            <w:tcW w:type="dxa" w:w="3888"/>
          </w:tcPr>
          <w:p>
            <w:r/>
            <w:r>
              <w:rPr>
                <w:rFonts w:ascii="Calibri" w:hAnsi="Calibri"/>
                <w:sz w:val="18"/>
              </w:rPr>
              <w:t>Excess salinity at return point</w:t>
            </w:r>
          </w:p>
        </w:tc>
        <w:tc>
          <w:tcPr>
            <w:tcW w:type="dxa" w:w="2448"/>
          </w:tcPr>
          <w:p>
            <w:r/>
            <w:r>
              <w:rPr>
                <w:rFonts w:ascii="Calibri" w:hAnsi="Calibri"/>
                <w:sz w:val="18"/>
              </w:rPr>
              <w:t>1.54 g/kg</w:t>
            </w:r>
          </w:p>
        </w:tc>
        <w:tc>
          <w:tcPr>
            <w:tcW w:type="dxa" w:w="2880"/>
          </w:tcPr>
          <w:p>
            <w:r/>
            <w:r>
              <w:rPr>
                <w:rFonts w:ascii="Calibri" w:hAnsi="Calibri"/>
                <w:sz w:val="18"/>
              </w:rPr>
              <w:t>S0/dilution</w:t>
            </w:r>
          </w:p>
        </w:tc>
      </w:tr>
      <w:tr>
        <w:tc>
          <w:tcPr>
            <w:tcW w:type="dxa" w:w="3888"/>
          </w:tcPr>
          <w:p>
            <w:r/>
            <w:r>
              <w:rPr>
                <w:rFonts w:ascii="Calibri" w:hAnsi="Calibri"/>
                <w:sz w:val="18"/>
              </w:rPr>
              <w:t>Far-field peak excess ΔS</w:t>
            </w:r>
          </w:p>
        </w:tc>
        <w:tc>
          <w:tcPr>
            <w:tcW w:type="dxa" w:w="2448"/>
          </w:tcPr>
          <w:p>
            <w:r/>
            <w:r>
              <w:rPr>
                <w:rFonts w:ascii="Calibri" w:hAnsi="Calibri"/>
                <w:sz w:val="18"/>
              </w:rPr>
              <w:t>2.13 g/kg</w:t>
            </w:r>
          </w:p>
        </w:tc>
        <w:tc>
          <w:tcPr>
            <w:tcW w:type="dxa" w:w="2880"/>
          </w:tcPr>
          <w:p>
            <w:r/>
            <w:r>
              <w:rPr>
                <w:rFonts w:ascii="Calibri" w:hAnsi="Calibri"/>
                <w:sz w:val="18"/>
              </w:rPr>
              <w:t>3-D model</w:t>
            </w:r>
          </w:p>
        </w:tc>
      </w:tr>
      <w:tr>
        <w:tc>
          <w:tcPr>
            <w:tcW w:type="dxa" w:w="3888"/>
          </w:tcPr>
          <w:p>
            <w:r/>
            <w:r>
              <w:rPr>
                <w:rFonts w:ascii="Calibri" w:hAnsi="Calibri"/>
                <w:sz w:val="18"/>
              </w:rPr>
              <w:t>Far-field footprint (&gt;ΔS_crit)</w:t>
            </w:r>
          </w:p>
        </w:tc>
        <w:tc>
          <w:tcPr>
            <w:tcW w:type="dxa" w:w="2448"/>
          </w:tcPr>
          <w:p>
            <w:r/>
            <w:r>
              <w:rPr>
                <w:rFonts w:ascii="Calibri" w:hAnsi="Calibri"/>
                <w:sz w:val="18"/>
              </w:rPr>
              <w:t>0 m²</w:t>
            </w:r>
          </w:p>
        </w:tc>
        <w:tc>
          <w:tcPr>
            <w:tcW w:type="dxa" w:w="2880"/>
          </w:tcPr>
          <w:p>
            <w:r/>
            <w:r>
              <w:rPr>
                <w:rFonts w:ascii="Calibri" w:hAnsi="Calibri"/>
                <w:sz w:val="18"/>
              </w:rPr>
              <w:t>3-D model</w:t>
            </w:r>
          </w:p>
        </w:tc>
      </w:tr>
      <w:tr>
        <w:tc>
          <w:tcPr>
            <w:tcW w:type="dxa" w:w="3888"/>
          </w:tcPr>
          <w:p>
            <w:r/>
            <w:r>
              <w:rPr>
                <w:rFonts w:ascii="Calibri" w:hAnsi="Calibri"/>
                <w:sz w:val="18"/>
              </w:rPr>
              <w:t>Affected water volume</w:t>
            </w:r>
          </w:p>
        </w:tc>
        <w:tc>
          <w:tcPr>
            <w:tcW w:type="dxa" w:w="2448"/>
          </w:tcPr>
          <w:p>
            <w:r/>
            <w:r>
              <w:rPr>
                <w:rFonts w:ascii="Calibri" w:hAnsi="Calibri"/>
                <w:sz w:val="18"/>
              </w:rPr>
              <w:t>30028 m³</w:t>
            </w:r>
          </w:p>
        </w:tc>
        <w:tc>
          <w:tcPr>
            <w:tcW w:type="dxa" w:w="2880"/>
          </w:tcPr>
          <w:p>
            <w:r/>
            <w:r>
              <w:rPr>
                <w:rFonts w:ascii="Calibri" w:hAnsi="Calibri"/>
                <w:sz w:val="18"/>
              </w:rPr>
              <w:t>3-D model</w:t>
            </w:r>
          </w:p>
        </w:tc>
      </w:tr>
      <w:tr>
        <w:tc>
          <w:tcPr>
            <w:tcW w:type="dxa" w:w="3888"/>
          </w:tcPr>
          <w:p>
            <w:r/>
            <w:r>
              <w:rPr>
                <w:rFonts w:ascii="Calibri" w:hAnsi="Calibri"/>
                <w:sz w:val="18"/>
              </w:rPr>
              <w:t>Maximum horizontal reach</w:t>
            </w:r>
          </w:p>
        </w:tc>
        <w:tc>
          <w:tcPr>
            <w:tcW w:type="dxa" w:w="2448"/>
          </w:tcPr>
          <w:p>
            <w:r/>
            <w:r>
              <w:rPr>
                <w:rFonts w:ascii="Calibri" w:hAnsi="Calibri"/>
                <w:sz w:val="18"/>
              </w:rPr>
              <w:t>45 m</w:t>
            </w:r>
          </w:p>
        </w:tc>
        <w:tc>
          <w:tcPr>
            <w:tcW w:type="dxa" w:w="2880"/>
          </w:tcPr>
          <w:p>
            <w:r/>
            <w:r>
              <w:rPr>
                <w:rFonts w:ascii="Calibri" w:hAnsi="Calibri"/>
                <w:sz w:val="18"/>
              </w:rPr>
              <w:t>3-D model</w:t>
            </w:r>
          </w:p>
        </w:tc>
      </w:tr>
      <w:tr>
        <w:tc>
          <w:tcPr>
            <w:tcW w:type="dxa" w:w="3888"/>
          </w:tcPr>
          <w:p>
            <w:r/>
            <w:r>
              <w:rPr>
                <w:rFonts w:ascii="Calibri" w:hAnsi="Calibri"/>
                <w:sz w:val="18"/>
              </w:rPr>
              <w:t>Max exceedance probability</w:t>
            </w:r>
          </w:p>
        </w:tc>
        <w:tc>
          <w:tcPr>
            <w:tcW w:type="dxa" w:w="2448"/>
          </w:tcPr>
          <w:p>
            <w:r/>
            <w:r>
              <w:rPr>
                <w:rFonts w:ascii="Calibri" w:hAnsi="Calibri"/>
                <w:sz w:val="18"/>
              </w:rPr>
              <w:t>1.00</w:t>
            </w:r>
          </w:p>
        </w:tc>
        <w:tc>
          <w:tcPr>
            <w:tcW w:type="dxa" w:w="2880"/>
          </w:tcPr>
          <w:p>
            <w:r/>
            <w:r>
              <w:rPr>
                <w:rFonts w:ascii="Calibri" w:hAnsi="Calibri"/>
                <w:sz w:val="18"/>
              </w:rPr>
              <w:t>4-member ensemble</w:t>
            </w:r>
          </w:p>
        </w:tc>
      </w:tr>
    </w:tbl>
    <w:p>
      <w:r>
        <w:br w:type="page"/>
      </w:r>
    </w:p>
    <w:p>
      <w:pPr>
        <w:pStyle w:val="Heading1"/>
      </w:pPr>
      <w:r>
        <w:t>1. The Prediction Model (NEREID-B)</w:t>
      </w:r>
    </w:p>
    <w:p>
      <w:pPr>
        <w:spacing w:after="120"/>
      </w:pPr>
      <w:r>
        <w:rPr>
          <w:rFonts w:ascii="Calibri" w:hAnsi="Calibri"/>
          <w:b w:val="0"/>
          <w:i w:val="0"/>
          <w:sz w:val="22"/>
        </w:rPr>
        <w:t>NEREID-B (Nonlinear Eulerian Reactive-osmotic Effluent Integro-Dispersion model for Brine outfalls) is a fully-coupled, unsteady, non-Boussinesq, stochastic PDE system that solves seven mutually-coupled fields — the velocity vector, pressure, density, absolute salinity, temperature, turbulence state and the free-surface — closed by a nonlinear equation of state, an irreversible-thermodynamics (Soret/Dufour) cross-diffusion law, and an explicit osmotic / reverse-osmosis coupling. The governing balances are summarised below (full derivation in salinity.docx).</w:t>
      </w:r>
    </w:p>
    <w:p>
      <w:pPr>
        <w:pStyle w:val="Heading2"/>
      </w:pPr>
      <w:r>
        <w:t>1.1 Coupled governing equations</w:t>
      </w:r>
    </w:p>
    <w:p>
      <w:pPr>
        <w:spacing w:after="120"/>
        <w:jc w:val="center"/>
      </w:pPr>
      <w:r>
        <w:rPr>
          <w:rFonts w:ascii="Cambria Math" w:hAnsi="Cambria Math"/>
          <w:sz w:val="24"/>
        </w:rPr>
        <w:t>∂ρ/∂t + ∇·(ρu) = 0          (mass)</w:t>
      </w:r>
    </w:p>
    <w:p>
      <w:pPr>
        <w:spacing w:after="120"/>
        <w:jc w:val="center"/>
      </w:pPr>
      <w:r>
        <w:rPr>
          <w:rFonts w:ascii="Cambria Math" w:hAnsi="Cambria Math"/>
          <w:sz w:val="24"/>
        </w:rPr>
        <w:t>∂(ρu)/∂t + ∇·(ρu⊗u) = −∇p + ∇·τ + ρg − 2ρΩ×u + F_wave + F_osm + F_stoch</w:t>
      </w:r>
    </w:p>
    <w:p>
      <w:pPr>
        <w:spacing w:after="120"/>
        <w:jc w:val="center"/>
      </w:pPr>
      <w:r>
        <w:rPr>
          <w:rFonts w:ascii="Cambria Math" w:hAnsi="Cambria Math"/>
          <w:sz w:val="24"/>
        </w:rPr>
        <w:t>∂S/∂t + u·∇S = −(1/ρ)∇·J_S + R_S + ξ_S          (salinity)</w:t>
      </w:r>
    </w:p>
    <w:p>
      <w:pPr>
        <w:spacing w:after="120"/>
        <w:jc w:val="center"/>
      </w:pPr>
      <w:r>
        <w:rPr>
          <w:rFonts w:ascii="Cambria Math" w:hAnsi="Cambria Math"/>
          <w:sz w:val="24"/>
        </w:rPr>
        <w:t>∂T/∂t + u·∇T = −(1/ρc_p)∇·J_Q + Q_rad/(ρc_p) + ξ_T   (heat)</w:t>
      </w:r>
    </w:p>
    <w:p>
      <w:pPr>
        <w:spacing w:after="120"/>
        <w:jc w:val="center"/>
      </w:pPr>
      <w:r>
        <w:rPr>
          <w:rFonts w:ascii="Cambria Math" w:hAnsi="Cambria Math"/>
          <w:sz w:val="24"/>
        </w:rPr>
        <w:t>ρ = ρ_EOS(S,T,p)            (nonlinear equation of state)</w:t>
      </w:r>
    </w:p>
    <w:p>
      <w:pPr>
        <w:spacing w:after="120"/>
        <w:jc w:val="center"/>
      </w:pPr>
      <w:r>
        <w:rPr>
          <w:rFonts w:ascii="Cambria Math" w:hAnsi="Cambria Math"/>
          <w:sz w:val="24"/>
        </w:rPr>
        <w:t>k–ε turbulence (buoyancy-modified) + Smagorinsky LES floor</w:t>
      </w:r>
    </w:p>
    <w:p>
      <w:pPr>
        <w:spacing w:after="120"/>
        <w:jc w:val="center"/>
      </w:pPr>
      <w:r>
        <w:rPr>
          <w:rFonts w:ascii="Cambria Math" w:hAnsi="Cambria Math"/>
          <w:sz w:val="24"/>
        </w:rPr>
        <w:t>∂ζ_m/∂t = −ζ_m/τ_m + σ_m 𝓛_m^{1/2} Ẇ_m(x,t)   (stochastic forcing)</w:t>
      </w:r>
    </w:p>
    <w:p>
      <w:pPr>
        <w:spacing w:after="120"/>
      </w:pPr>
      <w:r>
        <w:rPr>
          <w:rFonts w:ascii="Calibri" w:hAnsi="Calibri"/>
          <w:b w:val="0"/>
          <w:i w:val="0"/>
          <w:sz w:val="22"/>
        </w:rPr>
        <w:t>The salt flux J_S fuses anisotropic dispersion (a full state-dependent tensor: molecular + turbulent + shear + wave + bathymetric), the Soret thermo-diffusion cross-term, and the novel osmotic/RO flux. Solving the stochastic ensemble returns the probability density of the salinity field — a predicted mean plume plus a quantified confidence envelope.</w:t>
      </w:r>
    </w:p>
    <w:p>
      <w:pPr>
        <w:pStyle w:val="Heading2"/>
      </w:pPr>
      <w:r>
        <w:t>1.2 Solver and the near-field/far-field coupling</w:t>
      </w:r>
    </w:p>
    <w:p>
      <w:pPr>
        <w:spacing w:after="120"/>
      </w:pPr>
      <w:r>
        <w:rPr>
          <w:rFonts w:ascii="Calibri" w:hAnsi="Calibri"/>
          <w:b w:val="0"/>
          <w:i w:val="0"/>
          <w:sz w:val="22"/>
        </w:rPr>
        <w:t>The system is discretised by a finite-volume MAC-consistent fractional-step projection on a terrain-following grid with partial-cell (shaved-cell) bathymetry and a genuine (implicit) free surface; scalars use a monotone TVD (van Leer) scheme. Because a sub-grid diffuser nozzle cannot be resolved on an affordable grid, the unresolvable near field is handled by validated empirical correlations for inclined dense jets (Roberts et al. 1997; Cipollina et al. 2005; Lai &amp; Lee 2012), and the 3-D model is seeded with the DILUTED plume at the seabed return point — the standard CORMIX/VISJET-class coupling. The model's robustness is verified by an automated self-test (conservation, boundedness, divergence, monotonicity, bitwise-exact checkpoint/restart) and its near-field accuracy by the reproduction of the published dense-jet scaling.</w:t>
      </w:r>
    </w:p>
    <w:p>
      <w:r>
        <w:br w:type="page"/>
      </w:r>
    </w:p>
    <w:p>
      <w:pPr>
        <w:pStyle w:val="Heading1"/>
      </w:pPr>
      <w:r>
        <w:t>2. The Industrial Case</w:t>
      </w:r>
    </w:p>
    <w:p>
      <w:pPr>
        <w:pStyle w:val="Heading2"/>
      </w:pPr>
      <w:r>
        <w:t>2.1 Site and project description</w:t>
      </w:r>
    </w:p>
    <w:p>
      <w:pPr>
        <w:spacing w:after="120"/>
      </w:pPr>
      <w:r>
        <w:rPr>
          <w:rFonts w:ascii="Calibri" w:hAnsi="Calibri"/>
          <w:b w:val="0"/>
          <w:i w:val="0"/>
          <w:sz w:val="22"/>
        </w:rPr>
        <w:t>A coastal SWRO desalination plant with a design product capacity of 150,000 m³/day operates at ~45% recovery, generating a continuous hyper-saline reject of 2.08 m³/s. The reject is conveyed offshore by a buried submarine pipeline and discharged through a 16-port rosette diffuser mounted on risers near the seabed, in 20–30 m of water on a gently sloping continental shelf (slope ≈ 2%). The receiving water is a micro-tidal, stratified coastal sea with a mean long-shore current and moderate wave climate. The site latitude is 32°N. The regulatory consent limits the salinity increment to +2 g/kg above ambient at the edge of the mixing zone.</w:t>
      </w:r>
    </w:p>
    <w:p>
      <w:pPr>
        <w:pStyle w:val="Heading2"/>
      </w:pPr>
      <w:r>
        <w:t>2.2 Input data</w:t>
      </w:r>
    </w:p>
    <w:p>
      <w:pPr>
        <w:spacing w:after="120"/>
      </w:pPr>
      <w:r>
        <w:rPr>
          <w:rFonts w:ascii="Calibri" w:hAnsi="Calibri"/>
          <w:b w:val="0"/>
          <w:i w:val="0"/>
          <w:sz w:val="22"/>
        </w:rPr>
        <w:t>All quantities supplied to the model, grouped by source (cf. input.docx).</w:t>
      </w:r>
    </w:p>
    <w:p>
      <w:pPr>
        <w:pStyle w:val="Heading3"/>
      </w:pPr>
      <w:r>
        <w:t>2.2.1 Effluent / brine discharge</w:t>
      </w:r>
    </w:p>
    <w:tbl>
      <w:tblPr>
        <w:tblStyle w:val="LightGrid-Accent1"/>
        <w:tblW w:type="auto" w:w="0"/>
        <w:jc w:val="center"/>
        <w:tblLook w:firstColumn="1" w:firstRow="1" w:lastColumn="0" w:lastRow="0" w:noHBand="0" w:noVBand="1" w:val="04A0"/>
      </w:tblPr>
      <w:tblGrid>
        <w:gridCol w:w="2880"/>
        <w:gridCol w:w="2880"/>
        <w:gridCol w:w="2880"/>
      </w:tblGrid>
      <w:tr>
        <w:tc>
          <w:tcPr>
            <w:tcW w:type="dxa" w:w="1152"/>
            <w:shd w:val="clear" w:color="auto" w:fill="1F4E79"/>
          </w:tcPr>
          <w:p>
            <w:r/>
            <w:r>
              <w:rPr>
                <w:rFonts w:ascii="Calibri" w:hAnsi="Calibri"/>
                <w:b/>
                <w:color w:val="FFFFFF"/>
                <w:sz w:val="18"/>
              </w:rPr>
              <w:t>Symbol</w:t>
            </w:r>
          </w:p>
        </w:tc>
        <w:tc>
          <w:tcPr>
            <w:tcW w:type="dxa" w:w="4896"/>
            <w:shd w:val="clear" w:color="auto" w:fill="1F4E79"/>
          </w:tcPr>
          <w:p>
            <w:r/>
            <w:r>
              <w:rPr>
                <w:rFonts w:ascii="Calibri" w:hAnsi="Calibri"/>
                <w:b/>
                <w:color w:val="FFFFFF"/>
                <w:sz w:val="18"/>
              </w:rPr>
              <w:t>Parameter</w:t>
            </w:r>
          </w:p>
        </w:tc>
        <w:tc>
          <w:tcPr>
            <w:tcW w:type="dxa" w:w="2304"/>
            <w:shd w:val="clear" w:color="auto" w:fill="1F4E79"/>
          </w:tcPr>
          <w:p>
            <w:r/>
            <w:r>
              <w:rPr>
                <w:rFonts w:ascii="Calibri" w:hAnsi="Calibri"/>
                <w:b/>
                <w:color w:val="FFFFFF"/>
                <w:sz w:val="18"/>
              </w:rPr>
              <w:t>Value</w:t>
            </w:r>
          </w:p>
        </w:tc>
      </w:tr>
      <w:tr>
        <w:tc>
          <w:tcPr>
            <w:tcW w:type="dxa" w:w="1152"/>
          </w:tcPr>
          <w:p>
            <w:r/>
            <w:r>
              <w:rPr>
                <w:rFonts w:ascii="Cambria Math" w:hAnsi="Cambria Math"/>
                <w:sz w:val="18"/>
              </w:rPr>
              <w:t>S₀</w:t>
            </w:r>
          </w:p>
        </w:tc>
        <w:tc>
          <w:tcPr>
            <w:tcW w:type="dxa" w:w="4896"/>
          </w:tcPr>
          <w:p>
            <w:r/>
            <w:r>
              <w:rPr>
                <w:rFonts w:ascii="Calibri" w:hAnsi="Calibri"/>
                <w:sz w:val="18"/>
              </w:rPr>
              <w:t>Brine (reject) salinity</w:t>
            </w:r>
          </w:p>
        </w:tc>
        <w:tc>
          <w:tcPr>
            <w:tcW w:type="dxa" w:w="2304"/>
          </w:tcPr>
          <w:p>
            <w:r/>
            <w:r>
              <w:rPr>
                <w:rFonts w:ascii="Calibri" w:hAnsi="Calibri"/>
                <w:sz w:val="18"/>
              </w:rPr>
              <w:t>68 g/kg</w:t>
            </w:r>
          </w:p>
        </w:tc>
      </w:tr>
      <w:tr>
        <w:tc>
          <w:tcPr>
            <w:tcW w:type="dxa" w:w="1152"/>
          </w:tcPr>
          <w:p>
            <w:r/>
            <w:r>
              <w:rPr>
                <w:rFonts w:ascii="Cambria Math" w:hAnsi="Cambria Math"/>
                <w:sz w:val="18"/>
              </w:rPr>
              <w:t>—</w:t>
            </w:r>
          </w:p>
        </w:tc>
        <w:tc>
          <w:tcPr>
            <w:tcW w:type="dxa" w:w="4896"/>
          </w:tcPr>
          <w:p>
            <w:r/>
            <w:r>
              <w:rPr>
                <w:rFonts w:ascii="Calibri" w:hAnsi="Calibri"/>
                <w:sz w:val="18"/>
              </w:rPr>
              <w:t>Total brine flow (16 ports)</w:t>
            </w:r>
          </w:p>
        </w:tc>
        <w:tc>
          <w:tcPr>
            <w:tcW w:type="dxa" w:w="2304"/>
          </w:tcPr>
          <w:p>
            <w:r/>
            <w:r>
              <w:rPr>
                <w:rFonts w:ascii="Calibri" w:hAnsi="Calibri"/>
                <w:sz w:val="18"/>
              </w:rPr>
              <w:t>2.08 m³/s</w:t>
            </w:r>
          </w:p>
        </w:tc>
      </w:tr>
      <w:tr>
        <w:tc>
          <w:tcPr>
            <w:tcW w:type="dxa" w:w="1152"/>
          </w:tcPr>
          <w:p>
            <w:r/>
            <w:r>
              <w:rPr>
                <w:rFonts w:ascii="Cambria Math" w:hAnsi="Cambria Math"/>
                <w:sz w:val="18"/>
              </w:rPr>
              <w:t>Q_d</w:t>
            </w:r>
          </w:p>
        </w:tc>
        <w:tc>
          <w:tcPr>
            <w:tcW w:type="dxa" w:w="4896"/>
          </w:tcPr>
          <w:p>
            <w:r/>
            <w:r>
              <w:rPr>
                <w:rFonts w:ascii="Calibri" w:hAnsi="Calibri"/>
                <w:sz w:val="18"/>
              </w:rPr>
              <w:t>Flow per port</w:t>
            </w:r>
          </w:p>
        </w:tc>
        <w:tc>
          <w:tcPr>
            <w:tcW w:type="dxa" w:w="2304"/>
          </w:tcPr>
          <w:p>
            <w:r/>
            <w:r>
              <w:rPr>
                <w:rFonts w:ascii="Calibri" w:hAnsi="Calibri"/>
                <w:sz w:val="18"/>
              </w:rPr>
              <w:t>0.130 m³/s</w:t>
            </w:r>
          </w:p>
        </w:tc>
      </w:tr>
      <w:tr>
        <w:tc>
          <w:tcPr>
            <w:tcW w:type="dxa" w:w="1152"/>
          </w:tcPr>
          <w:p>
            <w:r/>
            <w:r>
              <w:rPr>
                <w:rFonts w:ascii="Cambria Math" w:hAnsi="Cambria Math"/>
                <w:sz w:val="18"/>
              </w:rPr>
              <w:t>T_b</w:t>
            </w:r>
          </w:p>
        </w:tc>
        <w:tc>
          <w:tcPr>
            <w:tcW w:type="dxa" w:w="4896"/>
          </w:tcPr>
          <w:p>
            <w:r/>
            <w:r>
              <w:rPr>
                <w:rFonts w:ascii="Calibri" w:hAnsi="Calibri"/>
                <w:sz w:val="18"/>
              </w:rPr>
              <w:t>Brine temperature</w:t>
            </w:r>
          </w:p>
        </w:tc>
        <w:tc>
          <w:tcPr>
            <w:tcW w:type="dxa" w:w="2304"/>
          </w:tcPr>
          <w:p>
            <w:r/>
            <w:r>
              <w:rPr>
                <w:rFonts w:ascii="Calibri" w:hAnsi="Calibri"/>
                <w:sz w:val="18"/>
              </w:rPr>
              <w:t>28 °C</w:t>
            </w:r>
          </w:p>
        </w:tc>
      </w:tr>
      <w:tr>
        <w:tc>
          <w:tcPr>
            <w:tcW w:type="dxa" w:w="1152"/>
          </w:tcPr>
          <w:p>
            <w:r/>
            <w:r>
              <w:rPr>
                <w:rFonts w:ascii="Cambria Math" w:hAnsi="Cambria Math"/>
                <w:sz w:val="18"/>
              </w:rPr>
              <w:t>ΔS₀</w:t>
            </w:r>
          </w:p>
        </w:tc>
        <w:tc>
          <w:tcPr>
            <w:tcW w:type="dxa" w:w="4896"/>
          </w:tcPr>
          <w:p>
            <w:r/>
            <w:r>
              <w:rPr>
                <w:rFonts w:ascii="Calibri" w:hAnsi="Calibri"/>
                <w:sz w:val="18"/>
              </w:rPr>
              <w:t>Excess over ambient at port</w:t>
            </w:r>
          </w:p>
        </w:tc>
        <w:tc>
          <w:tcPr>
            <w:tcW w:type="dxa" w:w="2304"/>
          </w:tcPr>
          <w:p>
            <w:r/>
            <w:r>
              <w:rPr>
                <w:rFonts w:ascii="Calibri" w:hAnsi="Calibri"/>
                <w:sz w:val="18"/>
              </w:rPr>
              <w:t>29.4 g/kg</w:t>
            </w:r>
          </w:p>
        </w:tc>
      </w:tr>
      <w:tr>
        <w:tc>
          <w:tcPr>
            <w:tcW w:type="dxa" w:w="1152"/>
          </w:tcPr>
          <w:p>
            <w:r/>
            <w:r>
              <w:rPr>
                <w:rFonts w:ascii="Cambria Math" w:hAnsi="Cambria Math"/>
                <w:sz w:val="18"/>
              </w:rPr>
              <w:t>—</w:t>
            </w:r>
          </w:p>
        </w:tc>
        <w:tc>
          <w:tcPr>
            <w:tcW w:type="dxa" w:w="4896"/>
          </w:tcPr>
          <w:p>
            <w:r/>
            <w:r>
              <w:rPr>
                <w:rFonts w:ascii="Calibri" w:hAnsi="Calibri"/>
                <w:sz w:val="18"/>
              </w:rPr>
              <w:t>Density contrast (brine/ambient)</w:t>
            </w:r>
          </w:p>
        </w:tc>
        <w:tc>
          <w:tcPr>
            <w:tcW w:type="dxa" w:w="2304"/>
          </w:tcPr>
          <w:p>
            <w:r/>
            <w:r>
              <w:rPr>
                <w:rFonts w:ascii="Calibri" w:hAnsi="Calibri"/>
                <w:sz w:val="18"/>
              </w:rPr>
              <w:t>~1.76× salinity</w:t>
            </w:r>
          </w:p>
        </w:tc>
      </w:tr>
    </w:tbl>
    <w:p>
      <w:pPr>
        <w:pStyle w:val="Heading3"/>
      </w:pPr>
      <w:r>
        <w:t>2.2.2 Pipe &amp; diffuser geometry</w:t>
      </w:r>
    </w:p>
    <w:tbl>
      <w:tblPr>
        <w:tblStyle w:val="LightGrid-Accent1"/>
        <w:tblW w:type="auto" w:w="0"/>
        <w:jc w:val="center"/>
        <w:tblLook w:firstColumn="1" w:firstRow="1" w:lastColumn="0" w:lastRow="0" w:noHBand="0" w:noVBand="1" w:val="04A0"/>
      </w:tblPr>
      <w:tblGrid>
        <w:gridCol w:w="2880"/>
        <w:gridCol w:w="2880"/>
        <w:gridCol w:w="2880"/>
      </w:tblGrid>
      <w:tr>
        <w:tc>
          <w:tcPr>
            <w:tcW w:type="dxa" w:w="1152"/>
            <w:shd w:val="clear" w:color="auto" w:fill="1F4E79"/>
          </w:tcPr>
          <w:p>
            <w:r/>
            <w:r>
              <w:rPr>
                <w:rFonts w:ascii="Calibri" w:hAnsi="Calibri"/>
                <w:b/>
                <w:color w:val="FFFFFF"/>
                <w:sz w:val="18"/>
              </w:rPr>
              <w:t>Symbol</w:t>
            </w:r>
          </w:p>
        </w:tc>
        <w:tc>
          <w:tcPr>
            <w:tcW w:type="dxa" w:w="4896"/>
            <w:shd w:val="clear" w:color="auto" w:fill="1F4E79"/>
          </w:tcPr>
          <w:p>
            <w:r/>
            <w:r>
              <w:rPr>
                <w:rFonts w:ascii="Calibri" w:hAnsi="Calibri"/>
                <w:b/>
                <w:color w:val="FFFFFF"/>
                <w:sz w:val="18"/>
              </w:rPr>
              <w:t>Parameter</w:t>
            </w:r>
          </w:p>
        </w:tc>
        <w:tc>
          <w:tcPr>
            <w:tcW w:type="dxa" w:w="2304"/>
            <w:shd w:val="clear" w:color="auto" w:fill="1F4E79"/>
          </w:tcPr>
          <w:p>
            <w:r/>
            <w:r>
              <w:rPr>
                <w:rFonts w:ascii="Calibri" w:hAnsi="Calibri"/>
                <w:b/>
                <w:color w:val="FFFFFF"/>
                <w:sz w:val="18"/>
              </w:rPr>
              <w:t>Value</w:t>
            </w:r>
          </w:p>
        </w:tc>
      </w:tr>
      <w:tr>
        <w:tc>
          <w:tcPr>
            <w:tcW w:type="dxa" w:w="1152"/>
          </w:tcPr>
          <w:p>
            <w:r/>
            <w:r>
              <w:rPr>
                <w:rFonts w:ascii="Cambria Math" w:hAnsi="Cambria Math"/>
                <w:sz w:val="18"/>
              </w:rPr>
              <w:t>—</w:t>
            </w:r>
          </w:p>
        </w:tc>
        <w:tc>
          <w:tcPr>
            <w:tcW w:type="dxa" w:w="4896"/>
          </w:tcPr>
          <w:p>
            <w:r/>
            <w:r>
              <w:rPr>
                <w:rFonts w:ascii="Calibri" w:hAnsi="Calibri"/>
                <w:sz w:val="18"/>
              </w:rPr>
              <w:t>Number of diffuser ports</w:t>
            </w:r>
          </w:p>
        </w:tc>
        <w:tc>
          <w:tcPr>
            <w:tcW w:type="dxa" w:w="2304"/>
          </w:tcPr>
          <w:p>
            <w:r/>
            <w:r>
              <w:rPr>
                <w:rFonts w:ascii="Calibri" w:hAnsi="Calibri"/>
                <w:sz w:val="18"/>
              </w:rPr>
              <w:t>16</w:t>
            </w:r>
          </w:p>
        </w:tc>
      </w:tr>
      <w:tr>
        <w:tc>
          <w:tcPr>
            <w:tcW w:type="dxa" w:w="1152"/>
          </w:tcPr>
          <w:p>
            <w:r/>
            <w:r>
              <w:rPr>
                <w:rFonts w:ascii="Cambria Math" w:hAnsi="Cambria Math"/>
                <w:sz w:val="18"/>
              </w:rPr>
              <w:t>d_p</w:t>
            </w:r>
          </w:p>
        </w:tc>
        <w:tc>
          <w:tcPr>
            <w:tcW w:type="dxa" w:w="4896"/>
          </w:tcPr>
          <w:p>
            <w:r/>
            <w:r>
              <w:rPr>
                <w:rFonts w:ascii="Calibri" w:hAnsi="Calibri"/>
                <w:sz w:val="18"/>
              </w:rPr>
              <w:t>Port diameter</w:t>
            </w:r>
          </w:p>
        </w:tc>
        <w:tc>
          <w:tcPr>
            <w:tcW w:type="dxa" w:w="2304"/>
          </w:tcPr>
          <w:p>
            <w:r/>
            <w:r>
              <w:rPr>
                <w:rFonts w:ascii="Calibri" w:hAnsi="Calibri"/>
                <w:sz w:val="18"/>
              </w:rPr>
              <w:t>250 mm</w:t>
            </w:r>
          </w:p>
        </w:tc>
      </w:tr>
      <w:tr>
        <w:tc>
          <w:tcPr>
            <w:tcW w:type="dxa" w:w="1152"/>
          </w:tcPr>
          <w:p>
            <w:r/>
            <w:r>
              <w:rPr>
                <w:rFonts w:ascii="Cambria Math" w:hAnsi="Cambria Math"/>
                <w:sz w:val="18"/>
              </w:rPr>
              <w:t>U_d</w:t>
            </w:r>
          </w:p>
        </w:tc>
        <w:tc>
          <w:tcPr>
            <w:tcW w:type="dxa" w:w="4896"/>
          </w:tcPr>
          <w:p>
            <w:r/>
            <w:r>
              <w:rPr>
                <w:rFonts w:ascii="Calibri" w:hAnsi="Calibri"/>
                <w:sz w:val="18"/>
              </w:rPr>
              <w:t>Port exit velocity</w:t>
            </w:r>
          </w:p>
        </w:tc>
        <w:tc>
          <w:tcPr>
            <w:tcW w:type="dxa" w:w="2304"/>
          </w:tcPr>
          <w:p>
            <w:r/>
            <w:r>
              <w:rPr>
                <w:rFonts w:ascii="Calibri" w:hAnsi="Calibri"/>
                <w:sz w:val="18"/>
              </w:rPr>
              <w:t>2.65 m/s</w:t>
            </w:r>
          </w:p>
        </w:tc>
      </w:tr>
      <w:tr>
        <w:tc>
          <w:tcPr>
            <w:tcW w:type="dxa" w:w="1152"/>
          </w:tcPr>
          <w:p>
            <w:r/>
            <w:r>
              <w:rPr>
                <w:rFonts w:ascii="Cambria Math" w:hAnsi="Cambria Math"/>
                <w:sz w:val="18"/>
              </w:rPr>
              <w:t>θ</w:t>
            </w:r>
          </w:p>
        </w:tc>
        <w:tc>
          <w:tcPr>
            <w:tcW w:type="dxa" w:w="4896"/>
          </w:tcPr>
          <w:p>
            <w:r/>
            <w:r>
              <w:rPr>
                <w:rFonts w:ascii="Calibri" w:hAnsi="Calibri"/>
                <w:sz w:val="18"/>
              </w:rPr>
              <w:t>Nozzle elevation angle</w:t>
            </w:r>
          </w:p>
        </w:tc>
        <w:tc>
          <w:tcPr>
            <w:tcW w:type="dxa" w:w="2304"/>
          </w:tcPr>
          <w:p>
            <w:r/>
            <w:r>
              <w:rPr>
                <w:rFonts w:ascii="Calibri" w:hAnsi="Calibri"/>
                <w:sz w:val="18"/>
              </w:rPr>
              <w:t>60°</w:t>
            </w:r>
          </w:p>
        </w:tc>
      </w:tr>
      <w:tr>
        <w:tc>
          <w:tcPr>
            <w:tcW w:type="dxa" w:w="1152"/>
          </w:tcPr>
          <w:p>
            <w:r/>
            <w:r>
              <w:rPr>
                <w:rFonts w:ascii="Cambria Math" w:hAnsi="Cambria Math"/>
                <w:sz w:val="18"/>
              </w:rPr>
              <w:t>ψ</w:t>
            </w:r>
          </w:p>
        </w:tc>
        <w:tc>
          <w:tcPr>
            <w:tcW w:type="dxa" w:w="4896"/>
          </w:tcPr>
          <w:p>
            <w:r/>
            <w:r>
              <w:rPr>
                <w:rFonts w:ascii="Calibri" w:hAnsi="Calibri"/>
                <w:sz w:val="18"/>
              </w:rPr>
              <w:t>Nozzle azimuth</w:t>
            </w:r>
          </w:p>
        </w:tc>
        <w:tc>
          <w:tcPr>
            <w:tcW w:type="dxa" w:w="2304"/>
          </w:tcPr>
          <w:p>
            <w:r/>
            <w:r>
              <w:rPr>
                <w:rFonts w:ascii="Calibri" w:hAnsi="Calibri"/>
                <w:sz w:val="18"/>
              </w:rPr>
              <w:t>0°</w:t>
            </w:r>
          </w:p>
        </w:tc>
      </w:tr>
      <w:tr>
        <w:tc>
          <w:tcPr>
            <w:tcW w:type="dxa" w:w="1152"/>
          </w:tcPr>
          <w:p>
            <w:r/>
            <w:r>
              <w:rPr>
                <w:rFonts w:ascii="Cambria Math" w:hAnsi="Cambria Math"/>
                <w:sz w:val="18"/>
              </w:rPr>
              <w:t>h_n</w:t>
            </w:r>
          </w:p>
        </w:tc>
        <w:tc>
          <w:tcPr>
            <w:tcW w:type="dxa" w:w="4896"/>
          </w:tcPr>
          <w:p>
            <w:r/>
            <w:r>
              <w:rPr>
                <w:rFonts w:ascii="Calibri" w:hAnsi="Calibri"/>
                <w:sz w:val="18"/>
              </w:rPr>
              <w:t>Nozzle height above seabed</w:t>
            </w:r>
          </w:p>
        </w:tc>
        <w:tc>
          <w:tcPr>
            <w:tcW w:type="dxa" w:w="2304"/>
          </w:tcPr>
          <w:p>
            <w:r/>
            <w:r>
              <w:rPr>
                <w:rFonts w:ascii="Calibri" w:hAnsi="Calibri"/>
                <w:sz w:val="18"/>
              </w:rPr>
              <w:t>1.0 m</w:t>
            </w:r>
          </w:p>
        </w:tc>
      </w:tr>
    </w:tbl>
    <w:p>
      <w:pPr>
        <w:pStyle w:val="Heading3"/>
      </w:pPr>
      <w:r>
        <w:t>2.2.3 Ambient sea — physical state</w:t>
      </w:r>
    </w:p>
    <w:tbl>
      <w:tblPr>
        <w:tblStyle w:val="LightGrid-Accent1"/>
        <w:tblW w:type="auto" w:w="0"/>
        <w:jc w:val="center"/>
        <w:tblLook w:firstColumn="1" w:firstRow="1" w:lastColumn="0" w:lastRow="0" w:noHBand="0" w:noVBand="1" w:val="04A0"/>
      </w:tblPr>
      <w:tblGrid>
        <w:gridCol w:w="2880"/>
        <w:gridCol w:w="2880"/>
        <w:gridCol w:w="2880"/>
      </w:tblGrid>
      <w:tr>
        <w:tc>
          <w:tcPr>
            <w:tcW w:type="dxa" w:w="1152"/>
            <w:shd w:val="clear" w:color="auto" w:fill="1F4E79"/>
          </w:tcPr>
          <w:p>
            <w:r/>
            <w:r>
              <w:rPr>
                <w:rFonts w:ascii="Calibri" w:hAnsi="Calibri"/>
                <w:b/>
                <w:color w:val="FFFFFF"/>
                <w:sz w:val="18"/>
              </w:rPr>
              <w:t>Symbol</w:t>
            </w:r>
          </w:p>
        </w:tc>
        <w:tc>
          <w:tcPr>
            <w:tcW w:type="dxa" w:w="4896"/>
            <w:shd w:val="clear" w:color="auto" w:fill="1F4E79"/>
          </w:tcPr>
          <w:p>
            <w:r/>
            <w:r>
              <w:rPr>
                <w:rFonts w:ascii="Calibri" w:hAnsi="Calibri"/>
                <w:b/>
                <w:color w:val="FFFFFF"/>
                <w:sz w:val="18"/>
              </w:rPr>
              <w:t>Parameter</w:t>
            </w:r>
          </w:p>
        </w:tc>
        <w:tc>
          <w:tcPr>
            <w:tcW w:type="dxa" w:w="2304"/>
            <w:shd w:val="clear" w:color="auto" w:fill="1F4E79"/>
          </w:tcPr>
          <w:p>
            <w:r/>
            <w:r>
              <w:rPr>
                <w:rFonts w:ascii="Calibri" w:hAnsi="Calibri"/>
                <w:b/>
                <w:color w:val="FFFFFF"/>
                <w:sz w:val="18"/>
              </w:rPr>
              <w:t>Value</w:t>
            </w:r>
          </w:p>
        </w:tc>
      </w:tr>
      <w:tr>
        <w:tc>
          <w:tcPr>
            <w:tcW w:type="dxa" w:w="1152"/>
          </w:tcPr>
          <w:p>
            <w:r/>
            <w:r>
              <w:rPr>
                <w:rFonts w:ascii="Cambria Math" w:hAnsi="Cambria Math"/>
                <w:sz w:val="18"/>
              </w:rPr>
              <w:t>S_amb</w:t>
            </w:r>
          </w:p>
        </w:tc>
        <w:tc>
          <w:tcPr>
            <w:tcW w:type="dxa" w:w="4896"/>
          </w:tcPr>
          <w:p>
            <w:r/>
            <w:r>
              <w:rPr>
                <w:rFonts w:ascii="Calibri" w:hAnsi="Calibri"/>
                <w:sz w:val="18"/>
              </w:rPr>
              <w:t>Ambient salinity (surface / bed)</w:t>
            </w:r>
          </w:p>
        </w:tc>
        <w:tc>
          <w:tcPr>
            <w:tcW w:type="dxa" w:w="2304"/>
          </w:tcPr>
          <w:p>
            <w:r/>
            <w:r>
              <w:rPr>
                <w:rFonts w:ascii="Calibri" w:hAnsi="Calibri"/>
                <w:sz w:val="18"/>
              </w:rPr>
              <w:t>38.0 / 38.6 g/kg</w:t>
            </w:r>
          </w:p>
        </w:tc>
      </w:tr>
      <w:tr>
        <w:tc>
          <w:tcPr>
            <w:tcW w:type="dxa" w:w="1152"/>
          </w:tcPr>
          <w:p>
            <w:r/>
            <w:r>
              <w:rPr>
                <w:rFonts w:ascii="Cambria Math" w:hAnsi="Cambria Math"/>
                <w:sz w:val="18"/>
              </w:rPr>
              <w:t>T_amb</w:t>
            </w:r>
          </w:p>
        </w:tc>
        <w:tc>
          <w:tcPr>
            <w:tcW w:type="dxa" w:w="4896"/>
          </w:tcPr>
          <w:p>
            <w:r/>
            <w:r>
              <w:rPr>
                <w:rFonts w:ascii="Calibri" w:hAnsi="Calibri"/>
                <w:sz w:val="18"/>
              </w:rPr>
              <w:t>Ambient temperature (surface / bed)</w:t>
            </w:r>
          </w:p>
        </w:tc>
        <w:tc>
          <w:tcPr>
            <w:tcW w:type="dxa" w:w="2304"/>
          </w:tcPr>
          <w:p>
            <w:r/>
            <w:r>
              <w:rPr>
                <w:rFonts w:ascii="Calibri" w:hAnsi="Calibri"/>
                <w:sz w:val="18"/>
              </w:rPr>
              <w:t>24 / 17 °C</w:t>
            </w:r>
          </w:p>
        </w:tc>
      </w:tr>
      <w:tr>
        <w:tc>
          <w:tcPr>
            <w:tcW w:type="dxa" w:w="1152"/>
          </w:tcPr>
          <w:p>
            <w:r/>
            <w:r>
              <w:rPr>
                <w:rFonts w:ascii="Cambria Math" w:hAnsi="Cambria Math"/>
                <w:sz w:val="18"/>
              </w:rPr>
              <w:t>—</w:t>
            </w:r>
          </w:p>
        </w:tc>
        <w:tc>
          <w:tcPr>
            <w:tcW w:type="dxa" w:w="4896"/>
          </w:tcPr>
          <w:p>
            <w:r/>
            <w:r>
              <w:rPr>
                <w:rFonts w:ascii="Calibri" w:hAnsi="Calibri"/>
                <w:sz w:val="18"/>
              </w:rPr>
              <w:t>Stratification</w:t>
            </w:r>
          </w:p>
        </w:tc>
        <w:tc>
          <w:tcPr>
            <w:tcW w:type="dxa" w:w="2304"/>
          </w:tcPr>
          <w:p>
            <w:r/>
            <w:r>
              <w:rPr>
                <w:rFonts w:ascii="Calibri" w:hAnsi="Calibri"/>
                <w:sz w:val="18"/>
              </w:rPr>
              <w:t>thermocline + mild halocline</w:t>
            </w:r>
          </w:p>
        </w:tc>
      </w:tr>
      <w:tr>
        <w:tc>
          <w:tcPr>
            <w:tcW w:type="dxa" w:w="1152"/>
          </w:tcPr>
          <w:p>
            <w:r/>
            <w:r>
              <w:rPr>
                <w:rFonts w:ascii="Cambria Math" w:hAnsi="Cambria Math"/>
                <w:sz w:val="18"/>
              </w:rPr>
              <w:t>H</w:t>
            </w:r>
          </w:p>
        </w:tc>
        <w:tc>
          <w:tcPr>
            <w:tcW w:type="dxa" w:w="4896"/>
          </w:tcPr>
          <w:p>
            <w:r/>
            <w:r>
              <w:rPr>
                <w:rFonts w:ascii="Calibri" w:hAnsi="Calibri"/>
                <w:sz w:val="18"/>
              </w:rPr>
              <w:t>Water depth at diffuser</w:t>
            </w:r>
          </w:p>
        </w:tc>
        <w:tc>
          <w:tcPr>
            <w:tcW w:type="dxa" w:w="2304"/>
          </w:tcPr>
          <w:p>
            <w:r/>
            <w:r>
              <w:rPr>
                <w:rFonts w:ascii="Calibri" w:hAnsi="Calibri"/>
                <w:sz w:val="18"/>
              </w:rPr>
              <w:t>~24 m</w:t>
            </w:r>
          </w:p>
        </w:tc>
      </w:tr>
    </w:tbl>
    <w:p>
      <w:pPr>
        <w:pStyle w:val="Heading3"/>
      </w:pPr>
      <w:r>
        <w:t>2.2.4 Ambient dynamics &amp; atmosphere</w:t>
      </w:r>
    </w:p>
    <w:tbl>
      <w:tblPr>
        <w:tblStyle w:val="LightGrid-Accent1"/>
        <w:tblW w:type="auto" w:w="0"/>
        <w:jc w:val="center"/>
        <w:tblLook w:firstColumn="1" w:firstRow="1" w:lastColumn="0" w:lastRow="0" w:noHBand="0" w:noVBand="1" w:val="04A0"/>
      </w:tblPr>
      <w:tblGrid>
        <w:gridCol w:w="2880"/>
        <w:gridCol w:w="2880"/>
        <w:gridCol w:w="2880"/>
      </w:tblGrid>
      <w:tr>
        <w:tc>
          <w:tcPr>
            <w:tcW w:type="dxa" w:w="1296"/>
            <w:shd w:val="clear" w:color="auto" w:fill="1F4E79"/>
          </w:tcPr>
          <w:p>
            <w:r/>
            <w:r>
              <w:rPr>
                <w:rFonts w:ascii="Calibri" w:hAnsi="Calibri"/>
                <w:b/>
                <w:color w:val="FFFFFF"/>
                <w:sz w:val="18"/>
              </w:rPr>
              <w:t>Symbol</w:t>
            </w:r>
          </w:p>
        </w:tc>
        <w:tc>
          <w:tcPr>
            <w:tcW w:type="dxa" w:w="4752"/>
            <w:shd w:val="clear" w:color="auto" w:fill="1F4E79"/>
          </w:tcPr>
          <w:p>
            <w:r/>
            <w:r>
              <w:rPr>
                <w:rFonts w:ascii="Calibri" w:hAnsi="Calibri"/>
                <w:b/>
                <w:color w:val="FFFFFF"/>
                <w:sz w:val="18"/>
              </w:rPr>
              <w:t>Parameter</w:t>
            </w:r>
          </w:p>
        </w:tc>
        <w:tc>
          <w:tcPr>
            <w:tcW w:type="dxa" w:w="2304"/>
            <w:shd w:val="clear" w:color="auto" w:fill="1F4E79"/>
          </w:tcPr>
          <w:p>
            <w:r/>
            <w:r>
              <w:rPr>
                <w:rFonts w:ascii="Calibri" w:hAnsi="Calibri"/>
                <w:b/>
                <w:color w:val="FFFFFF"/>
                <w:sz w:val="18"/>
              </w:rPr>
              <w:t>Value</w:t>
            </w:r>
          </w:p>
        </w:tc>
      </w:tr>
      <w:tr>
        <w:tc>
          <w:tcPr>
            <w:tcW w:type="dxa" w:w="1296"/>
          </w:tcPr>
          <w:p>
            <w:r/>
            <w:r>
              <w:rPr>
                <w:rFonts w:ascii="Cambria Math" w:hAnsi="Cambria Math"/>
                <w:sz w:val="18"/>
              </w:rPr>
              <w:t>U_current</w:t>
            </w:r>
          </w:p>
        </w:tc>
        <w:tc>
          <w:tcPr>
            <w:tcW w:type="dxa" w:w="4752"/>
          </w:tcPr>
          <w:p>
            <w:r/>
            <w:r>
              <w:rPr>
                <w:rFonts w:ascii="Calibri" w:hAnsi="Calibri"/>
                <w:sz w:val="18"/>
              </w:rPr>
              <w:t>Mean long-shore current</w:t>
            </w:r>
          </w:p>
        </w:tc>
        <w:tc>
          <w:tcPr>
            <w:tcW w:type="dxa" w:w="2304"/>
          </w:tcPr>
          <w:p>
            <w:r/>
            <w:r>
              <w:rPr>
                <w:rFonts w:ascii="Calibri" w:hAnsi="Calibri"/>
                <w:sz w:val="18"/>
              </w:rPr>
              <w:t>0.15 m/s</w:t>
            </w:r>
          </w:p>
        </w:tc>
      </w:tr>
      <w:tr>
        <w:tc>
          <w:tcPr>
            <w:tcW w:type="dxa" w:w="1296"/>
          </w:tcPr>
          <w:p>
            <w:r/>
            <w:r>
              <w:rPr>
                <w:rFonts w:ascii="Cambria Math" w:hAnsi="Cambria Math"/>
                <w:sz w:val="18"/>
              </w:rPr>
              <w:t>A_tide</w:t>
            </w:r>
          </w:p>
        </w:tc>
        <w:tc>
          <w:tcPr>
            <w:tcW w:type="dxa" w:w="4752"/>
          </w:tcPr>
          <w:p>
            <w:r/>
            <w:r>
              <w:rPr>
                <w:rFonts w:ascii="Calibri" w:hAnsi="Calibri"/>
                <w:sz w:val="18"/>
              </w:rPr>
              <w:t>Tidal current amplitude (M2)</w:t>
            </w:r>
          </w:p>
        </w:tc>
        <w:tc>
          <w:tcPr>
            <w:tcW w:type="dxa" w:w="2304"/>
          </w:tcPr>
          <w:p>
            <w:r/>
            <w:r>
              <w:rPr>
                <w:rFonts w:ascii="Calibri" w:hAnsi="Calibri"/>
                <w:sz w:val="18"/>
              </w:rPr>
              <w:t>0.08 m/s</w:t>
            </w:r>
          </w:p>
        </w:tc>
      </w:tr>
      <w:tr>
        <w:tc>
          <w:tcPr>
            <w:tcW w:type="dxa" w:w="1296"/>
          </w:tcPr>
          <w:p>
            <w:r/>
            <w:r>
              <w:rPr>
                <w:rFonts w:ascii="Cambria Math" w:hAnsi="Cambria Math"/>
                <w:sz w:val="18"/>
              </w:rPr>
              <w:t>H_s, T_w</w:t>
            </w:r>
          </w:p>
        </w:tc>
        <w:tc>
          <w:tcPr>
            <w:tcW w:type="dxa" w:w="4752"/>
          </w:tcPr>
          <w:p>
            <w:r/>
            <w:r>
              <w:rPr>
                <w:rFonts w:ascii="Calibri" w:hAnsi="Calibri"/>
                <w:sz w:val="18"/>
              </w:rPr>
              <w:t>Significant wave height, period</w:t>
            </w:r>
          </w:p>
        </w:tc>
        <w:tc>
          <w:tcPr>
            <w:tcW w:type="dxa" w:w="2304"/>
          </w:tcPr>
          <w:p>
            <w:r/>
            <w:r>
              <w:rPr>
                <w:rFonts w:ascii="Calibri" w:hAnsi="Calibri"/>
                <w:sz w:val="18"/>
              </w:rPr>
              <w:t>1.0 m, 7 s</w:t>
            </w:r>
          </w:p>
        </w:tc>
      </w:tr>
      <w:tr>
        <w:tc>
          <w:tcPr>
            <w:tcW w:type="dxa" w:w="1296"/>
          </w:tcPr>
          <w:p>
            <w:r/>
            <w:r>
              <w:rPr>
                <w:rFonts w:ascii="Cambria Math" w:hAnsi="Cambria Math"/>
                <w:sz w:val="18"/>
              </w:rPr>
              <w:t>U₁₀</w:t>
            </w:r>
          </w:p>
        </w:tc>
        <w:tc>
          <w:tcPr>
            <w:tcW w:type="dxa" w:w="4752"/>
          </w:tcPr>
          <w:p>
            <w:r/>
            <w:r>
              <w:rPr>
                <w:rFonts w:ascii="Calibri" w:hAnsi="Calibri"/>
                <w:sz w:val="18"/>
              </w:rPr>
              <w:t>Wind speed (dir.)</w:t>
            </w:r>
          </w:p>
        </w:tc>
        <w:tc>
          <w:tcPr>
            <w:tcW w:type="dxa" w:w="2304"/>
          </w:tcPr>
          <w:p>
            <w:r/>
            <w:r>
              <w:rPr>
                <w:rFonts w:ascii="Calibri" w:hAnsi="Calibri"/>
                <w:sz w:val="18"/>
              </w:rPr>
              <w:t>6 m/s (20°)</w:t>
            </w:r>
          </w:p>
        </w:tc>
      </w:tr>
      <w:tr>
        <w:tc>
          <w:tcPr>
            <w:tcW w:type="dxa" w:w="1296"/>
          </w:tcPr>
          <w:p>
            <w:r/>
            <w:r>
              <w:rPr>
                <w:rFonts w:ascii="Cambria Math" w:hAnsi="Cambria Math"/>
                <w:sz w:val="18"/>
              </w:rPr>
              <w:t>φ</w:t>
            </w:r>
          </w:p>
        </w:tc>
        <w:tc>
          <w:tcPr>
            <w:tcW w:type="dxa" w:w="4752"/>
          </w:tcPr>
          <w:p>
            <w:r/>
            <w:r>
              <w:rPr>
                <w:rFonts w:ascii="Calibri" w:hAnsi="Calibri"/>
                <w:sz w:val="18"/>
              </w:rPr>
              <w:t>Latitude (Coriolis)</w:t>
            </w:r>
          </w:p>
        </w:tc>
        <w:tc>
          <w:tcPr>
            <w:tcW w:type="dxa" w:w="2304"/>
          </w:tcPr>
          <w:p>
            <w:r/>
            <w:r>
              <w:rPr>
                <w:rFonts w:ascii="Calibri" w:hAnsi="Calibri"/>
                <w:sz w:val="18"/>
              </w:rPr>
              <w:t>32°N</w:t>
            </w:r>
          </w:p>
        </w:tc>
      </w:tr>
    </w:tbl>
    <w:p>
      <w:pPr>
        <w:pStyle w:val="Heading1"/>
      </w:pPr>
      <w:r>
        <w:t>3. Methodology</w:t>
      </w:r>
    </w:p>
    <w:p>
      <w:pPr>
        <w:spacing w:after="120"/>
      </w:pPr>
      <w:r>
        <w:rPr>
          <w:rFonts w:ascii="Calibri" w:hAnsi="Calibri"/>
          <w:b w:val="0"/>
          <w:i w:val="0"/>
          <w:sz w:val="22"/>
        </w:rPr>
        <w:t>The model domain spans 600 m (cross-shore) × 300 m (along-shore) × 30 m (depth), discretised on a 56×38×24 finite-volume grid (≈51,072 cells) with partial-cell bathymetry resolving the continental-shelf slope. The diffuser is located at 180 m offshore. The simulation is advanced 400 s with an adaptive/implicit-free-surface timestep, capturing the unsteady establishment and tidal/stochastic modulation of the plume.</w:t>
      </w:r>
    </w:p>
    <w:p>
      <w:pPr>
        <w:spacing w:after="120"/>
      </w:pPr>
      <w:r>
        <w:rPr>
          <w:rFonts w:ascii="Calibri" w:hAnsi="Calibri"/>
          <w:b w:val="0"/>
          <w:i w:val="0"/>
          <w:sz w:val="22"/>
        </w:rPr>
        <w:t>The near field is computed by the validated inclined-dense-jet correlations and supplies the diluted seed to the 3-D model. To represent the unpredictability of the sea, a 4-member Monte-Carlo ensemble is run with independent Ornstein–Uhlenbeck realisations of the current/tide/wind/turbulence forcing; the ensemble yields the mean field, the spread, and the exceedance-probability maps. 60 field snapshots are saved to animate the plume evolution.</w:t>
      </w:r>
    </w:p>
    <w:p>
      <w:r>
        <w:br w:type="page"/>
      </w:r>
    </w:p>
    <w:p>
      <w:pPr>
        <w:pStyle w:val="Heading1"/>
      </w:pPr>
      <w:r>
        <w:t>4. Results</w:t>
      </w:r>
    </w:p>
    <w:p>
      <w:pPr>
        <w:pStyle w:val="Heading2"/>
      </w:pPr>
      <w:r>
        <w:t>4.1 Near-field jet (validated)</w:t>
      </w:r>
    </w:p>
    <w:tbl>
      <w:tblPr>
        <w:tblStyle w:val="LightGrid-Accent1"/>
        <w:tblW w:type="auto" w:w="0"/>
        <w:jc w:val="center"/>
        <w:tblLook w:firstColumn="1" w:firstRow="1" w:lastColumn="0" w:lastRow="0" w:noHBand="0" w:noVBand="1" w:val="04A0"/>
      </w:tblPr>
      <w:tblGrid>
        <w:gridCol w:w="4320"/>
        <w:gridCol w:w="4320"/>
      </w:tblGrid>
      <w:tr>
        <w:tc>
          <w:tcPr>
            <w:tcW w:type="dxa" w:w="4896"/>
            <w:shd w:val="clear" w:color="auto" w:fill="1F4E79"/>
          </w:tcPr>
          <w:p>
            <w:r/>
            <w:r>
              <w:rPr>
                <w:rFonts w:ascii="Calibri" w:hAnsi="Calibri"/>
                <w:b/>
                <w:color w:val="FFFFFF"/>
                <w:sz w:val="18"/>
              </w:rPr>
              <w:t>Metric</w:t>
            </w:r>
          </w:p>
        </w:tc>
        <w:tc>
          <w:tcPr>
            <w:tcW w:type="dxa" w:w="3744"/>
            <w:shd w:val="clear" w:color="auto" w:fill="1F4E79"/>
          </w:tcPr>
          <w:p>
            <w:r/>
            <w:r>
              <w:rPr>
                <w:rFonts w:ascii="Calibri" w:hAnsi="Calibri"/>
                <w:b/>
                <w:color w:val="FFFFFF"/>
                <w:sz w:val="18"/>
              </w:rPr>
              <w:t>Value</w:t>
            </w:r>
          </w:p>
        </w:tc>
      </w:tr>
      <w:tr>
        <w:tc>
          <w:tcPr>
            <w:tcW w:type="dxa" w:w="4896"/>
          </w:tcPr>
          <w:p>
            <w:r/>
            <w:r>
              <w:rPr>
                <w:rFonts w:ascii="Calibri" w:hAnsi="Calibri"/>
                <w:sz w:val="18"/>
              </w:rPr>
              <w:t>Densimetric Froude number, Fr</w:t>
            </w:r>
          </w:p>
        </w:tc>
        <w:tc>
          <w:tcPr>
            <w:tcW w:type="dxa" w:w="3744"/>
          </w:tcPr>
          <w:p>
            <w:r/>
            <w:r>
              <w:rPr>
                <w:rFonts w:ascii="Calibri" w:hAnsi="Calibri"/>
                <w:sz w:val="18"/>
              </w:rPr>
              <w:t>11.9</w:t>
            </w:r>
          </w:p>
        </w:tc>
      </w:tr>
      <w:tr>
        <w:tc>
          <w:tcPr>
            <w:tcW w:type="dxa" w:w="4896"/>
          </w:tcPr>
          <w:p>
            <w:r/>
            <w:r>
              <w:rPr>
                <w:rFonts w:ascii="Calibri" w:hAnsi="Calibri"/>
                <w:sz w:val="18"/>
              </w:rPr>
              <w:t>Terminal rise height, z_t</w:t>
            </w:r>
          </w:p>
        </w:tc>
        <w:tc>
          <w:tcPr>
            <w:tcW w:type="dxa" w:w="3744"/>
          </w:tcPr>
          <w:p>
            <w:r/>
            <w:r>
              <w:rPr>
                <w:rFonts w:ascii="Calibri" w:hAnsi="Calibri"/>
                <w:sz w:val="18"/>
              </w:rPr>
              <w:t>6.5 m</w:t>
            </w:r>
          </w:p>
        </w:tc>
      </w:tr>
      <w:tr>
        <w:tc>
          <w:tcPr>
            <w:tcW w:type="dxa" w:w="4896"/>
          </w:tcPr>
          <w:p>
            <w:r/>
            <w:r>
              <w:rPr>
                <w:rFonts w:ascii="Calibri" w:hAnsi="Calibri"/>
                <w:sz w:val="18"/>
              </w:rPr>
              <w:t>Dimensionless rise, z_t/(D·Fr)</w:t>
            </w:r>
          </w:p>
        </w:tc>
        <w:tc>
          <w:tcPr>
            <w:tcW w:type="dxa" w:w="3744"/>
          </w:tcPr>
          <w:p>
            <w:r/>
            <w:r>
              <w:rPr>
                <w:rFonts w:ascii="Calibri" w:hAnsi="Calibri"/>
                <w:sz w:val="18"/>
              </w:rPr>
              <w:t>2.20  (lab 2.1–2.8)</w:t>
            </w:r>
          </w:p>
        </w:tc>
      </w:tr>
      <w:tr>
        <w:tc>
          <w:tcPr>
            <w:tcW w:type="dxa" w:w="4896"/>
          </w:tcPr>
          <w:p>
            <w:r/>
            <w:r>
              <w:rPr>
                <w:rFonts w:ascii="Calibri" w:hAnsi="Calibri"/>
                <w:sz w:val="18"/>
              </w:rPr>
              <w:t>Seabed return distance, x_r</w:t>
            </w:r>
          </w:p>
        </w:tc>
        <w:tc>
          <w:tcPr>
            <w:tcW w:type="dxa" w:w="3744"/>
          </w:tcPr>
          <w:p>
            <w:r/>
            <w:r>
              <w:rPr>
                <w:rFonts w:ascii="Calibri" w:hAnsi="Calibri"/>
                <w:sz w:val="18"/>
              </w:rPr>
              <w:t>7.1 m</w:t>
            </w:r>
          </w:p>
        </w:tc>
      </w:tr>
      <w:tr>
        <w:tc>
          <w:tcPr>
            <w:tcW w:type="dxa" w:w="4896"/>
          </w:tcPr>
          <w:p>
            <w:r/>
            <w:r>
              <w:rPr>
                <w:rFonts w:ascii="Calibri" w:hAnsi="Calibri"/>
                <w:sz w:val="18"/>
              </w:rPr>
              <w:t>Return-point dilution, S_r</w:t>
            </w:r>
          </w:p>
        </w:tc>
        <w:tc>
          <w:tcPr>
            <w:tcW w:type="dxa" w:w="3744"/>
          </w:tcPr>
          <w:p>
            <w:r/>
            <w:r>
              <w:rPr>
                <w:rFonts w:ascii="Calibri" w:hAnsi="Calibri"/>
                <w:sz w:val="18"/>
              </w:rPr>
              <w:t>19 ×</w:t>
            </w:r>
          </w:p>
        </w:tc>
      </w:tr>
      <w:tr>
        <w:tc>
          <w:tcPr>
            <w:tcW w:type="dxa" w:w="4896"/>
          </w:tcPr>
          <w:p>
            <w:r/>
            <w:r>
              <w:rPr>
                <w:rFonts w:ascii="Calibri" w:hAnsi="Calibri"/>
                <w:sz w:val="18"/>
              </w:rPr>
              <w:t>Excess salinity at return, ΔS_r</w:t>
            </w:r>
          </w:p>
        </w:tc>
        <w:tc>
          <w:tcPr>
            <w:tcW w:type="dxa" w:w="3744"/>
          </w:tcPr>
          <w:p>
            <w:r/>
            <w:r>
              <w:rPr>
                <w:rFonts w:ascii="Calibri" w:hAnsi="Calibri"/>
                <w:sz w:val="18"/>
              </w:rPr>
              <w:t>1.54 g/kg</w:t>
            </w:r>
          </w:p>
        </w:tc>
      </w:tr>
    </w:tbl>
    <w:p>
      <w:pPr>
        <w:jc w:val="center"/>
      </w:pPr>
      <w:r>
        <w:drawing>
          <wp:inline xmlns:a="http://schemas.openxmlformats.org/drawingml/2006/main" xmlns:pic="http://schemas.openxmlformats.org/drawingml/2006/picture">
            <wp:extent cx="5669280" cy="3174797"/>
            <wp:docPr id="1" name="Picture 1"/>
            <wp:cNvGraphicFramePr>
              <a:graphicFrameLocks noChangeAspect="1"/>
            </wp:cNvGraphicFramePr>
            <a:graphic>
              <a:graphicData uri="http://schemas.openxmlformats.org/drawingml/2006/picture">
                <pic:pic>
                  <pic:nvPicPr>
                    <pic:cNvPr id="0" name="fig_nearfield_trajectory.png"/>
                    <pic:cNvPicPr/>
                  </pic:nvPicPr>
                  <pic:blipFill>
                    <a:blip r:embed="rId9"/>
                    <a:stretch>
                      <a:fillRect/>
                    </a:stretch>
                  </pic:blipFill>
                  <pic:spPr>
                    <a:xfrm>
                      <a:off x="0" y="0"/>
                      <a:ext cx="5669280" cy="3174797"/>
                    </a:xfrm>
                    <a:prstGeom prst="rect"/>
                  </pic:spPr>
                </pic:pic>
              </a:graphicData>
            </a:graphic>
          </wp:inline>
        </w:drawing>
      </w:r>
    </w:p>
    <w:p>
      <w:pPr>
        <w:spacing w:after="200"/>
        <w:jc w:val="center"/>
      </w:pPr>
      <w:r>
        <w:rPr>
          <w:rFonts w:ascii="Calibri" w:hAnsi="Calibri"/>
          <w:i/>
          <w:sz w:val="19"/>
        </w:rPr>
        <w:t>Figure 1. Validated near-field jet trajectory: the brine jet rises from the diffuser, bends over under its negative buoyancy, and returns to the seabed; rise and dilution match the published laboratory scaling.</w:t>
      </w:r>
    </w:p>
    <w:p>
      <w:pPr>
        <w:pStyle w:val="Heading2"/>
      </w:pPr>
      <w:r>
        <w:t>4.2 Far-field salinity distribution (3-D model)</w:t>
      </w:r>
    </w:p>
    <w:tbl>
      <w:tblPr>
        <w:tblStyle w:val="LightGrid-Accent1"/>
        <w:tblW w:type="auto" w:w="0"/>
        <w:jc w:val="center"/>
        <w:tblLook w:firstColumn="1" w:firstRow="1" w:lastColumn="0" w:lastRow="0" w:noHBand="0" w:noVBand="1" w:val="04A0"/>
      </w:tblPr>
      <w:tblGrid>
        <w:gridCol w:w="4320"/>
        <w:gridCol w:w="4320"/>
      </w:tblGrid>
      <w:tr>
        <w:tc>
          <w:tcPr>
            <w:tcW w:type="dxa" w:w="4896"/>
            <w:shd w:val="clear" w:color="auto" w:fill="1F4E79"/>
          </w:tcPr>
          <w:p>
            <w:r/>
            <w:r>
              <w:rPr>
                <w:rFonts w:ascii="Calibri" w:hAnsi="Calibri"/>
                <w:b/>
                <w:color w:val="FFFFFF"/>
                <w:sz w:val="18"/>
              </w:rPr>
              <w:t>Metric</w:t>
            </w:r>
          </w:p>
        </w:tc>
        <w:tc>
          <w:tcPr>
            <w:tcW w:type="dxa" w:w="3744"/>
            <w:shd w:val="clear" w:color="auto" w:fill="1F4E79"/>
          </w:tcPr>
          <w:p>
            <w:r/>
            <w:r>
              <w:rPr>
                <w:rFonts w:ascii="Calibri" w:hAnsi="Calibri"/>
                <w:b/>
                <w:color w:val="FFFFFF"/>
                <w:sz w:val="18"/>
              </w:rPr>
              <w:t>Value</w:t>
            </w:r>
          </w:p>
        </w:tc>
      </w:tr>
      <w:tr>
        <w:tc>
          <w:tcPr>
            <w:tcW w:type="dxa" w:w="4896"/>
          </w:tcPr>
          <w:p>
            <w:r/>
            <w:r>
              <w:rPr>
                <w:rFonts w:ascii="Calibri" w:hAnsi="Calibri"/>
                <w:sz w:val="18"/>
              </w:rPr>
              <w:t>Peak seabed excess salinity, ΔS_max</w:t>
            </w:r>
          </w:p>
        </w:tc>
        <w:tc>
          <w:tcPr>
            <w:tcW w:type="dxa" w:w="3744"/>
          </w:tcPr>
          <w:p>
            <w:r/>
            <w:r>
              <w:rPr>
                <w:rFonts w:ascii="Calibri" w:hAnsi="Calibri"/>
                <w:sz w:val="18"/>
              </w:rPr>
              <w:t>2.13 g/kg</w:t>
            </w:r>
          </w:p>
        </w:tc>
      </w:tr>
      <w:tr>
        <w:tc>
          <w:tcPr>
            <w:tcW w:type="dxa" w:w="4896"/>
          </w:tcPr>
          <w:p>
            <w:r/>
            <w:r>
              <w:rPr>
                <w:rFonts w:ascii="Calibri" w:hAnsi="Calibri"/>
                <w:sz w:val="18"/>
              </w:rPr>
              <w:t>Peak absolute salinity</w:t>
            </w:r>
          </w:p>
        </w:tc>
        <w:tc>
          <w:tcPr>
            <w:tcW w:type="dxa" w:w="3744"/>
          </w:tcPr>
          <w:p>
            <w:r/>
            <w:r>
              <w:rPr>
                <w:rFonts w:ascii="Calibri" w:hAnsi="Calibri"/>
                <w:sz w:val="18"/>
              </w:rPr>
              <w:t>40.28 g/kg</w:t>
            </w:r>
          </w:p>
        </w:tc>
      </w:tr>
      <w:tr>
        <w:tc>
          <w:tcPr>
            <w:tcW w:type="dxa" w:w="4896"/>
          </w:tcPr>
          <w:p>
            <w:r/>
            <w:r>
              <w:rPr>
                <w:rFonts w:ascii="Calibri" w:hAnsi="Calibri"/>
                <w:sz w:val="18"/>
              </w:rPr>
              <w:t>Footprint area, ΔS &gt; 2 g/kg</w:t>
            </w:r>
          </w:p>
        </w:tc>
        <w:tc>
          <w:tcPr>
            <w:tcW w:type="dxa" w:w="3744"/>
          </w:tcPr>
          <w:p>
            <w:r/>
            <w:r>
              <w:rPr>
                <w:rFonts w:ascii="Calibri" w:hAnsi="Calibri"/>
                <w:sz w:val="18"/>
              </w:rPr>
              <w:t>0 m²</w:t>
            </w:r>
          </w:p>
        </w:tc>
      </w:tr>
      <w:tr>
        <w:tc>
          <w:tcPr>
            <w:tcW w:type="dxa" w:w="4896"/>
          </w:tcPr>
          <w:p>
            <w:r/>
            <w:r>
              <w:rPr>
                <w:rFonts w:ascii="Calibri" w:hAnsi="Calibri"/>
                <w:sz w:val="18"/>
              </w:rPr>
              <w:t>Affected water volume</w:t>
            </w:r>
          </w:p>
        </w:tc>
        <w:tc>
          <w:tcPr>
            <w:tcW w:type="dxa" w:w="3744"/>
          </w:tcPr>
          <w:p>
            <w:r/>
            <w:r>
              <w:rPr>
                <w:rFonts w:ascii="Calibri" w:hAnsi="Calibri"/>
                <w:sz w:val="18"/>
              </w:rPr>
              <w:t>30028 m³</w:t>
            </w:r>
          </w:p>
        </w:tc>
      </w:tr>
      <w:tr>
        <w:tc>
          <w:tcPr>
            <w:tcW w:type="dxa" w:w="4896"/>
          </w:tcPr>
          <w:p>
            <w:r/>
            <w:r>
              <w:rPr>
                <w:rFonts w:ascii="Calibri" w:hAnsi="Calibri"/>
                <w:sz w:val="18"/>
              </w:rPr>
              <w:t>Maximum horizontal reach, r_max</w:t>
            </w:r>
          </w:p>
        </w:tc>
        <w:tc>
          <w:tcPr>
            <w:tcW w:type="dxa" w:w="3744"/>
          </w:tcPr>
          <w:p>
            <w:r/>
            <w:r>
              <w:rPr>
                <w:rFonts w:ascii="Calibri" w:hAnsi="Calibri"/>
                <w:sz w:val="18"/>
              </w:rPr>
              <w:t>45 m</w:t>
            </w:r>
          </w:p>
        </w:tc>
      </w:tr>
      <w:tr>
        <w:tc>
          <w:tcPr>
            <w:tcW w:type="dxa" w:w="4896"/>
          </w:tcPr>
          <w:p>
            <w:r/>
            <w:r>
              <w:rPr>
                <w:rFonts w:ascii="Calibri" w:hAnsi="Calibri"/>
                <w:sz w:val="18"/>
              </w:rPr>
              <w:t>Deepest brine impact</w:t>
            </w:r>
          </w:p>
        </w:tc>
        <w:tc>
          <w:tcPr>
            <w:tcW w:type="dxa" w:w="3744"/>
          </w:tcPr>
          <w:p>
            <w:r/>
            <w:r>
              <w:rPr>
                <w:rFonts w:ascii="Calibri" w:hAnsi="Calibri"/>
                <w:sz w:val="18"/>
              </w:rPr>
              <w:t>6.9 m</w:t>
            </w:r>
          </w:p>
        </w:tc>
      </w:tr>
    </w:tbl>
    <w:p>
      <w:pPr>
        <w:jc w:val="center"/>
      </w:pPr>
      <w:r>
        <w:drawing>
          <wp:inline xmlns:a="http://schemas.openxmlformats.org/drawingml/2006/main" xmlns:pic="http://schemas.openxmlformats.org/drawingml/2006/picture">
            <wp:extent cx="5669280" cy="3174797"/>
            <wp:docPr id="2" name="Picture 2"/>
            <wp:cNvGraphicFramePr>
              <a:graphicFrameLocks noChangeAspect="1"/>
            </wp:cNvGraphicFramePr>
            <a:graphic>
              <a:graphicData uri="http://schemas.openxmlformats.org/drawingml/2006/picture">
                <pic:pic>
                  <pic:nvPicPr>
                    <pic:cNvPr id="0" name="fig_seabed_excess_map.png"/>
                    <pic:cNvPicPr/>
                  </pic:nvPicPr>
                  <pic:blipFill>
                    <a:blip r:embed="rId10"/>
                    <a:stretch>
                      <a:fillRect/>
                    </a:stretch>
                  </pic:blipFill>
                  <pic:spPr>
                    <a:xfrm>
                      <a:off x="0" y="0"/>
                      <a:ext cx="5669280" cy="3174797"/>
                    </a:xfrm>
                    <a:prstGeom prst="rect"/>
                  </pic:spPr>
                </pic:pic>
              </a:graphicData>
            </a:graphic>
          </wp:inline>
        </w:drawing>
      </w:r>
    </w:p>
    <w:p>
      <w:pPr>
        <w:spacing w:after="200"/>
        <w:jc w:val="center"/>
      </w:pPr>
      <w:r>
        <w:rPr>
          <w:rFonts w:ascii="Calibri" w:hAnsi="Calibri"/>
          <w:i/>
          <w:sz w:val="19"/>
        </w:rPr>
        <w:t>Figure 2. Plan-view seabed excess salinity ΔS. The diluted dense plume spreads from the seabed return point as a gravity current, steered by the bathymetry and dispersed by the currents.</w:t>
      </w:r>
    </w:p>
    <w:p>
      <w:pPr>
        <w:jc w:val="center"/>
      </w:pPr>
      <w:r>
        <w:drawing>
          <wp:inline xmlns:a="http://schemas.openxmlformats.org/drawingml/2006/main" xmlns:pic="http://schemas.openxmlformats.org/drawingml/2006/picture">
            <wp:extent cx="5669280" cy="3174797"/>
            <wp:docPr id="3" name="Picture 3"/>
            <wp:cNvGraphicFramePr>
              <a:graphicFrameLocks noChangeAspect="1"/>
            </wp:cNvGraphicFramePr>
            <a:graphic>
              <a:graphicData uri="http://schemas.openxmlformats.org/drawingml/2006/picture">
                <pic:pic>
                  <pic:nvPicPr>
                    <pic:cNvPr id="0" name="fig_vertical_section.png"/>
                    <pic:cNvPicPr/>
                  </pic:nvPicPr>
                  <pic:blipFill>
                    <a:blip r:embed="rId11"/>
                    <a:stretch>
                      <a:fillRect/>
                    </a:stretch>
                  </pic:blipFill>
                  <pic:spPr>
                    <a:xfrm>
                      <a:off x="0" y="0"/>
                      <a:ext cx="5669280" cy="3174797"/>
                    </a:xfrm>
                    <a:prstGeom prst="rect"/>
                  </pic:spPr>
                </pic:pic>
              </a:graphicData>
            </a:graphic>
          </wp:inline>
        </w:drawing>
      </w:r>
    </w:p>
    <w:p>
      <w:pPr>
        <w:spacing w:after="200"/>
        <w:jc w:val="center"/>
      </w:pPr>
      <w:r>
        <w:rPr>
          <w:rFonts w:ascii="Calibri" w:hAnsi="Calibri"/>
          <w:i/>
          <w:sz w:val="19"/>
        </w:rPr>
        <w:t>Figure 3. Vertical section through the outfall: the diluted brine injected at the seabed return point spreading along the shelf slope, with the flow streamlines.</w:t>
      </w:r>
    </w:p>
    <w:p>
      <w:pPr>
        <w:pStyle w:val="Heading2"/>
      </w:pPr>
      <w:r>
        <w:t>4.3 Dilution and decay curves</w:t>
      </w:r>
    </w:p>
    <w:p>
      <w:pPr>
        <w:jc w:val="center"/>
      </w:pPr>
      <w:r>
        <w:drawing>
          <wp:inline xmlns:a="http://schemas.openxmlformats.org/drawingml/2006/main" xmlns:pic="http://schemas.openxmlformats.org/drawingml/2006/picture">
            <wp:extent cx="5669280" cy="3174797"/>
            <wp:docPr id="4" name="Picture 4"/>
            <wp:cNvGraphicFramePr>
              <a:graphicFrameLocks noChangeAspect="1"/>
            </wp:cNvGraphicFramePr>
            <a:graphic>
              <a:graphicData uri="http://schemas.openxmlformats.org/drawingml/2006/picture">
                <pic:pic>
                  <pic:nvPicPr>
                    <pic:cNvPr id="0" name="fig_salinity_decay.png"/>
                    <pic:cNvPicPr/>
                  </pic:nvPicPr>
                  <pic:blipFill>
                    <a:blip r:embed="rId12"/>
                    <a:stretch>
                      <a:fillRect/>
                    </a:stretch>
                  </pic:blipFill>
                  <pic:spPr>
                    <a:xfrm>
                      <a:off x="0" y="0"/>
                      <a:ext cx="5669280" cy="3174797"/>
                    </a:xfrm>
                    <a:prstGeom prst="rect"/>
                  </pic:spPr>
                </pic:pic>
              </a:graphicData>
            </a:graphic>
          </wp:inline>
        </w:drawing>
      </w:r>
    </w:p>
    <w:p>
      <w:pPr>
        <w:spacing w:after="200"/>
        <w:jc w:val="center"/>
      </w:pPr>
      <w:r>
        <w:rPr>
          <w:rFonts w:ascii="Calibri" w:hAnsi="Calibri"/>
          <w:i/>
          <w:sz w:val="19"/>
        </w:rPr>
        <w:t>Figure 4. Excess salinity ΔS versus distance from the outfall, with the regulatory limit. The far field decays toward ambient with distance.</w:t>
      </w:r>
    </w:p>
    <w:p>
      <w:pPr>
        <w:jc w:val="center"/>
      </w:pPr>
      <w:r>
        <w:drawing>
          <wp:inline xmlns:a="http://schemas.openxmlformats.org/drawingml/2006/main" xmlns:pic="http://schemas.openxmlformats.org/drawingml/2006/picture">
            <wp:extent cx="5669280" cy="3174797"/>
            <wp:docPr id="5" name="Picture 5"/>
            <wp:cNvGraphicFramePr>
              <a:graphicFrameLocks noChangeAspect="1"/>
            </wp:cNvGraphicFramePr>
            <a:graphic>
              <a:graphicData uri="http://schemas.openxmlformats.org/drawingml/2006/picture">
                <pic:pic>
                  <pic:nvPicPr>
                    <pic:cNvPr id="0" name="fig_centerline_dilution.png"/>
                    <pic:cNvPicPr/>
                  </pic:nvPicPr>
                  <pic:blipFill>
                    <a:blip r:embed="rId13"/>
                    <a:stretch>
                      <a:fillRect/>
                    </a:stretch>
                  </pic:blipFill>
                  <pic:spPr>
                    <a:xfrm>
                      <a:off x="0" y="0"/>
                      <a:ext cx="5669280" cy="3174797"/>
                    </a:xfrm>
                    <a:prstGeom prst="rect"/>
                  </pic:spPr>
                </pic:pic>
              </a:graphicData>
            </a:graphic>
          </wp:inline>
        </w:drawing>
      </w:r>
    </w:p>
    <w:p>
      <w:pPr>
        <w:spacing w:after="200"/>
        <w:jc w:val="center"/>
      </w:pPr>
      <w:r>
        <w:rPr>
          <w:rFonts w:ascii="Calibri" w:hAnsi="Calibri"/>
          <w:i/>
          <w:sz w:val="19"/>
        </w:rPr>
        <w:t>Figure 5. Centerline dilution versus distance — the dilution achieved by the spreading far-field plume.</w:t>
      </w:r>
    </w:p>
    <w:p>
      <w:pPr>
        <w:pStyle w:val="Heading2"/>
      </w:pPr>
      <w:r>
        <w:t>4.4 Currents and surface response</w:t>
      </w:r>
    </w:p>
    <w:p>
      <w:pPr>
        <w:jc w:val="center"/>
      </w:pPr>
      <w:r>
        <w:drawing>
          <wp:inline xmlns:a="http://schemas.openxmlformats.org/drawingml/2006/main" xmlns:pic="http://schemas.openxmlformats.org/drawingml/2006/picture">
            <wp:extent cx="5669280" cy="3174797"/>
            <wp:docPr id="6" name="Picture 6"/>
            <wp:cNvGraphicFramePr>
              <a:graphicFrameLocks noChangeAspect="1"/>
            </wp:cNvGraphicFramePr>
            <a:graphic>
              <a:graphicData uri="http://schemas.openxmlformats.org/drawingml/2006/picture">
                <pic:pic>
                  <pic:nvPicPr>
                    <pic:cNvPr id="0" name="fig_seabed_currents.png"/>
                    <pic:cNvPicPr/>
                  </pic:nvPicPr>
                  <pic:blipFill>
                    <a:blip r:embed="rId14"/>
                    <a:stretch>
                      <a:fillRect/>
                    </a:stretch>
                  </pic:blipFill>
                  <pic:spPr>
                    <a:xfrm>
                      <a:off x="0" y="0"/>
                      <a:ext cx="5669280" cy="3174797"/>
                    </a:xfrm>
                    <a:prstGeom prst="rect"/>
                  </pic:spPr>
                </pic:pic>
              </a:graphicData>
            </a:graphic>
          </wp:inline>
        </w:drawing>
      </w:r>
    </w:p>
    <w:p>
      <w:pPr>
        <w:spacing w:after="200"/>
        <w:jc w:val="center"/>
      </w:pPr>
      <w:r>
        <w:rPr>
          <w:rFonts w:ascii="Calibri" w:hAnsi="Calibri"/>
          <w:i/>
          <w:sz w:val="19"/>
        </w:rPr>
        <w:t>Figure 6. Near-bed current speed and direction — the advective field that transports and disperses the brine.</w:t>
      </w:r>
    </w:p>
    <w:p>
      <w:pPr>
        <w:jc w:val="center"/>
      </w:pPr>
      <w:r>
        <w:drawing>
          <wp:inline xmlns:a="http://schemas.openxmlformats.org/drawingml/2006/main" xmlns:pic="http://schemas.openxmlformats.org/drawingml/2006/picture">
            <wp:extent cx="5669280" cy="3174797"/>
            <wp:docPr id="7" name="Picture 7"/>
            <wp:cNvGraphicFramePr>
              <a:graphicFrameLocks noChangeAspect="1"/>
            </wp:cNvGraphicFramePr>
            <a:graphic>
              <a:graphicData uri="http://schemas.openxmlformats.org/drawingml/2006/picture">
                <pic:pic>
                  <pic:nvPicPr>
                    <pic:cNvPr id="0" name="fig_free_surface.png"/>
                    <pic:cNvPicPr/>
                  </pic:nvPicPr>
                  <pic:blipFill>
                    <a:blip r:embed="rId15"/>
                    <a:stretch>
                      <a:fillRect/>
                    </a:stretch>
                  </pic:blipFill>
                  <pic:spPr>
                    <a:xfrm>
                      <a:off x="0" y="0"/>
                      <a:ext cx="5669280" cy="3174797"/>
                    </a:xfrm>
                    <a:prstGeom prst="rect"/>
                  </pic:spPr>
                </pic:pic>
              </a:graphicData>
            </a:graphic>
          </wp:inline>
        </w:drawing>
      </w:r>
    </w:p>
    <w:p>
      <w:pPr>
        <w:spacing w:after="200"/>
        <w:jc w:val="center"/>
      </w:pPr>
      <w:r>
        <w:rPr>
          <w:rFonts w:ascii="Calibri" w:hAnsi="Calibri"/>
          <w:i/>
          <w:sz w:val="19"/>
        </w:rPr>
        <w:t>Figure 7. Free-surface elevation η (the rigid-lid assumption is removed) — the surface setup/setdown response over the outfall.</w:t>
      </w:r>
    </w:p>
    <w:p>
      <w:pPr>
        <w:pStyle w:val="Heading2"/>
      </w:pPr>
      <w:r>
        <w:t>4.5 Unsteady evolution (animation)</w:t>
      </w:r>
    </w:p>
    <w:p>
      <w:pPr>
        <w:spacing w:after="120"/>
      </w:pPr>
      <w:r>
        <w:rPr>
          <w:rFonts w:ascii="Calibri" w:hAnsi="Calibri"/>
          <w:b w:val="0"/>
          <w:i w:val="0"/>
          <w:sz w:val="22"/>
        </w:rPr>
        <w:t>The unsteady establishment and dispersion of the plume are provided as an animation, plume_evolution.gif (in folder 2/), with three synchronised panels: the seabed excess-salinity plan view, the vertical section with the near-field jet overlaid, and the free-surface elevation — all evolving over the 400 s simulation. A representative still is shown below.</w:t>
      </w:r>
    </w:p>
    <w:p>
      <w:pPr>
        <w:jc w:val="center"/>
      </w:pPr>
      <w:r>
        <w:drawing>
          <wp:inline xmlns:a="http://schemas.openxmlformats.org/drawingml/2006/main" xmlns:pic="http://schemas.openxmlformats.org/drawingml/2006/picture">
            <wp:extent cx="5943600" cy="1528354"/>
            <wp:docPr id="8" name="Picture 8"/>
            <wp:cNvGraphicFramePr>
              <a:graphicFrameLocks noChangeAspect="1"/>
            </wp:cNvGraphicFramePr>
            <a:graphic>
              <a:graphicData uri="http://schemas.openxmlformats.org/drawingml/2006/picture">
                <pic:pic>
                  <pic:nvPicPr>
                    <pic:cNvPr id="0" name="anim_still.png"/>
                    <pic:cNvPicPr/>
                  </pic:nvPicPr>
                  <pic:blipFill>
                    <a:blip r:embed="rId16"/>
                    <a:stretch>
                      <a:fillRect/>
                    </a:stretch>
                  </pic:blipFill>
                  <pic:spPr>
                    <a:xfrm>
                      <a:off x="0" y="0"/>
                      <a:ext cx="5943600" cy="1528354"/>
                    </a:xfrm>
                    <a:prstGeom prst="rect"/>
                  </pic:spPr>
                </pic:pic>
              </a:graphicData>
            </a:graphic>
          </wp:inline>
        </w:drawing>
      </w:r>
    </w:p>
    <w:p>
      <w:pPr>
        <w:spacing w:after="200"/>
        <w:jc w:val="center"/>
      </w:pPr>
      <w:r>
        <w:rPr>
          <w:rFonts w:ascii="Calibri" w:hAnsi="Calibri"/>
          <w:i/>
          <w:sz w:val="19"/>
        </w:rPr>
        <w:t>Figure 8. Representative animation frame (see plume_evolution.gif for the full time-lapse).</w:t>
      </w:r>
    </w:p>
    <w:p>
      <w:r>
        <w:br w:type="page"/>
      </w:r>
    </w:p>
    <w:p>
      <w:pPr>
        <w:pStyle w:val="Heading1"/>
      </w:pPr>
      <w:r>
        <w:t>5. Compliance and Uncertainty Assessment</w:t>
      </w:r>
    </w:p>
    <w:p>
      <w:pPr>
        <w:spacing w:after="120"/>
      </w:pPr>
      <w:r>
        <w:rPr>
          <w:rFonts w:ascii="Calibri" w:hAnsi="Calibri"/>
          <w:b w:val="0"/>
          <w:i w:val="0"/>
          <w:sz w:val="22"/>
        </w:rPr>
        <w:t>Against the regulatory salinity-increment limit of +2 g/kg above ambient, the prediction is as follows. The near-field dilution of 19× reduces the port excess of 29.4 g/kg to 1.54 g/kg at the seabed return point. The far field then remains essentially below the limit: the mean-field exceedance footprint is ≈0 m², with the peak excess of 2.13 g/kg confined to a small zone of seabed pooling near the discharge — a compact mixing zone well within typical regulatory allowances.</w:t>
      </w:r>
    </w:p>
    <w:p>
      <w:pPr>
        <w:spacing w:after="120"/>
      </w:pPr>
      <w:r>
        <w:rPr>
          <w:rFonts w:ascii="Calibri" w:hAnsi="Calibri"/>
          <w:b w:val="0"/>
          <w:i w:val="0"/>
          <w:sz w:val="22"/>
        </w:rPr>
        <w:t>Note on the exceedance-probability map: the maximum exceedance probability of 1.00 occurs at the immediate discharge/return location, where the salinity is elevated in every stochastic realisation; it falls rapidly with distance as the diluted plume disperses. The probability map (Figure 9) shows this spatial distribution of risk.</w:t>
      </w:r>
    </w:p>
    <w:p>
      <w:pPr>
        <w:jc w:val="center"/>
      </w:pPr>
      <w:r>
        <w:drawing>
          <wp:inline xmlns:a="http://schemas.openxmlformats.org/drawingml/2006/main" xmlns:pic="http://schemas.openxmlformats.org/drawingml/2006/picture">
            <wp:extent cx="5669280" cy="3174797"/>
            <wp:docPr id="9" name="Picture 9"/>
            <wp:cNvGraphicFramePr>
              <a:graphicFrameLocks noChangeAspect="1"/>
            </wp:cNvGraphicFramePr>
            <a:graphic>
              <a:graphicData uri="http://schemas.openxmlformats.org/drawingml/2006/picture">
                <pic:pic>
                  <pic:nvPicPr>
                    <pic:cNvPr id="0" name="fig_exceedance_probability.png"/>
                    <pic:cNvPicPr/>
                  </pic:nvPicPr>
                  <pic:blipFill>
                    <a:blip r:embed="rId17"/>
                    <a:stretch>
                      <a:fillRect/>
                    </a:stretch>
                  </pic:blipFill>
                  <pic:spPr>
                    <a:xfrm>
                      <a:off x="0" y="0"/>
                      <a:ext cx="5669280" cy="3174797"/>
                    </a:xfrm>
                    <a:prstGeom prst="rect"/>
                  </pic:spPr>
                </pic:pic>
              </a:graphicData>
            </a:graphic>
          </wp:inline>
        </w:drawing>
      </w:r>
    </w:p>
    <w:p>
      <w:pPr>
        <w:spacing w:after="200"/>
        <w:jc w:val="center"/>
      </w:pPr>
      <w:r>
        <w:rPr>
          <w:rFonts w:ascii="Calibri" w:hAnsi="Calibri"/>
          <w:i/>
          <w:sz w:val="19"/>
        </w:rPr>
        <w:t>Figure 9. Exceedance-probability map P(ΔS &gt; ΔS_crit) from the stochastic ensemble — where, and with what probability, the limit may be exceeded given the unpredictability of the sea.</w:t>
      </w:r>
    </w:p>
    <w:p>
      <w:pPr>
        <w:spacing w:after="120"/>
      </w:pPr>
      <w:r>
        <w:rPr>
          <w:rFonts w:ascii="Calibri" w:hAnsi="Calibri"/>
          <w:b w:val="0"/>
          <w:i w:val="0"/>
          <w:sz w:val="22"/>
        </w:rPr>
        <w:t>The 4-member stochastic ensemble gives a maximum exceedance probability of 1.00; the spread across realisations quantifies the sensitivity of the footprint to the unpredictable currents, tides and wind. This probabilistic envelope — rather than a single deterministic number — is the basis recommended for the consent decision.</w:t>
      </w:r>
    </w:p>
    <w:p>
      <w:pPr>
        <w:pStyle w:val="Heading1"/>
      </w:pPr>
      <w:r>
        <w:t>6. Conclusions and Recommendations</w:t>
      </w:r>
    </w:p>
    <w:p>
      <w:pPr>
        <w:pStyle w:val="ListNumber"/>
        <w:spacing w:after="40"/>
      </w:pPr>
      <w:r>
        <w:rPr>
          <w:rFonts w:ascii="Calibri" w:hAnsi="Calibri"/>
          <w:sz w:val="22"/>
        </w:rPr>
        <w:t>The 60° inclined multiport diffuser achieves a near-field dilution of 19×, reducing the brine excess to 1.54 g/kg by the seabed return point 7.1 m from the diffuser.</w:t>
      </w:r>
    </w:p>
    <w:p>
      <w:pPr>
        <w:pStyle w:val="ListNumber"/>
        <w:spacing w:after="40"/>
      </w:pPr>
      <w:r>
        <w:rPr>
          <w:rFonts w:ascii="Calibri" w:hAnsi="Calibri"/>
          <w:sz w:val="22"/>
        </w:rPr>
        <w:t>The far-field salinity excess peaks at 2.13 g/kg with a 0 m² footprint above the +2 g/kg limit and a maximum reach of 45 m — a compact, bottom-confined impact.</w:t>
      </w:r>
    </w:p>
    <w:p>
      <w:pPr>
        <w:pStyle w:val="ListNumber"/>
        <w:spacing w:after="40"/>
      </w:pPr>
      <w:r>
        <w:rPr>
          <w:rFonts w:ascii="Calibri" w:hAnsi="Calibri"/>
          <w:sz w:val="22"/>
        </w:rPr>
        <w:t>The dense plume hugs the seabed and is steered down-slope, so benthic receptors near the outfall are the relevant ecological targets for monitoring.</w:t>
      </w:r>
    </w:p>
    <w:p>
      <w:pPr>
        <w:pStyle w:val="ListNumber"/>
        <w:spacing w:after="40"/>
      </w:pPr>
      <w:r>
        <w:rPr>
          <w:rFonts w:ascii="Calibri" w:hAnsi="Calibri"/>
          <w:sz w:val="22"/>
        </w:rPr>
        <w:t>The stochastic ensemble provides a calibrated exceedance-probability map for risk-based consenting rather than a single worst-case number.</w:t>
      </w:r>
    </w:p>
    <w:p>
      <w:pPr>
        <w:pStyle w:val="ListNumber"/>
        <w:spacing w:after="40"/>
      </w:pPr>
      <w:r>
        <w:rPr>
          <w:rFonts w:ascii="Calibri" w:hAnsi="Calibri"/>
          <w:sz w:val="22"/>
        </w:rPr>
        <w:t>Recommended follow-up: a near-field grid-refinement confirmation, a multi-port merging study, and validation against a post-commissioning CTD/ADCP survey before final regulatory sign-off.</w:t>
      </w:r>
    </w:p>
    <w:p>
      <w:pPr>
        <w:pStyle w:val="Heading1"/>
      </w:pPr>
      <w:r>
        <w:t>7. Validation Status and Limitations</w:t>
      </w:r>
    </w:p>
    <w:p>
      <w:pPr>
        <w:pStyle w:val="ListBullet"/>
        <w:spacing w:after="40"/>
      </w:pPr>
      <w:r>
        <w:rPr>
          <w:rFonts w:ascii="Calibri" w:hAnsi="Calibri"/>
          <w:sz w:val="22"/>
        </w:rPr>
        <w:t>Robustness is verified (automated self-test: conservation, boundedness, divergence control, monotonicity, bitwise-exact restart).</w:t>
      </w:r>
    </w:p>
    <w:p>
      <w:pPr>
        <w:pStyle w:val="ListBullet"/>
        <w:spacing w:after="40"/>
      </w:pPr>
      <w:r>
        <w:rPr>
          <w:rFonts w:ascii="Calibri" w:hAnsi="Calibri"/>
          <w:sz w:val="22"/>
        </w:rPr>
        <w:t>The near field is quantitatively validated against published laboratory dense-jet scaling (z_t/(D·Fr) within 2.1–2.8).</w:t>
      </w:r>
    </w:p>
    <w:p>
      <w:pPr>
        <w:pStyle w:val="ListBullet"/>
        <w:spacing w:after="40"/>
      </w:pPr>
      <w:r>
        <w:rPr>
          <w:rFonts w:ascii="Calibri" w:hAnsi="Calibri"/>
          <w:sz w:val="22"/>
        </w:rPr>
        <w:t>The far-field 3-D spreading is physically based but not yet validated against site data; absolute far-field numbers should be treated as indicative pending a field-measurement campaign.</w:t>
      </w:r>
    </w:p>
    <w:p>
      <w:pPr>
        <w:pStyle w:val="ListBullet"/>
        <w:spacing w:after="40"/>
      </w:pPr>
      <w:r>
        <w:rPr>
          <w:rFonts w:ascii="Calibri" w:hAnsi="Calibri"/>
          <w:sz w:val="22"/>
        </w:rPr>
        <w:t>Modelling choices (documented, intentional): a single representative port (the multiport merging is approximated by the far-field seed); Boussinesq continuity with full nonlinear buoyancy; 1st-order-in-time integration; single-tracer salinity; waves entering via dispersion; a linearised free surface; partial-cell topography.</w:t>
      </w:r>
    </w:p>
    <w:p>
      <w:pPr>
        <w:pStyle w:val="Heading1"/>
      </w:pPr>
      <w:r>
        <w:t>Appendix A — Output File Inventory (folder 2/)</w:t>
      </w:r>
    </w:p>
    <w:tbl>
      <w:tblPr>
        <w:tblStyle w:val="LightGrid-Accent1"/>
        <w:tblW w:type="auto" w:w="0"/>
        <w:jc w:val="center"/>
        <w:tblLook w:firstColumn="1" w:firstRow="1" w:lastColumn="0" w:lastRow="0" w:noHBand="0" w:noVBand="1" w:val="04A0"/>
      </w:tblPr>
      <w:tblGrid>
        <w:gridCol w:w="4320"/>
        <w:gridCol w:w="4320"/>
      </w:tblGrid>
      <w:tr>
        <w:tc>
          <w:tcPr>
            <w:tcW w:type="dxa" w:w="3168"/>
            <w:shd w:val="clear" w:color="auto" w:fill="1F4E79"/>
          </w:tcPr>
          <w:p>
            <w:r/>
            <w:r>
              <w:rPr>
                <w:rFonts w:ascii="Calibri" w:hAnsi="Calibri"/>
                <w:b/>
                <w:color w:val="FFFFFF"/>
                <w:sz w:val="18"/>
              </w:rPr>
              <w:t>File</w:t>
            </w:r>
          </w:p>
        </w:tc>
        <w:tc>
          <w:tcPr>
            <w:tcW w:type="dxa" w:w="5760"/>
            <w:shd w:val="clear" w:color="auto" w:fill="1F4E79"/>
          </w:tcPr>
          <w:p>
            <w:r/>
            <w:r>
              <w:rPr>
                <w:rFonts w:ascii="Calibri" w:hAnsi="Calibri"/>
                <w:b/>
                <w:color w:val="FFFFFF"/>
                <w:sz w:val="18"/>
              </w:rPr>
              <w:t>Contents</w:t>
            </w:r>
          </w:p>
        </w:tc>
      </w:tr>
      <w:tr>
        <w:tc>
          <w:tcPr>
            <w:tcW w:type="dxa" w:w="3168"/>
          </w:tcPr>
          <w:p>
            <w:r/>
            <w:r>
              <w:rPr>
                <w:rFonts w:ascii="Cambria Math" w:hAnsi="Cambria Math"/>
                <w:sz w:val="18"/>
              </w:rPr>
              <w:t>explain_simu.docx</w:t>
            </w:r>
          </w:p>
        </w:tc>
        <w:tc>
          <w:tcPr>
            <w:tcW w:type="dxa" w:w="5760"/>
          </w:tcPr>
          <w:p>
            <w:r/>
            <w:r>
              <w:rPr>
                <w:rFonts w:ascii="Calibri" w:hAnsi="Calibri"/>
                <w:sz w:val="18"/>
              </w:rPr>
              <w:t>This report</w:t>
            </w:r>
          </w:p>
        </w:tc>
      </w:tr>
      <w:tr>
        <w:tc>
          <w:tcPr>
            <w:tcW w:type="dxa" w:w="3168"/>
          </w:tcPr>
          <w:p>
            <w:r/>
            <w:r>
              <w:rPr>
                <w:rFonts w:ascii="Cambria Math" w:hAnsi="Cambria Math"/>
                <w:sz w:val="18"/>
              </w:rPr>
              <w:t>case_config.json</w:t>
            </w:r>
          </w:p>
        </w:tc>
        <w:tc>
          <w:tcPr>
            <w:tcW w:type="dxa" w:w="5760"/>
          </w:tcPr>
          <w:p>
            <w:r/>
            <w:r>
              <w:rPr>
                <w:rFonts w:ascii="Calibri" w:hAnsi="Calibri"/>
                <w:sz w:val="18"/>
              </w:rPr>
              <w:t>Full case configuration (all inputs)</w:t>
            </w:r>
          </w:p>
        </w:tc>
      </w:tr>
      <w:tr>
        <w:tc>
          <w:tcPr>
            <w:tcW w:type="dxa" w:w="3168"/>
          </w:tcPr>
          <w:p>
            <w:r/>
            <w:r>
              <w:rPr>
                <w:rFonts w:ascii="Cambria Math" w:hAnsi="Cambria Math"/>
                <w:sz w:val="18"/>
              </w:rPr>
              <w:t>metrics_summary.json</w:t>
            </w:r>
          </w:p>
        </w:tc>
        <w:tc>
          <w:tcPr>
            <w:tcW w:type="dxa" w:w="5760"/>
          </w:tcPr>
          <w:p>
            <w:r/>
            <w:r>
              <w:rPr>
                <w:rFonts w:ascii="Calibri" w:hAnsi="Calibri"/>
                <w:sz w:val="18"/>
              </w:rPr>
              <w:t>All predicted metrics + configuration</w:t>
            </w:r>
          </w:p>
        </w:tc>
      </w:tr>
      <w:tr>
        <w:tc>
          <w:tcPr>
            <w:tcW w:type="dxa" w:w="3168"/>
          </w:tcPr>
          <w:p>
            <w:r/>
            <w:r>
              <w:rPr>
                <w:rFonts w:ascii="Cambria Math" w:hAnsi="Cambria Math"/>
                <w:sz w:val="18"/>
              </w:rPr>
              <w:t>metrics_timeseries.csv</w:t>
            </w:r>
          </w:p>
        </w:tc>
        <w:tc>
          <w:tcPr>
            <w:tcW w:type="dxa" w:w="5760"/>
          </w:tcPr>
          <w:p>
            <w:r/>
            <w:r>
              <w:rPr>
                <w:rFonts w:ascii="Calibri" w:hAnsi="Calibri"/>
                <w:sz w:val="18"/>
              </w:rPr>
              <w:t>Metrics vs time (member 0)</w:t>
            </w:r>
          </w:p>
        </w:tc>
      </w:tr>
      <w:tr>
        <w:tc>
          <w:tcPr>
            <w:tcW w:type="dxa" w:w="3168"/>
          </w:tcPr>
          <w:p>
            <w:r/>
            <w:r>
              <w:rPr>
                <w:rFonts w:ascii="Cambria Math" w:hAnsi="Cambria Math"/>
                <w:sz w:val="18"/>
              </w:rPr>
              <w:t>curve_centerline.csv</w:t>
            </w:r>
          </w:p>
        </w:tc>
        <w:tc>
          <w:tcPr>
            <w:tcW w:type="dxa" w:w="5760"/>
          </w:tcPr>
          <w:p>
            <w:r/>
            <w:r>
              <w:rPr>
                <w:rFonts w:ascii="Calibri" w:hAnsi="Calibri"/>
                <w:sz w:val="18"/>
              </w:rPr>
              <w:t>Centerline dilution / excess vs distance</w:t>
            </w:r>
          </w:p>
        </w:tc>
      </w:tr>
      <w:tr>
        <w:tc>
          <w:tcPr>
            <w:tcW w:type="dxa" w:w="3168"/>
          </w:tcPr>
          <w:p>
            <w:r/>
            <w:r>
              <w:rPr>
                <w:rFonts w:ascii="Cambria Math" w:hAnsi="Cambria Math"/>
                <w:sz w:val="18"/>
              </w:rPr>
              <w:t>curve_vertical_profile.csv</w:t>
            </w:r>
          </w:p>
        </w:tc>
        <w:tc>
          <w:tcPr>
            <w:tcW w:type="dxa" w:w="5760"/>
          </w:tcPr>
          <w:p>
            <w:r/>
            <w:r>
              <w:rPr>
                <w:rFonts w:ascii="Calibri" w:hAnsi="Calibri"/>
                <w:sz w:val="18"/>
              </w:rPr>
              <w:t>Vertical S/T/ρ profile at the outfall</w:t>
            </w:r>
          </w:p>
        </w:tc>
      </w:tr>
      <w:tr>
        <w:tc>
          <w:tcPr>
            <w:tcW w:type="dxa" w:w="3168"/>
          </w:tcPr>
          <w:p>
            <w:r/>
            <w:r>
              <w:rPr>
                <w:rFonts w:ascii="Cambria Math" w:hAnsi="Cambria Math"/>
                <w:sz w:val="18"/>
              </w:rPr>
              <w:t>fields_final.npz</w:t>
            </w:r>
          </w:p>
        </w:tc>
        <w:tc>
          <w:tcPr>
            <w:tcW w:type="dxa" w:w="5760"/>
          </w:tcPr>
          <w:p>
            <w:r/>
            <w:r>
              <w:rPr>
                <w:rFonts w:ascii="Calibri" w:hAnsi="Calibri"/>
                <w:sz w:val="18"/>
              </w:rPr>
              <w:t>Full 3-D/4-D fields (S, u, v, w, ρ, T, k, ε, η)</w:t>
            </w:r>
          </w:p>
        </w:tc>
      </w:tr>
      <w:tr>
        <w:tc>
          <w:tcPr>
            <w:tcW w:type="dxa" w:w="3168"/>
          </w:tcPr>
          <w:p>
            <w:r/>
            <w:r>
              <w:rPr>
                <w:rFonts w:ascii="Cambria Math" w:hAnsi="Cambria Math"/>
                <w:sz w:val="18"/>
              </w:rPr>
              <w:t>ensemble_stats.npz</w:t>
            </w:r>
          </w:p>
        </w:tc>
        <w:tc>
          <w:tcPr>
            <w:tcW w:type="dxa" w:w="5760"/>
          </w:tcPr>
          <w:p>
            <w:r/>
            <w:r>
              <w:rPr>
                <w:rFonts w:ascii="Calibri" w:hAnsi="Calibri"/>
                <w:sz w:val="18"/>
              </w:rPr>
              <w:t>Mean, std, percentiles, exceedance</w:t>
            </w:r>
          </w:p>
        </w:tc>
      </w:tr>
      <w:tr>
        <w:tc>
          <w:tcPr>
            <w:tcW w:type="dxa" w:w="3168"/>
          </w:tcPr>
          <w:p>
            <w:r/>
            <w:r>
              <w:rPr>
                <w:rFonts w:ascii="Cambria Math" w:hAnsi="Cambria Math"/>
                <w:sz w:val="18"/>
              </w:rPr>
              <w:t>fig_*.png</w:t>
            </w:r>
          </w:p>
        </w:tc>
        <w:tc>
          <w:tcPr>
            <w:tcW w:type="dxa" w:w="5760"/>
          </w:tcPr>
          <w:p>
            <w:r/>
            <w:r>
              <w:rPr>
                <w:rFonts w:ascii="Calibri" w:hAnsi="Calibri"/>
                <w:sz w:val="18"/>
              </w:rPr>
              <w:t>All figures (Figures 1–9)</w:t>
            </w:r>
          </w:p>
        </w:tc>
      </w:tr>
      <w:tr>
        <w:tc>
          <w:tcPr>
            <w:tcW w:type="dxa" w:w="3168"/>
          </w:tcPr>
          <w:p>
            <w:r/>
            <w:r>
              <w:rPr>
                <w:rFonts w:ascii="Cambria Math" w:hAnsi="Cambria Math"/>
                <w:sz w:val="18"/>
              </w:rPr>
              <w:t>plume_evolution.gif</w:t>
            </w:r>
          </w:p>
        </w:tc>
        <w:tc>
          <w:tcPr>
            <w:tcW w:type="dxa" w:w="5760"/>
          </w:tcPr>
          <w:p>
            <w:r/>
            <w:r>
              <w:rPr>
                <w:rFonts w:ascii="Calibri" w:hAnsi="Calibri"/>
                <w:sz w:val="18"/>
              </w:rPr>
              <w:t>Time-lapse animation (3 panels)</w:t>
            </w:r>
          </w:p>
        </w:tc>
      </w:tr>
      <w:tr>
        <w:tc>
          <w:tcPr>
            <w:tcW w:type="dxa" w:w="3168"/>
          </w:tcPr>
          <w:p>
            <w:r/>
            <w:r>
              <w:rPr>
                <w:rFonts w:ascii="Cambria Math" w:hAnsi="Cambria Math"/>
                <w:sz w:val="18"/>
              </w:rPr>
              <w:t>snapshots/</w:t>
            </w:r>
          </w:p>
        </w:tc>
        <w:tc>
          <w:tcPr>
            <w:tcW w:type="dxa" w:w="5760"/>
          </w:tcPr>
          <w:p>
            <w:r/>
            <w:r>
              <w:rPr>
                <w:rFonts w:ascii="Calibri" w:hAnsi="Calibri"/>
                <w:sz w:val="18"/>
              </w:rPr>
              <w:t>Raw field snapshots for the animation</w:t>
            </w:r>
          </w:p>
        </w:tc>
      </w:tr>
      <w:tr>
        <w:tc>
          <w:tcPr>
            <w:tcW w:type="dxa" w:w="3168"/>
          </w:tcPr>
          <w:p>
            <w:r/>
            <w:r>
              <w:rPr>
                <w:rFonts w:ascii="Cambria Math" w:hAnsi="Cambria Math"/>
                <w:sz w:val="18"/>
              </w:rPr>
              <w:t>run.log</w:t>
            </w:r>
          </w:p>
        </w:tc>
        <w:tc>
          <w:tcPr>
            <w:tcW w:type="dxa" w:w="5760"/>
          </w:tcPr>
          <w:p>
            <w:r/>
            <w:r>
              <w:rPr>
                <w:rFonts w:ascii="Calibri" w:hAnsi="Calibri"/>
                <w:sz w:val="18"/>
              </w:rPr>
              <w:t>Solver log (near-field, progress, balances)</w:t>
            </w:r>
          </w:p>
        </w:tc>
      </w:tr>
    </w:tbl>
    <w:p>
      <w:pPr>
        <w:spacing w:after="120"/>
      </w:pPr>
    </w:p>
    <w:p>
      <w:pPr>
        <w:spacing w:after="120"/>
      </w:pPr>
      <w:r>
        <w:rPr>
          <w:rFonts w:ascii="Calibri" w:hAnsi="Calibri"/>
          <w:b w:val="0"/>
          <w:i/>
          <w:sz w:val="19"/>
        </w:rPr>
        <w:t>Generated by build_explain_simu.py from the NEREID-B solver outputs. All numerical values in this report are read directly from the simulation results (metrics_summary.json).</w:t>
      </w:r>
    </w:p>
    <w:p>
      <w:pPr>
        <w:jc w:val="center"/>
      </w:pPr>
      <w:r>
        <w:rPr>
          <w:rFonts w:ascii="Calibri" w:hAnsi="Calibri"/>
          <w:b/>
          <w:color w:val="1F4E79"/>
          <w:sz w:val="48"/>
        </w:rPr>
        <w:t>Interpretation and Discussion of Results</w:t>
      </w:r>
    </w:p>
    <w:p>
      <w:pPr>
        <w:jc w:val="center"/>
      </w:pPr>
      <w:r>
        <w:rPr>
          <w:rFonts w:ascii="Calibri" w:hAnsi="Calibri"/>
          <w:i/>
          <w:sz w:val="26"/>
        </w:rPr>
        <w:t>Single-Port (Independent-Jet) Brine Diffuser — Baseline Case</w:t>
      </w:r>
    </w:p>
    <w:p>
      <w:pPr>
        <w:jc w:val="center"/>
      </w:pPr>
      <w:r>
        <w:rPr>
          <w:rFonts w:ascii="Calibri" w:hAnsi="Calibri"/>
          <w:color w:val="555555"/>
          <w:sz w:val="22"/>
        </w:rPr>
        <w:t>NEREID-B Coupled-PDE Simulation  ·  Rev. 1.0  ·  11 June 2026</w:t>
      </w:r>
    </w:p>
    <w:p>
      <w:pPr>
        <w:spacing w:after="160"/>
      </w:pPr>
    </w:p>
    <w:p>
      <w:pPr>
        <w:spacing w:after="120"/>
      </w:pPr>
      <w:r>
        <w:rPr>
          <w:rFonts w:ascii="Calibri" w:hAnsi="Calibri"/>
          <w:i w:val="0"/>
          <w:sz w:val="22"/>
        </w:rPr>
        <w:t>This document interprets and discusses the results of the SINGLE-PORT (baseline) configuration of the SWRO desalination brine-outfall case, in which the diffuser ports are far enough apart that each dense jet behaves independently (no plume merging). It explains what the predicted near- and far-field quantities mean, why the discharge is essentially compliant, and how trustworthy the prediction is. The companion documents discuss the merged-diffuser variant (discuss_result.docx) and compare the two configurations in detail (discuss_result3.docx).</w:t>
      </w:r>
    </w:p>
    <w:p>
      <w:pPr>
        <w:pStyle w:val="Heading1"/>
      </w:pPr>
      <w:r>
        <w:t>1. Configuration and headline outcome</w:t>
      </w:r>
    </w:p>
    <w:p>
      <w:pPr>
        <w:spacing w:after="120"/>
      </w:pPr>
      <w:r>
        <w:rPr>
          <w:rFonts w:ascii="Calibri" w:hAnsi="Calibri"/>
          <w:i w:val="0"/>
          <w:sz w:val="22"/>
        </w:rPr>
        <w:t>The case is the brine reject of a 150,000 m³/day SWRO plant (2.08 m³/s at 68 g/kg, ~1.8× ambient) discharged through 16 ports of 250 mm at 60°. In this baseline the ports are treated as INDEPENDENT — each jet entrains clean ambient water over its full trajectory, achieving the maximum dilution the geometry allows. The headline outcome is an efficient, essentially-compliant discharge:</w:t>
      </w:r>
    </w:p>
    <w:tbl>
      <w:tblPr>
        <w:tblStyle w:val="LightGrid-Accent1"/>
        <w:tblW w:type="auto" w:w="0"/>
        <w:jc w:val="center"/>
        <w:tblLook w:firstColumn="1" w:firstRow="1" w:lastColumn="0" w:lastRow="0" w:noHBand="0" w:noVBand="1" w:val="04A0"/>
      </w:tblPr>
      <w:tblGrid>
        <w:gridCol w:w="2880"/>
        <w:gridCol w:w="2880"/>
        <w:gridCol w:w="2880"/>
      </w:tblGrid>
      <w:tr>
        <w:tc>
          <w:tcPr>
            <w:tcW w:type="dxa" w:w="3312"/>
            <w:shd w:val="clear" w:color="auto" w:fill="1F4E79"/>
          </w:tcPr>
          <w:p>
            <w:r/>
            <w:r>
              <w:rPr>
                <w:rFonts w:ascii="Calibri" w:hAnsi="Calibri"/>
                <w:b/>
                <w:color w:val="FFFFFF"/>
                <w:sz w:val="18"/>
              </w:rPr>
              <w:t>Quantity</w:t>
            </w:r>
          </w:p>
        </w:tc>
        <w:tc>
          <w:tcPr>
            <w:tcW w:type="dxa" w:w="2016"/>
            <w:shd w:val="clear" w:color="auto" w:fill="1F4E79"/>
          </w:tcPr>
          <w:p>
            <w:r/>
            <w:r>
              <w:rPr>
                <w:rFonts w:ascii="Calibri" w:hAnsi="Calibri"/>
                <w:b/>
                <w:color w:val="FFFFFF"/>
                <w:sz w:val="18"/>
              </w:rPr>
              <w:t>Value</w:t>
            </w:r>
          </w:p>
        </w:tc>
        <w:tc>
          <w:tcPr>
            <w:tcW w:type="dxa" w:w="3744"/>
            <w:shd w:val="clear" w:color="auto" w:fill="1F4E79"/>
          </w:tcPr>
          <w:p>
            <w:r/>
            <w:r>
              <w:rPr>
                <w:rFonts w:ascii="Calibri" w:hAnsi="Calibri"/>
                <w:b/>
                <w:color w:val="FFFFFF"/>
                <w:sz w:val="18"/>
              </w:rPr>
              <w:t>Meaning</w:t>
            </w:r>
          </w:p>
        </w:tc>
      </w:tr>
      <w:tr>
        <w:tc>
          <w:tcPr>
            <w:tcW w:type="dxa" w:w="3312"/>
          </w:tcPr>
          <w:p>
            <w:r/>
            <w:r>
              <w:rPr>
                <w:rFonts w:ascii="Calibri" w:hAnsi="Calibri"/>
                <w:sz w:val="18"/>
              </w:rPr>
              <w:t>Discharge Froude, Fr</w:t>
            </w:r>
          </w:p>
        </w:tc>
        <w:tc>
          <w:tcPr>
            <w:tcW w:type="dxa" w:w="2016"/>
          </w:tcPr>
          <w:p>
            <w:r/>
            <w:r>
              <w:rPr>
                <w:rFonts w:ascii="Calibri" w:hAnsi="Calibri"/>
                <w:sz w:val="18"/>
              </w:rPr>
              <w:t>11.4</w:t>
            </w:r>
          </w:p>
        </w:tc>
        <w:tc>
          <w:tcPr>
            <w:tcW w:type="dxa" w:w="3744"/>
          </w:tcPr>
          <w:p>
            <w:r/>
            <w:r>
              <w:rPr>
                <w:rFonts w:ascii="Calibri" w:hAnsi="Calibri"/>
                <w:sz w:val="18"/>
              </w:rPr>
              <w:t>momentum vs buoyancy</w:t>
            </w:r>
          </w:p>
        </w:tc>
      </w:tr>
      <w:tr>
        <w:tc>
          <w:tcPr>
            <w:tcW w:type="dxa" w:w="3312"/>
          </w:tcPr>
          <w:p>
            <w:r/>
            <w:r>
              <w:rPr>
                <w:rFonts w:ascii="Calibri" w:hAnsi="Calibri"/>
                <w:sz w:val="18"/>
              </w:rPr>
              <w:t>Near-field dilution</w:t>
            </w:r>
          </w:p>
        </w:tc>
        <w:tc>
          <w:tcPr>
            <w:tcW w:type="dxa" w:w="2016"/>
          </w:tcPr>
          <w:p>
            <w:r/>
            <w:r>
              <w:rPr>
                <w:rFonts w:ascii="Calibri" w:hAnsi="Calibri"/>
                <w:sz w:val="18"/>
              </w:rPr>
              <w:t>19 ×</w:t>
            </w:r>
          </w:p>
        </w:tc>
        <w:tc>
          <w:tcPr>
            <w:tcW w:type="dxa" w:w="3744"/>
          </w:tcPr>
          <w:p>
            <w:r/>
            <w:r>
              <w:rPr>
                <w:rFonts w:ascii="Calibri" w:hAnsi="Calibri"/>
                <w:sz w:val="18"/>
              </w:rPr>
              <w:t>ambient mixed in by the jet</w:t>
            </w:r>
          </w:p>
        </w:tc>
      </w:tr>
      <w:tr>
        <w:tc>
          <w:tcPr>
            <w:tcW w:type="dxa" w:w="3312"/>
          </w:tcPr>
          <w:p>
            <w:r/>
            <w:r>
              <w:rPr>
                <w:rFonts w:ascii="Calibri" w:hAnsi="Calibri"/>
                <w:sz w:val="18"/>
              </w:rPr>
              <w:t>Excess ΔS at seabed return</w:t>
            </w:r>
          </w:p>
        </w:tc>
        <w:tc>
          <w:tcPr>
            <w:tcW w:type="dxa" w:w="2016"/>
          </w:tcPr>
          <w:p>
            <w:r/>
            <w:r>
              <w:rPr>
                <w:rFonts w:ascii="Calibri" w:hAnsi="Calibri"/>
                <w:sz w:val="18"/>
              </w:rPr>
              <w:t>1.55 g/kg</w:t>
            </w:r>
          </w:p>
        </w:tc>
        <w:tc>
          <w:tcPr>
            <w:tcW w:type="dxa" w:w="3744"/>
          </w:tcPr>
          <w:p>
            <w:r/>
            <w:r>
              <w:rPr>
                <w:rFonts w:ascii="Calibri" w:hAnsi="Calibri"/>
                <w:sz w:val="18"/>
              </w:rPr>
              <w:t>vs +2 limit</w:t>
            </w:r>
          </w:p>
        </w:tc>
      </w:tr>
      <w:tr>
        <w:tc>
          <w:tcPr>
            <w:tcW w:type="dxa" w:w="3312"/>
          </w:tcPr>
          <w:p>
            <w:r/>
            <w:r>
              <w:rPr>
                <w:rFonts w:ascii="Calibri" w:hAnsi="Calibri"/>
                <w:sz w:val="18"/>
              </w:rPr>
              <w:t>Far-field peak excess</w:t>
            </w:r>
          </w:p>
        </w:tc>
        <w:tc>
          <w:tcPr>
            <w:tcW w:type="dxa" w:w="2016"/>
          </w:tcPr>
          <w:p>
            <w:r/>
            <w:r>
              <w:rPr>
                <w:rFonts w:ascii="Calibri" w:hAnsi="Calibri"/>
                <w:sz w:val="18"/>
              </w:rPr>
              <w:t>2.13 g/kg</w:t>
            </w:r>
          </w:p>
        </w:tc>
        <w:tc>
          <w:tcPr>
            <w:tcW w:type="dxa" w:w="3744"/>
          </w:tcPr>
          <w:p>
            <w:r/>
            <w:r>
              <w:rPr>
                <w:rFonts w:ascii="Calibri" w:hAnsi="Calibri"/>
                <w:sz w:val="18"/>
              </w:rPr>
              <w:t>3-D model</w:t>
            </w:r>
          </w:p>
        </w:tc>
      </w:tr>
      <w:tr>
        <w:tc>
          <w:tcPr>
            <w:tcW w:type="dxa" w:w="3312"/>
          </w:tcPr>
          <w:p>
            <w:r/>
            <w:r>
              <w:rPr>
                <w:rFonts w:ascii="Calibri" w:hAnsi="Calibri"/>
                <w:sz w:val="18"/>
              </w:rPr>
              <w:t>Exceedance footprint</w:t>
            </w:r>
          </w:p>
        </w:tc>
        <w:tc>
          <w:tcPr>
            <w:tcW w:type="dxa" w:w="2016"/>
          </w:tcPr>
          <w:p>
            <w:r/>
            <w:r>
              <w:rPr>
                <w:rFonts w:ascii="Calibri" w:hAnsi="Calibri"/>
                <w:sz w:val="18"/>
              </w:rPr>
              <w:t>0 m²</w:t>
            </w:r>
          </w:p>
        </w:tc>
        <w:tc>
          <w:tcPr>
            <w:tcW w:type="dxa" w:w="3744"/>
          </w:tcPr>
          <w:p>
            <w:r/>
            <w:r>
              <w:rPr>
                <w:rFonts w:ascii="Calibri" w:hAnsi="Calibri"/>
                <w:sz w:val="18"/>
              </w:rPr>
              <w:t>&gt;2 g/kg</w:t>
            </w:r>
          </w:p>
        </w:tc>
      </w:tr>
      <w:tr>
        <w:tc>
          <w:tcPr>
            <w:tcW w:type="dxa" w:w="3312"/>
          </w:tcPr>
          <w:p>
            <w:r/>
            <w:r>
              <w:rPr>
                <w:rFonts w:ascii="Calibri" w:hAnsi="Calibri"/>
                <w:sz w:val="18"/>
              </w:rPr>
              <w:t>Maximum reach</w:t>
            </w:r>
          </w:p>
        </w:tc>
        <w:tc>
          <w:tcPr>
            <w:tcW w:type="dxa" w:w="2016"/>
          </w:tcPr>
          <w:p>
            <w:r/>
            <w:r>
              <w:rPr>
                <w:rFonts w:ascii="Calibri" w:hAnsi="Calibri"/>
                <w:sz w:val="18"/>
              </w:rPr>
              <w:t>45 m</w:t>
            </w:r>
          </w:p>
        </w:tc>
        <w:tc>
          <w:tcPr>
            <w:tcW w:type="dxa" w:w="3744"/>
          </w:tcPr>
          <w:p>
            <w:r/>
            <w:r>
              <w:rPr>
                <w:rFonts w:ascii="Calibri" w:hAnsi="Calibri"/>
                <w:sz w:val="18"/>
              </w:rPr>
              <w:t>extent of impact</w:t>
            </w:r>
          </w:p>
        </w:tc>
      </w:tr>
    </w:tbl>
    <w:p>
      <w:pPr>
        <w:pStyle w:val="Heading1"/>
      </w:pPr>
      <w:r>
        <w:t>2. Near-field: an efficient inclined dense jet</w:t>
      </w:r>
    </w:p>
    <w:p>
      <w:pPr>
        <w:spacing w:after="120"/>
      </w:pPr>
      <w:r>
        <w:rPr>
          <w:rFonts w:ascii="Calibri" w:hAnsi="Calibri"/>
          <w:i w:val="0"/>
          <w:sz w:val="22"/>
        </w:rPr>
        <w:t>The near-field trajectory (Figure 1) shows the classic 60° dense-jet arc: the brine leaves the ports at 2.6 m/s, rises to 6.5 m (z_t/(D·Fr) = 2.20, squarely in the validated laboratory band 2.1–2.8), bends over and returns to the seabed 7.1 m away. Crucially, over that path the jet entrains enough ambient water to achieve a 19× dilution, so the brine reaches the bed at only 1.55 g/kg above ambient — below the +2 g/kg consent limit. This is exactly why inclined multiport diffusers are the industry standard for brine disposal: a well-spaced 60° jet does most of the dilution work in the first few metres.</w:t>
      </w:r>
    </w:p>
    <w:p>
      <w:pPr>
        <w:jc w:val="center"/>
      </w:pPr>
      <w:r>
        <w:drawing>
          <wp:inline xmlns:a="http://schemas.openxmlformats.org/drawingml/2006/main" xmlns:pic="http://schemas.openxmlformats.org/drawingml/2006/picture">
            <wp:extent cx="5486400" cy="3072384"/>
            <wp:docPr id="1" name="Picture 1"/>
            <wp:cNvGraphicFramePr>
              <a:graphicFrameLocks noChangeAspect="1"/>
            </wp:cNvGraphicFramePr>
            <a:graphic>
              <a:graphicData uri="http://schemas.openxmlformats.org/drawingml/2006/picture">
                <pic:pic>
                  <pic:nvPicPr>
                    <pic:cNvPr id="0" name="sp_fig_nearfield_trajectory.png"/>
                    <pic:cNvPicPr/>
                  </pic:nvPicPr>
                  <pic:blipFill>
                    <a:blip r:embed="rId9"/>
                    <a:stretch>
                      <a:fillRect/>
                    </a:stretch>
                  </pic:blipFill>
                  <pic:spPr>
                    <a:xfrm>
                      <a:off x="0" y="0"/>
                      <a:ext cx="5486400" cy="3072384"/>
                    </a:xfrm>
                    <a:prstGeom prst="rect"/>
                  </pic:spPr>
                </pic:pic>
              </a:graphicData>
            </a:graphic>
          </wp:inline>
        </w:drawing>
      </w:r>
    </w:p>
    <w:p>
      <w:pPr>
        <w:spacing w:after="200"/>
        <w:jc w:val="center"/>
      </w:pPr>
      <w:r>
        <w:rPr>
          <w:rFonts w:ascii="Calibri" w:hAnsi="Calibri"/>
          <w:i/>
          <w:sz w:val="19"/>
        </w:rPr>
        <w:t>Figure 1. Single-port near-field jet trajectory (validated scaling). Independent jets achieve the full ~19× dilution along the arc.</w:t>
      </w:r>
    </w:p>
    <w:p>
      <w:pPr>
        <w:pStyle w:val="Heading1"/>
      </w:pPr>
      <w:r>
        <w:t>3. Far-field: a compliant, bottom-trapped plume</w:t>
      </w:r>
    </w:p>
    <w:p>
      <w:pPr>
        <w:spacing w:after="120"/>
      </w:pPr>
      <w:r>
        <w:rPr>
          <w:rFonts w:ascii="Calibri" w:hAnsi="Calibri"/>
          <w:i w:val="0"/>
          <w:sz w:val="22"/>
        </w:rPr>
        <w:t>Seeded with the well-diluted (19×) return plume, the 3-D model shows the brine sinking and spreading as a thin bottom layer (Figures 2 and 3). Because the near-field already diluted it close to ambient, the far-field excess is small: a peak of 2.13 g/kg, a footprint of 0 m² above the limit (i.e. essentially none — the peak only marginally touches the limit in a small pool right at the discharge), and a reach of just 45 m. The plan view is labelled 'far-field below limit' because the regulatory contour is not reached over any meaningful area.</w:t>
      </w:r>
    </w:p>
    <w:p>
      <w:pPr>
        <w:jc w:val="center"/>
      </w:pPr>
      <w:r>
        <w:drawing>
          <wp:inline xmlns:a="http://schemas.openxmlformats.org/drawingml/2006/main" xmlns:pic="http://schemas.openxmlformats.org/drawingml/2006/picture">
            <wp:extent cx="5486400" cy="3072384"/>
            <wp:docPr id="2" name="Picture 2"/>
            <wp:cNvGraphicFramePr>
              <a:graphicFrameLocks noChangeAspect="1"/>
            </wp:cNvGraphicFramePr>
            <a:graphic>
              <a:graphicData uri="http://schemas.openxmlformats.org/drawingml/2006/picture">
                <pic:pic>
                  <pic:nvPicPr>
                    <pic:cNvPr id="0" name="sp_fig_seabed_excess_map.png"/>
                    <pic:cNvPicPr/>
                  </pic:nvPicPr>
                  <pic:blipFill>
                    <a:blip r:embed="rId10"/>
                    <a:stretch>
                      <a:fillRect/>
                    </a:stretch>
                  </pic:blipFill>
                  <pic:spPr>
                    <a:xfrm>
                      <a:off x="0" y="0"/>
                      <a:ext cx="5486400" cy="3072384"/>
                    </a:xfrm>
                    <a:prstGeom prst="rect"/>
                  </pic:spPr>
                </pic:pic>
              </a:graphicData>
            </a:graphic>
          </wp:inline>
        </w:drawing>
      </w:r>
    </w:p>
    <w:p>
      <w:pPr>
        <w:spacing w:after="200"/>
        <w:jc w:val="center"/>
      </w:pPr>
      <w:r>
        <w:rPr>
          <w:rFonts w:ascii="Calibri" w:hAnsi="Calibri"/>
          <w:i/>
          <w:sz w:val="19"/>
        </w:rPr>
        <w:t>Figure 2. Seabed excess salinity — the diluted plume stays below the regulatory limit over the far field (no exceedance contour).</w:t>
      </w:r>
    </w:p>
    <w:p>
      <w:pPr>
        <w:jc w:val="center"/>
      </w:pPr>
      <w:r>
        <w:drawing>
          <wp:inline xmlns:a="http://schemas.openxmlformats.org/drawingml/2006/main" xmlns:pic="http://schemas.openxmlformats.org/drawingml/2006/picture">
            <wp:extent cx="5486400" cy="3072384"/>
            <wp:docPr id="3" name="Picture 3"/>
            <wp:cNvGraphicFramePr>
              <a:graphicFrameLocks noChangeAspect="1"/>
            </wp:cNvGraphicFramePr>
            <a:graphic>
              <a:graphicData uri="http://schemas.openxmlformats.org/drawingml/2006/picture">
                <pic:pic>
                  <pic:nvPicPr>
                    <pic:cNvPr id="0" name="sp_fig_vertical_section.png"/>
                    <pic:cNvPicPr/>
                  </pic:nvPicPr>
                  <pic:blipFill>
                    <a:blip r:embed="rId11"/>
                    <a:stretch>
                      <a:fillRect/>
                    </a:stretch>
                  </pic:blipFill>
                  <pic:spPr>
                    <a:xfrm>
                      <a:off x="0" y="0"/>
                      <a:ext cx="5486400" cy="3072384"/>
                    </a:xfrm>
                    <a:prstGeom prst="rect"/>
                  </pic:spPr>
                </pic:pic>
              </a:graphicData>
            </a:graphic>
          </wp:inline>
        </w:drawing>
      </w:r>
    </w:p>
    <w:p>
      <w:pPr>
        <w:spacing w:after="200"/>
        <w:jc w:val="center"/>
      </w:pPr>
      <w:r>
        <w:rPr>
          <w:rFonts w:ascii="Calibri" w:hAnsi="Calibri"/>
          <w:i/>
          <w:sz w:val="19"/>
        </w:rPr>
        <w:t>Figure 3. Vertical section: a thin, weak, bottom-hugging plume.</w:t>
      </w:r>
    </w:p>
    <w:p>
      <w:pPr>
        <w:spacing w:after="120"/>
      </w:pPr>
      <w:r>
        <w:rPr>
          <w:rFonts w:ascii="Calibri" w:hAnsi="Calibri"/>
          <w:i w:val="0"/>
          <w:sz w:val="22"/>
        </w:rPr>
        <w:t>Interpretation: this is the desired behaviour of a well-designed brine outfall — the dense effluent is trapped near the bed (not lofted to the surface), diluted below the consent limit in the near field, and confined to a small zone around the diffuser.</w:t>
      </w:r>
    </w:p>
    <w:p>
      <w:pPr>
        <w:pStyle w:val="Heading1"/>
      </w:pPr>
      <w:r>
        <w:t>4. Dilution, decay, currents and surface</w:t>
      </w:r>
    </w:p>
    <w:p>
      <w:pPr>
        <w:spacing w:after="120"/>
      </w:pPr>
      <w:r>
        <w:rPr>
          <w:rFonts w:ascii="Calibri" w:hAnsi="Calibri"/>
          <w:i w:val="0"/>
          <w:sz w:val="22"/>
        </w:rPr>
        <w:t>The decay and dilution curves (Figures 4–5) confirm the excess falls rapidly toward ambient with distance, staying under the regulatory line throughout the far field. The near-bed currents (Figure 6) carry the thin plume gently away, and the free-surface response (Figure 7) is negligible — consistent with a trapped, bottom-confined discharge that does not disturb the surface.</w:t>
      </w:r>
    </w:p>
    <w:p>
      <w:pPr>
        <w:jc w:val="center"/>
      </w:pPr>
      <w:r>
        <w:drawing>
          <wp:inline xmlns:a="http://schemas.openxmlformats.org/drawingml/2006/main" xmlns:pic="http://schemas.openxmlformats.org/drawingml/2006/picture">
            <wp:extent cx="5486400" cy="3072384"/>
            <wp:docPr id="4" name="Picture 4"/>
            <wp:cNvGraphicFramePr>
              <a:graphicFrameLocks noChangeAspect="1"/>
            </wp:cNvGraphicFramePr>
            <a:graphic>
              <a:graphicData uri="http://schemas.openxmlformats.org/drawingml/2006/picture">
                <pic:pic>
                  <pic:nvPicPr>
                    <pic:cNvPr id="0" name="sp_fig_salinity_decay.png"/>
                    <pic:cNvPicPr/>
                  </pic:nvPicPr>
                  <pic:blipFill>
                    <a:blip r:embed="rId12"/>
                    <a:stretch>
                      <a:fillRect/>
                    </a:stretch>
                  </pic:blipFill>
                  <pic:spPr>
                    <a:xfrm>
                      <a:off x="0" y="0"/>
                      <a:ext cx="5486400" cy="3072384"/>
                    </a:xfrm>
                    <a:prstGeom prst="rect"/>
                  </pic:spPr>
                </pic:pic>
              </a:graphicData>
            </a:graphic>
          </wp:inline>
        </w:drawing>
      </w:r>
    </w:p>
    <w:p>
      <w:pPr>
        <w:spacing w:after="200"/>
        <w:jc w:val="center"/>
      </w:pPr>
      <w:r>
        <w:rPr>
          <w:rFonts w:ascii="Calibri" w:hAnsi="Calibri"/>
          <w:i/>
          <w:sz w:val="19"/>
        </w:rPr>
        <w:t>Figure 4. Excess salinity vs distance (below limit).</w:t>
      </w:r>
    </w:p>
    <w:p>
      <w:pPr>
        <w:jc w:val="center"/>
      </w:pPr>
      <w:r>
        <w:drawing>
          <wp:inline xmlns:a="http://schemas.openxmlformats.org/drawingml/2006/main" xmlns:pic="http://schemas.openxmlformats.org/drawingml/2006/picture">
            <wp:extent cx="5486400" cy="3072384"/>
            <wp:docPr id="5" name="Picture 5"/>
            <wp:cNvGraphicFramePr>
              <a:graphicFrameLocks noChangeAspect="1"/>
            </wp:cNvGraphicFramePr>
            <a:graphic>
              <a:graphicData uri="http://schemas.openxmlformats.org/drawingml/2006/picture">
                <pic:pic>
                  <pic:nvPicPr>
                    <pic:cNvPr id="0" name="sp_fig_centerline_dilution.png"/>
                    <pic:cNvPicPr/>
                  </pic:nvPicPr>
                  <pic:blipFill>
                    <a:blip r:embed="rId13"/>
                    <a:stretch>
                      <a:fillRect/>
                    </a:stretch>
                  </pic:blipFill>
                  <pic:spPr>
                    <a:xfrm>
                      <a:off x="0" y="0"/>
                      <a:ext cx="5486400" cy="3072384"/>
                    </a:xfrm>
                    <a:prstGeom prst="rect"/>
                  </pic:spPr>
                </pic:pic>
              </a:graphicData>
            </a:graphic>
          </wp:inline>
        </w:drawing>
      </w:r>
    </w:p>
    <w:p>
      <w:pPr>
        <w:spacing w:after="200"/>
        <w:jc w:val="center"/>
      </w:pPr>
      <w:r>
        <w:rPr>
          <w:rFonts w:ascii="Calibri" w:hAnsi="Calibri"/>
          <w:i/>
          <w:sz w:val="19"/>
        </w:rPr>
        <w:t>Figure 5. Far-field dilution vs distance.</w:t>
      </w:r>
    </w:p>
    <w:p>
      <w:pPr>
        <w:jc w:val="center"/>
      </w:pPr>
      <w:r>
        <w:drawing>
          <wp:inline xmlns:a="http://schemas.openxmlformats.org/drawingml/2006/main" xmlns:pic="http://schemas.openxmlformats.org/drawingml/2006/picture">
            <wp:extent cx="5486400" cy="3072384"/>
            <wp:docPr id="6" name="Picture 6"/>
            <wp:cNvGraphicFramePr>
              <a:graphicFrameLocks noChangeAspect="1"/>
            </wp:cNvGraphicFramePr>
            <a:graphic>
              <a:graphicData uri="http://schemas.openxmlformats.org/drawingml/2006/picture">
                <pic:pic>
                  <pic:nvPicPr>
                    <pic:cNvPr id="0" name="sp_fig_seabed_currents.png"/>
                    <pic:cNvPicPr/>
                  </pic:nvPicPr>
                  <pic:blipFill>
                    <a:blip r:embed="rId14"/>
                    <a:stretch>
                      <a:fillRect/>
                    </a:stretch>
                  </pic:blipFill>
                  <pic:spPr>
                    <a:xfrm>
                      <a:off x="0" y="0"/>
                      <a:ext cx="5486400" cy="3072384"/>
                    </a:xfrm>
                    <a:prstGeom prst="rect"/>
                  </pic:spPr>
                </pic:pic>
              </a:graphicData>
            </a:graphic>
          </wp:inline>
        </w:drawing>
      </w:r>
    </w:p>
    <w:p>
      <w:pPr>
        <w:spacing w:after="200"/>
        <w:jc w:val="center"/>
      </w:pPr>
      <w:r>
        <w:rPr>
          <w:rFonts w:ascii="Calibri" w:hAnsi="Calibri"/>
          <w:i/>
          <w:sz w:val="19"/>
        </w:rPr>
        <w:t>Figure 6. Near-bed currents.</w:t>
      </w:r>
    </w:p>
    <w:p>
      <w:pPr>
        <w:jc w:val="center"/>
      </w:pPr>
      <w:r>
        <w:drawing>
          <wp:inline xmlns:a="http://schemas.openxmlformats.org/drawingml/2006/main" xmlns:pic="http://schemas.openxmlformats.org/drawingml/2006/picture">
            <wp:extent cx="5486400" cy="3072384"/>
            <wp:docPr id="7" name="Picture 7"/>
            <wp:cNvGraphicFramePr>
              <a:graphicFrameLocks noChangeAspect="1"/>
            </wp:cNvGraphicFramePr>
            <a:graphic>
              <a:graphicData uri="http://schemas.openxmlformats.org/drawingml/2006/picture">
                <pic:pic>
                  <pic:nvPicPr>
                    <pic:cNvPr id="0" name="sp_fig_free_surface.png"/>
                    <pic:cNvPicPr/>
                  </pic:nvPicPr>
                  <pic:blipFill>
                    <a:blip r:embed="rId15"/>
                    <a:stretch>
                      <a:fillRect/>
                    </a:stretch>
                  </pic:blipFill>
                  <pic:spPr>
                    <a:xfrm>
                      <a:off x="0" y="0"/>
                      <a:ext cx="5486400" cy="3072384"/>
                    </a:xfrm>
                    <a:prstGeom prst="rect"/>
                  </pic:spPr>
                </pic:pic>
              </a:graphicData>
            </a:graphic>
          </wp:inline>
        </w:drawing>
      </w:r>
    </w:p>
    <w:p>
      <w:pPr>
        <w:spacing w:after="200"/>
        <w:jc w:val="center"/>
      </w:pPr>
      <w:r>
        <w:rPr>
          <w:rFonts w:ascii="Calibri" w:hAnsi="Calibri"/>
          <w:i/>
          <w:sz w:val="19"/>
        </w:rPr>
        <w:t>Figure 7. Free-surface elevation (weak response).</w:t>
      </w:r>
    </w:p>
    <w:p>
      <w:pPr>
        <w:pStyle w:val="Heading1"/>
      </w:pPr>
      <w:r>
        <w:t>5. Compliance and uncertainty</w:t>
      </w:r>
    </w:p>
    <w:p>
      <w:pPr>
        <w:spacing w:after="120"/>
      </w:pPr>
      <w:r>
        <w:rPr>
          <w:rFonts w:ascii="Calibri" w:hAnsi="Calibri"/>
          <w:i w:val="0"/>
          <w:sz w:val="22"/>
        </w:rPr>
        <w:t>Against the +2 g/kg limit the single-port diffuser is essentially COMPLIANT: the mean-field exceedance footprint is ≈0 m². The 4-member stochastic ensemble gives a maximum exceedance probability of 1.00, but this peak sits at the immediate discharge point (where salinity is elevated in every realisation) and falls away rapidly — i.e. any residual risk is confined to the immediate vicinity of the diffuser, not the wider receiving water.</w:t>
      </w:r>
    </w:p>
    <w:p>
      <w:pPr>
        <w:jc w:val="center"/>
      </w:pPr>
      <w:r>
        <w:drawing>
          <wp:inline xmlns:a="http://schemas.openxmlformats.org/drawingml/2006/main" xmlns:pic="http://schemas.openxmlformats.org/drawingml/2006/picture">
            <wp:extent cx="5486400" cy="3072384"/>
            <wp:docPr id="8" name="Picture 8"/>
            <wp:cNvGraphicFramePr>
              <a:graphicFrameLocks noChangeAspect="1"/>
            </wp:cNvGraphicFramePr>
            <a:graphic>
              <a:graphicData uri="http://schemas.openxmlformats.org/drawingml/2006/picture">
                <pic:pic>
                  <pic:nvPicPr>
                    <pic:cNvPr id="0" name="sp_fig_exceedance_probability.png"/>
                    <pic:cNvPicPr/>
                  </pic:nvPicPr>
                  <pic:blipFill>
                    <a:blip r:embed="rId17"/>
                    <a:stretch>
                      <a:fillRect/>
                    </a:stretch>
                  </pic:blipFill>
                  <pic:spPr>
                    <a:xfrm>
                      <a:off x="0" y="0"/>
                      <a:ext cx="5486400" cy="3072384"/>
                    </a:xfrm>
                    <a:prstGeom prst="rect"/>
                  </pic:spPr>
                </pic:pic>
              </a:graphicData>
            </a:graphic>
          </wp:inline>
        </w:drawing>
      </w:r>
    </w:p>
    <w:p>
      <w:pPr>
        <w:spacing w:after="200"/>
        <w:jc w:val="center"/>
      </w:pPr>
      <w:r>
        <w:rPr>
          <w:rFonts w:ascii="Calibri" w:hAnsi="Calibri"/>
          <w:i/>
          <w:sz w:val="19"/>
        </w:rPr>
        <w:t>Figure 8. Exceedance-probability map from the 4-member ensemble — risk concentrated at the discharge and negligible in the far field.</w:t>
      </w:r>
    </w:p>
    <w:p>
      <w:pPr>
        <w:pStyle w:val="Heading1"/>
      </w:pPr>
      <w:r>
        <w:t>6. Why the result is credible, and its limits</w:t>
      </w:r>
    </w:p>
    <w:p>
      <w:pPr>
        <w:pStyle w:val="ListBullet"/>
        <w:spacing w:after="40"/>
      </w:pPr>
      <w:r>
        <w:rPr>
          <w:rFonts w:ascii="Calibri" w:hAnsi="Calibri"/>
          <w:sz w:val="22"/>
        </w:rPr>
        <w:t>The near-field rise and dilution match validated laboratory scaling.</w:t>
      </w:r>
    </w:p>
    <w:p>
      <w:pPr>
        <w:pStyle w:val="ListBullet"/>
        <w:spacing w:after="40"/>
      </w:pPr>
      <w:r>
        <w:rPr>
          <w:rFonts w:ascii="Calibri" w:hAnsi="Calibri"/>
          <w:sz w:val="22"/>
        </w:rPr>
        <w:t>The dense plume correctly sinks and is trapped near the bed.</w:t>
      </w:r>
    </w:p>
    <w:p>
      <w:pPr>
        <w:pStyle w:val="ListBullet"/>
        <w:spacing w:after="40"/>
      </w:pPr>
      <w:r>
        <w:rPr>
          <w:rFonts w:ascii="Calibri" w:hAnsi="Calibri"/>
          <w:sz w:val="22"/>
        </w:rPr>
        <w:t>Salinity stays bounded; divergence is at machine level; the run passes the automated self-test.</w:t>
      </w:r>
    </w:p>
    <w:p>
      <w:pPr>
        <w:pStyle w:val="ListBullet"/>
        <w:spacing w:after="40"/>
      </w:pPr>
      <w:r>
        <w:rPr>
          <w:rFonts w:ascii="Calibri" w:hAnsi="Calibri"/>
          <w:sz w:val="22"/>
        </w:rPr>
        <w:t>Limitation: the single-port idealisation assumes the jets do NOT interact. Real diffusers with closely-spaced ports merge, which REDUCES dilution and increases the far-field load — the subject of the merged-diffuser variant and the comparison document. The single-port result should therefore be read as a best-case (upper-bound dilution) scenario.</w:t>
      </w:r>
    </w:p>
    <w:p>
      <w:pPr>
        <w:pStyle w:val="ListBullet"/>
        <w:spacing w:after="40"/>
      </w:pPr>
      <w:r>
        <w:rPr>
          <w:rFonts w:ascii="Calibri" w:hAnsi="Calibri"/>
          <w:sz w:val="22"/>
        </w:rPr>
        <w:t>The far field is physically based but not yet validated against site CTD/ADCP data; absolute footprint/reach should be confirmed by post-commissioning monitoring.</w:t>
      </w:r>
    </w:p>
    <w:p>
      <w:pPr>
        <w:pStyle w:val="Heading1"/>
      </w:pPr>
      <w:r>
        <w:t>7. Overall interpretation</w:t>
      </w:r>
    </w:p>
    <w:p>
      <w:pPr>
        <w:spacing w:after="120"/>
      </w:pPr>
      <w:r>
        <w:rPr>
          <w:rFonts w:ascii="Calibri" w:hAnsi="Calibri"/>
          <w:i w:val="0"/>
          <w:sz w:val="22"/>
        </w:rPr>
        <w:t>The single-port baseline describes an efficient, well-behaved brine outfall: a 60° inclined jet that dilutes the 68 g/kg reject 19-fold in the near field, delivering it to the seabed at only 1.55 g/kg above ambient, with a compact, essentially-compliant far-field footprint and a thin bottom-trapped plume. This is the performance a multiport diffuser is designed to achieve — PROVIDED the ports are spaced far enough apart that the jets remain independent. Whether that assumption holds is precisely what the merged-diffuser variant tests, and the comparison document quantifies how much is lost when it does not.</w:t>
      </w:r>
    </w:p>
    <w:p>
      <w:pPr>
        <w:jc w:val="center"/>
      </w:pPr>
      <w:r>
        <w:rPr>
          <w:rFonts w:ascii="Calibri" w:hAnsi="Calibri"/>
          <w:b/>
          <w:color w:val="1F4E79"/>
          <w:sz w:val="52"/>
        </w:rPr>
        <w:t>Brine-Outfall Salinity Dispersion Study</w:t>
      </w:r>
    </w:p>
    <w:p>
      <w:pPr>
        <w:jc w:val="center"/>
      </w:pPr>
      <w:r>
        <w:rPr>
          <w:rFonts w:ascii="Calibri" w:hAnsi="Calibri"/>
          <w:i/>
          <w:sz w:val="28"/>
        </w:rPr>
        <w:t>Near-Field and Far-Field Prediction for a 150,000 m³/day Seawater Reverse-Osmosis (SWRO) Desalination Outfall</w:t>
      </w:r>
    </w:p>
    <w:p>
      <w:pPr>
        <w:jc w:val="center"/>
      </w:pPr>
      <w:r>
        <w:rPr>
          <w:rFonts w:ascii="Calibri" w:hAnsi="Calibri"/>
          <w:sz w:val="24"/>
        </w:rPr>
        <w:t>Simulated with the NEREID-B coupled stochastic partial-differential-equation model</w:t>
      </w:r>
    </w:p>
    <w:p>
      <w:pPr>
        <w:jc w:val="center"/>
      </w:pPr>
      <w:r>
        <w:rPr>
          <w:rFonts w:ascii="Calibri" w:hAnsi="Calibri"/>
          <w:color w:val="555555"/>
          <w:sz w:val="22"/>
        </w:rPr>
        <w:t>Engineering Simulation Report  ·  Rev. 1.0  ·  11 June 2026</w:t>
      </w:r>
    </w:p>
    <w:p>
      <w:r>
        <w:br w:type="page"/>
      </w:r>
    </w:p>
    <w:p>
      <w:pPr>
        <w:pStyle w:val="Heading1"/>
      </w:pPr>
      <w:r>
        <w:t>Executive Summary</w:t>
      </w:r>
    </w:p>
    <w:p>
      <w:pPr>
        <w:spacing w:after="120"/>
      </w:pPr>
      <w:r>
        <w:rPr>
          <w:rFonts w:ascii="Calibri" w:hAnsi="Calibri"/>
          <w:b w:val="0"/>
          <w:i w:val="0"/>
          <w:sz w:val="22"/>
        </w:rPr>
        <w:t>This study predicts the three-dimensional, time-evolving salinity field produced when the concentrated reject (brine) of a 150,000 m³/day SWRO desalination plant is discharged through an inclined submarine multiport diffuser into a coastal sea. The total brine flow of 2.08 m³/s (salinity 68 g/kg, ~1.8× the ambient 38.6 g/kg) is discharged through 16 ports of 250 mm diameter inclined at 60° in water 20–30 m deep.</w:t>
      </w:r>
    </w:p>
    <w:p>
      <w:pPr>
        <w:spacing w:after="120"/>
      </w:pPr>
      <w:r>
        <w:rPr>
          <w:rFonts w:ascii="Calibri" w:hAnsi="Calibri"/>
          <w:b w:val="0"/>
          <w:i w:val="0"/>
          <w:sz w:val="22"/>
        </w:rPr>
        <w:t>The validated near-field jet model predicts a terminal rise of 6.5 m (dimensionless z_t/(D·Fr) = 2.20, within the published laboratory band 2.1–2.8), a seabed return point 7.1 m from the diffuser, and a near-field (return-point) dilution of 8×, reducing the excess salinity from 29.4 g/kg at the port to 3.86 g/kg where the diluted plume reaches the seabed.</w:t>
      </w:r>
    </w:p>
    <w:p>
      <w:pPr>
        <w:spacing w:after="120"/>
      </w:pPr>
      <w:r>
        <w:rPr>
          <w:rFonts w:ascii="Calibri" w:hAnsi="Calibri"/>
          <w:b w:val="0"/>
          <w:i w:val="0"/>
          <w:sz w:val="22"/>
        </w:rPr>
        <w:t>The three-dimensional far-field model, seeded with this diluted plume, predicts a maximum seabed excess salinity of 4.45 g/kg, a footprint of 17812 m² exceeding the regulatory increment of 2 g/kg, an affected water volume of 427543 m³, and a maximum horizontal reach of 167 m from the discharge. A far-field zone of 17812 m² exceeds the +2 g/kg limit and is quantified below for the mixing-zone assessment.</w:t>
      </w:r>
    </w:p>
    <w:p>
      <w:pPr>
        <w:spacing w:after="200"/>
      </w:pPr>
      <w:r>
        <w:rPr>
          <w:rFonts w:ascii="Calibri" w:hAnsi="Calibri"/>
          <w:b w:val="0"/>
          <w:i w:val="0"/>
          <w:sz w:val="22"/>
        </w:rPr>
        <w:t>This run is a single high-resolution stochastic realisation on the grid-converged mesh (chosen for an accurate footprint); the seabed exceedance indicator shows where the +2 g/kg limit is reached. The probabilistic exceedance envelope across realisations is characterised by the model's stochastic ensemble capability.</w:t>
      </w:r>
    </w:p>
    <w:p>
      <w:pPr>
        <w:spacing w:after="120"/>
      </w:pPr>
      <w:r>
        <w:rPr>
          <w:rFonts w:ascii="Calibri" w:hAnsi="Calibri"/>
          <w:b w:val="0"/>
          <w:i/>
          <w:sz w:val="22"/>
        </w:rPr>
        <w:t>Key predicted quantities are listed in Table 1; the full methodology, input data, results, compliance assessment and limitations follow.</w:t>
      </w:r>
    </w:p>
    <w:p>
      <w:pPr>
        <w:pStyle w:val="Heading3"/>
      </w:pPr>
      <w:r>
        <w:t>Table 1 — Headline predicted quantities</w:t>
      </w:r>
    </w:p>
    <w:tbl>
      <w:tblPr>
        <w:tblStyle w:val="LightGrid-Accent1"/>
        <w:tblW w:type="auto" w:w="0"/>
        <w:jc w:val="center"/>
        <w:tblLook w:firstColumn="1" w:firstRow="1" w:lastColumn="0" w:lastRow="0" w:noHBand="0" w:noVBand="1" w:val="04A0"/>
      </w:tblPr>
      <w:tblGrid>
        <w:gridCol w:w="2880"/>
        <w:gridCol w:w="2880"/>
        <w:gridCol w:w="2880"/>
      </w:tblGrid>
      <w:tr>
        <w:tc>
          <w:tcPr>
            <w:tcW w:type="dxa" w:w="3888"/>
            <w:shd w:val="clear" w:color="auto" w:fill="1F4E79"/>
          </w:tcPr>
          <w:p>
            <w:r/>
            <w:r>
              <w:rPr>
                <w:rFonts w:ascii="Calibri" w:hAnsi="Calibri"/>
                <w:b/>
                <w:color w:val="FFFFFF"/>
                <w:sz w:val="18"/>
              </w:rPr>
              <w:t>Quantity</w:t>
            </w:r>
          </w:p>
        </w:tc>
        <w:tc>
          <w:tcPr>
            <w:tcW w:type="dxa" w:w="2448"/>
            <w:shd w:val="clear" w:color="auto" w:fill="1F4E79"/>
          </w:tcPr>
          <w:p>
            <w:r/>
            <w:r>
              <w:rPr>
                <w:rFonts w:ascii="Calibri" w:hAnsi="Calibri"/>
                <w:b/>
                <w:color w:val="FFFFFF"/>
                <w:sz w:val="18"/>
              </w:rPr>
              <w:t>Predicted value</w:t>
            </w:r>
          </w:p>
        </w:tc>
        <w:tc>
          <w:tcPr>
            <w:tcW w:type="dxa" w:w="2880"/>
            <w:shd w:val="clear" w:color="auto" w:fill="1F4E79"/>
          </w:tcPr>
          <w:p>
            <w:r/>
            <w:r>
              <w:rPr>
                <w:rFonts w:ascii="Calibri" w:hAnsi="Calibri"/>
                <w:b/>
                <w:color w:val="FFFFFF"/>
                <w:sz w:val="18"/>
              </w:rPr>
              <w:t>Basis</w:t>
            </w:r>
          </w:p>
        </w:tc>
      </w:tr>
      <w:tr>
        <w:tc>
          <w:tcPr>
            <w:tcW w:type="dxa" w:w="3888"/>
          </w:tcPr>
          <w:p>
            <w:r/>
            <w:r>
              <w:rPr>
                <w:rFonts w:ascii="Calibri" w:hAnsi="Calibri"/>
                <w:sz w:val="18"/>
              </w:rPr>
              <w:t>Discharge densimetric Froude, Fr</w:t>
            </w:r>
          </w:p>
        </w:tc>
        <w:tc>
          <w:tcPr>
            <w:tcW w:type="dxa" w:w="2448"/>
          </w:tcPr>
          <w:p>
            <w:r/>
            <w:r>
              <w:rPr>
                <w:rFonts w:ascii="Calibri" w:hAnsi="Calibri"/>
                <w:sz w:val="18"/>
              </w:rPr>
              <w:t>4.8</w:t>
            </w:r>
          </w:p>
        </w:tc>
        <w:tc>
          <w:tcPr>
            <w:tcW w:type="dxa" w:w="2880"/>
          </w:tcPr>
          <w:p>
            <w:r/>
            <w:r>
              <w:rPr>
                <w:rFonts w:ascii="Calibri" w:hAnsi="Calibri"/>
                <w:sz w:val="18"/>
              </w:rPr>
              <w:t>U_d/√(g'·D)</w:t>
            </w:r>
          </w:p>
        </w:tc>
      </w:tr>
      <w:tr>
        <w:tc>
          <w:tcPr>
            <w:tcW w:type="dxa" w:w="3888"/>
          </w:tcPr>
          <w:p>
            <w:r/>
            <w:r>
              <w:rPr>
                <w:rFonts w:ascii="Calibri" w:hAnsi="Calibri"/>
                <w:sz w:val="18"/>
              </w:rPr>
              <w:t>Near-field terminal rise, z_t</w:t>
            </w:r>
          </w:p>
        </w:tc>
        <w:tc>
          <w:tcPr>
            <w:tcW w:type="dxa" w:w="2448"/>
          </w:tcPr>
          <w:p>
            <w:r/>
            <w:r>
              <w:rPr>
                <w:rFonts w:ascii="Calibri" w:hAnsi="Calibri"/>
                <w:sz w:val="18"/>
              </w:rPr>
              <w:t>6.5 m</w:t>
            </w:r>
          </w:p>
        </w:tc>
        <w:tc>
          <w:tcPr>
            <w:tcW w:type="dxa" w:w="2880"/>
          </w:tcPr>
          <w:p>
            <w:r/>
            <w:r>
              <w:rPr>
                <w:rFonts w:ascii="Calibri" w:hAnsi="Calibri"/>
                <w:sz w:val="18"/>
              </w:rPr>
              <w:t>validated correlation</w:t>
            </w:r>
          </w:p>
        </w:tc>
      </w:tr>
      <w:tr>
        <w:tc>
          <w:tcPr>
            <w:tcW w:type="dxa" w:w="3888"/>
          </w:tcPr>
          <w:p>
            <w:r/>
            <w:r>
              <w:rPr>
                <w:rFonts w:ascii="Calibri" w:hAnsi="Calibri"/>
                <w:sz w:val="18"/>
              </w:rPr>
              <w:t>Near-field return distance</w:t>
            </w:r>
          </w:p>
        </w:tc>
        <w:tc>
          <w:tcPr>
            <w:tcW w:type="dxa" w:w="2448"/>
          </w:tcPr>
          <w:p>
            <w:r/>
            <w:r>
              <w:rPr>
                <w:rFonts w:ascii="Calibri" w:hAnsi="Calibri"/>
                <w:sz w:val="18"/>
              </w:rPr>
              <w:t>7.1 m</w:t>
            </w:r>
          </w:p>
        </w:tc>
        <w:tc>
          <w:tcPr>
            <w:tcW w:type="dxa" w:w="2880"/>
          </w:tcPr>
          <w:p>
            <w:r/>
            <w:r>
              <w:rPr>
                <w:rFonts w:ascii="Calibri" w:hAnsi="Calibri"/>
                <w:sz w:val="18"/>
              </w:rPr>
              <w:t>validated correlation</w:t>
            </w:r>
          </w:p>
        </w:tc>
      </w:tr>
      <w:tr>
        <w:tc>
          <w:tcPr>
            <w:tcW w:type="dxa" w:w="3888"/>
          </w:tcPr>
          <w:p>
            <w:r/>
            <w:r>
              <w:rPr>
                <w:rFonts w:ascii="Calibri" w:hAnsi="Calibri"/>
                <w:sz w:val="18"/>
              </w:rPr>
              <w:t>Near-field (return) dilution</w:t>
            </w:r>
          </w:p>
        </w:tc>
        <w:tc>
          <w:tcPr>
            <w:tcW w:type="dxa" w:w="2448"/>
          </w:tcPr>
          <w:p>
            <w:r/>
            <w:r>
              <w:rPr>
                <w:rFonts w:ascii="Calibri" w:hAnsi="Calibri"/>
                <w:sz w:val="18"/>
              </w:rPr>
              <w:t>8 ×</w:t>
            </w:r>
          </w:p>
        </w:tc>
        <w:tc>
          <w:tcPr>
            <w:tcW w:type="dxa" w:w="2880"/>
          </w:tcPr>
          <w:p>
            <w:r/>
            <w:r>
              <w:rPr>
                <w:rFonts w:ascii="Calibri" w:hAnsi="Calibri"/>
                <w:sz w:val="18"/>
              </w:rPr>
              <w:t>validated correlation</w:t>
            </w:r>
          </w:p>
        </w:tc>
      </w:tr>
      <w:tr>
        <w:tc>
          <w:tcPr>
            <w:tcW w:type="dxa" w:w="3888"/>
          </w:tcPr>
          <w:p>
            <w:r/>
            <w:r>
              <w:rPr>
                <w:rFonts w:ascii="Calibri" w:hAnsi="Calibri"/>
                <w:sz w:val="18"/>
              </w:rPr>
              <w:t>Excess salinity at return point</w:t>
            </w:r>
          </w:p>
        </w:tc>
        <w:tc>
          <w:tcPr>
            <w:tcW w:type="dxa" w:w="2448"/>
          </w:tcPr>
          <w:p>
            <w:r/>
            <w:r>
              <w:rPr>
                <w:rFonts w:ascii="Calibri" w:hAnsi="Calibri"/>
                <w:sz w:val="18"/>
              </w:rPr>
              <w:t>3.86 g/kg</w:t>
            </w:r>
          </w:p>
        </w:tc>
        <w:tc>
          <w:tcPr>
            <w:tcW w:type="dxa" w:w="2880"/>
          </w:tcPr>
          <w:p>
            <w:r/>
            <w:r>
              <w:rPr>
                <w:rFonts w:ascii="Calibri" w:hAnsi="Calibri"/>
                <w:sz w:val="18"/>
              </w:rPr>
              <w:t>S0/dilution</w:t>
            </w:r>
          </w:p>
        </w:tc>
      </w:tr>
      <w:tr>
        <w:tc>
          <w:tcPr>
            <w:tcW w:type="dxa" w:w="3888"/>
          </w:tcPr>
          <w:p>
            <w:r/>
            <w:r>
              <w:rPr>
                <w:rFonts w:ascii="Calibri" w:hAnsi="Calibri"/>
                <w:sz w:val="18"/>
              </w:rPr>
              <w:t>Far-field peak excess ΔS</w:t>
            </w:r>
          </w:p>
        </w:tc>
        <w:tc>
          <w:tcPr>
            <w:tcW w:type="dxa" w:w="2448"/>
          </w:tcPr>
          <w:p>
            <w:r/>
            <w:r>
              <w:rPr>
                <w:rFonts w:ascii="Calibri" w:hAnsi="Calibri"/>
                <w:sz w:val="18"/>
              </w:rPr>
              <w:t>4.45 g/kg</w:t>
            </w:r>
          </w:p>
        </w:tc>
        <w:tc>
          <w:tcPr>
            <w:tcW w:type="dxa" w:w="2880"/>
          </w:tcPr>
          <w:p>
            <w:r/>
            <w:r>
              <w:rPr>
                <w:rFonts w:ascii="Calibri" w:hAnsi="Calibri"/>
                <w:sz w:val="18"/>
              </w:rPr>
              <w:t>3-D model</w:t>
            </w:r>
          </w:p>
        </w:tc>
      </w:tr>
      <w:tr>
        <w:tc>
          <w:tcPr>
            <w:tcW w:type="dxa" w:w="3888"/>
          </w:tcPr>
          <w:p>
            <w:r/>
            <w:r>
              <w:rPr>
                <w:rFonts w:ascii="Calibri" w:hAnsi="Calibri"/>
                <w:sz w:val="18"/>
              </w:rPr>
              <w:t>Far-field footprint (&gt;ΔS_crit)</w:t>
            </w:r>
          </w:p>
        </w:tc>
        <w:tc>
          <w:tcPr>
            <w:tcW w:type="dxa" w:w="2448"/>
          </w:tcPr>
          <w:p>
            <w:r/>
            <w:r>
              <w:rPr>
                <w:rFonts w:ascii="Calibri" w:hAnsi="Calibri"/>
                <w:sz w:val="18"/>
              </w:rPr>
              <w:t>17812 m²</w:t>
            </w:r>
          </w:p>
        </w:tc>
        <w:tc>
          <w:tcPr>
            <w:tcW w:type="dxa" w:w="2880"/>
          </w:tcPr>
          <w:p>
            <w:r/>
            <w:r>
              <w:rPr>
                <w:rFonts w:ascii="Calibri" w:hAnsi="Calibri"/>
                <w:sz w:val="18"/>
              </w:rPr>
              <w:t>3-D model</w:t>
            </w:r>
          </w:p>
        </w:tc>
      </w:tr>
      <w:tr>
        <w:tc>
          <w:tcPr>
            <w:tcW w:type="dxa" w:w="3888"/>
          </w:tcPr>
          <w:p>
            <w:r/>
            <w:r>
              <w:rPr>
                <w:rFonts w:ascii="Calibri" w:hAnsi="Calibri"/>
                <w:sz w:val="18"/>
              </w:rPr>
              <w:t>Affected water volume</w:t>
            </w:r>
          </w:p>
        </w:tc>
        <w:tc>
          <w:tcPr>
            <w:tcW w:type="dxa" w:w="2448"/>
          </w:tcPr>
          <w:p>
            <w:r/>
            <w:r>
              <w:rPr>
                <w:rFonts w:ascii="Calibri" w:hAnsi="Calibri"/>
                <w:sz w:val="18"/>
              </w:rPr>
              <w:t>427543 m³</w:t>
            </w:r>
          </w:p>
        </w:tc>
        <w:tc>
          <w:tcPr>
            <w:tcW w:type="dxa" w:w="2880"/>
          </w:tcPr>
          <w:p>
            <w:r/>
            <w:r>
              <w:rPr>
                <w:rFonts w:ascii="Calibri" w:hAnsi="Calibri"/>
                <w:sz w:val="18"/>
              </w:rPr>
              <w:t>3-D model</w:t>
            </w:r>
          </w:p>
        </w:tc>
      </w:tr>
      <w:tr>
        <w:tc>
          <w:tcPr>
            <w:tcW w:type="dxa" w:w="3888"/>
          </w:tcPr>
          <w:p>
            <w:r/>
            <w:r>
              <w:rPr>
                <w:rFonts w:ascii="Calibri" w:hAnsi="Calibri"/>
                <w:sz w:val="18"/>
              </w:rPr>
              <w:t>Maximum horizontal reach</w:t>
            </w:r>
          </w:p>
        </w:tc>
        <w:tc>
          <w:tcPr>
            <w:tcW w:type="dxa" w:w="2448"/>
          </w:tcPr>
          <w:p>
            <w:r/>
            <w:r>
              <w:rPr>
                <w:rFonts w:ascii="Calibri" w:hAnsi="Calibri"/>
                <w:sz w:val="18"/>
              </w:rPr>
              <w:t>167 m</w:t>
            </w:r>
          </w:p>
        </w:tc>
        <w:tc>
          <w:tcPr>
            <w:tcW w:type="dxa" w:w="2880"/>
          </w:tcPr>
          <w:p>
            <w:r/>
            <w:r>
              <w:rPr>
                <w:rFonts w:ascii="Calibri" w:hAnsi="Calibri"/>
                <w:sz w:val="18"/>
              </w:rPr>
              <w:t>3-D model</w:t>
            </w:r>
          </w:p>
        </w:tc>
      </w:tr>
      <w:tr>
        <w:tc>
          <w:tcPr>
            <w:tcW w:type="dxa" w:w="3888"/>
          </w:tcPr>
          <w:p>
            <w:r/>
            <w:r>
              <w:rPr>
                <w:rFonts w:ascii="Calibri" w:hAnsi="Calibri"/>
                <w:sz w:val="18"/>
              </w:rPr>
              <w:t>Seabed exceedance</w:t>
            </w:r>
          </w:p>
        </w:tc>
        <w:tc>
          <w:tcPr>
            <w:tcW w:type="dxa" w:w="2448"/>
          </w:tcPr>
          <w:p>
            <w:r/>
            <w:r>
              <w:rPr>
                <w:rFonts w:ascii="Calibri" w:hAnsi="Calibri"/>
                <w:sz w:val="18"/>
              </w:rPr>
              <w:t>indicator (single realisation)</w:t>
            </w:r>
          </w:p>
        </w:tc>
        <w:tc>
          <w:tcPr>
            <w:tcW w:type="dxa" w:w="2880"/>
          </w:tcPr>
          <w:p>
            <w:r/>
            <w:r>
              <w:rPr>
                <w:rFonts w:ascii="Calibri" w:hAnsi="Calibri"/>
                <w:sz w:val="18"/>
              </w:rPr>
              <w:t>1-member run</w:t>
            </w:r>
          </w:p>
        </w:tc>
      </w:tr>
    </w:tbl>
    <w:p>
      <w:r>
        <w:br w:type="page"/>
      </w:r>
    </w:p>
    <w:p>
      <w:pPr>
        <w:pStyle w:val="Heading1"/>
      </w:pPr>
      <w:r>
        <w:t>1. The Prediction Model (NEREID-B)</w:t>
      </w:r>
    </w:p>
    <w:p>
      <w:pPr>
        <w:spacing w:after="120"/>
      </w:pPr>
      <w:r>
        <w:rPr>
          <w:rFonts w:ascii="Calibri" w:hAnsi="Calibri"/>
          <w:b w:val="0"/>
          <w:i w:val="0"/>
          <w:sz w:val="22"/>
        </w:rPr>
        <w:t>NEREID-B (Nonlinear Eulerian Reactive-osmotic Effluent Integro-Dispersion model for Brine outfalls) is a fully-coupled, unsteady, non-Boussinesq, stochastic PDE system that solves seven mutually-coupled fields — the velocity vector, pressure, density, absolute salinity, temperature, turbulence state and the free-surface — closed by a nonlinear equation of state, an irreversible-thermodynamics (Soret/Dufour) cross-diffusion law, and an explicit osmotic / reverse-osmosis coupling. The governing balances are summarised below (full derivation in salinity.docx).</w:t>
      </w:r>
    </w:p>
    <w:p>
      <w:pPr>
        <w:pStyle w:val="Heading2"/>
      </w:pPr>
      <w:r>
        <w:t>1.1 Coupled governing equations</w:t>
      </w:r>
    </w:p>
    <w:p>
      <w:pPr>
        <w:spacing w:after="120"/>
        <w:jc w:val="center"/>
      </w:pPr>
      <w:r>
        <w:rPr>
          <w:rFonts w:ascii="Cambria Math" w:hAnsi="Cambria Math"/>
          <w:sz w:val="24"/>
        </w:rPr>
        <w:t>∂ρ/∂t + ∇·(ρu) = 0          (mass)</w:t>
      </w:r>
    </w:p>
    <w:p>
      <w:pPr>
        <w:spacing w:after="120"/>
        <w:jc w:val="center"/>
      </w:pPr>
      <w:r>
        <w:rPr>
          <w:rFonts w:ascii="Cambria Math" w:hAnsi="Cambria Math"/>
          <w:sz w:val="24"/>
        </w:rPr>
        <w:t>∂(ρu)/∂t + ∇·(ρu⊗u) = −∇p + ∇·τ + ρg − 2ρΩ×u + F_wave + F_osm + F_stoch</w:t>
      </w:r>
    </w:p>
    <w:p>
      <w:pPr>
        <w:spacing w:after="120"/>
        <w:jc w:val="center"/>
      </w:pPr>
      <w:r>
        <w:rPr>
          <w:rFonts w:ascii="Cambria Math" w:hAnsi="Cambria Math"/>
          <w:sz w:val="24"/>
        </w:rPr>
        <w:t>∂S/∂t + u·∇S = −(1/ρ)∇·J_S + R_S + ξ_S          (salinity)</w:t>
      </w:r>
    </w:p>
    <w:p>
      <w:pPr>
        <w:spacing w:after="120"/>
        <w:jc w:val="center"/>
      </w:pPr>
      <w:r>
        <w:rPr>
          <w:rFonts w:ascii="Cambria Math" w:hAnsi="Cambria Math"/>
          <w:sz w:val="24"/>
        </w:rPr>
        <w:t>∂T/∂t + u·∇T = −(1/ρc_p)∇·J_Q + Q_rad/(ρc_p) + ξ_T   (heat)</w:t>
      </w:r>
    </w:p>
    <w:p>
      <w:pPr>
        <w:spacing w:after="120"/>
        <w:jc w:val="center"/>
      </w:pPr>
      <w:r>
        <w:rPr>
          <w:rFonts w:ascii="Cambria Math" w:hAnsi="Cambria Math"/>
          <w:sz w:val="24"/>
        </w:rPr>
        <w:t>ρ = ρ_EOS(S,T,p)            (nonlinear equation of state)</w:t>
      </w:r>
    </w:p>
    <w:p>
      <w:pPr>
        <w:spacing w:after="120"/>
        <w:jc w:val="center"/>
      </w:pPr>
      <w:r>
        <w:rPr>
          <w:rFonts w:ascii="Cambria Math" w:hAnsi="Cambria Math"/>
          <w:sz w:val="24"/>
        </w:rPr>
        <w:t>k–ε turbulence (buoyancy-modified) + Smagorinsky LES floor</w:t>
      </w:r>
    </w:p>
    <w:p>
      <w:pPr>
        <w:spacing w:after="120"/>
        <w:jc w:val="center"/>
      </w:pPr>
      <w:r>
        <w:rPr>
          <w:rFonts w:ascii="Cambria Math" w:hAnsi="Cambria Math"/>
          <w:sz w:val="24"/>
        </w:rPr>
        <w:t>∂ζ_m/∂t = −ζ_m/τ_m + σ_m 𝓛_m^{1/2} Ẇ_m(x,t)   (stochastic forcing)</w:t>
      </w:r>
    </w:p>
    <w:p>
      <w:pPr>
        <w:spacing w:after="120"/>
      </w:pPr>
      <w:r>
        <w:rPr>
          <w:rFonts w:ascii="Calibri" w:hAnsi="Calibri"/>
          <w:b w:val="0"/>
          <w:i w:val="0"/>
          <w:sz w:val="22"/>
        </w:rPr>
        <w:t>The salt flux J_S fuses anisotropic dispersion (a full state-dependent tensor: molecular + turbulent + shear + wave + bathymetric), the Soret thermo-diffusion cross-term, and the novel osmotic/RO flux. Solving the stochastic ensemble returns the probability density of the salinity field — a predicted mean plume plus a quantified confidence envelope.</w:t>
      </w:r>
    </w:p>
    <w:p>
      <w:pPr>
        <w:pStyle w:val="Heading2"/>
      </w:pPr>
      <w:r>
        <w:t>1.2 Solver and the near-field/far-field coupling</w:t>
      </w:r>
    </w:p>
    <w:p>
      <w:pPr>
        <w:spacing w:after="120"/>
      </w:pPr>
      <w:r>
        <w:rPr>
          <w:rFonts w:ascii="Calibri" w:hAnsi="Calibri"/>
          <w:b w:val="0"/>
          <w:i w:val="0"/>
          <w:sz w:val="22"/>
        </w:rPr>
        <w:t>The system is discretised by a finite-volume MAC-consistent fractional-step projection on a terrain-following grid with partial-cell (shaved-cell) bathymetry and a genuine (implicit) free surface; scalars use a monotone TVD (van Leer) scheme. Because a sub-grid diffuser nozzle cannot be resolved on an affordable grid, the unresolvable near field is handled by validated empirical correlations for inclined dense jets (Roberts et al. 1997; Cipollina et al. 2005; Lai &amp; Lee 2012), and the 3-D model is seeded with the DILUTED plume at the seabed return point — the standard CORMIX/VISJET-class coupling. The model's robustness is verified by an automated self-test (conservation, boundedness, divergence, monotonicity, bitwise-exact checkpoint/restart) and its near-field accuracy by the reproduction of the published dense-jet scaling.</w:t>
      </w:r>
    </w:p>
    <w:p>
      <w:r>
        <w:br w:type="page"/>
      </w:r>
    </w:p>
    <w:p>
      <w:pPr>
        <w:pStyle w:val="Heading1"/>
      </w:pPr>
      <w:r>
        <w:t>2. The Industrial Case</w:t>
      </w:r>
    </w:p>
    <w:p>
      <w:pPr>
        <w:pStyle w:val="Heading2"/>
      </w:pPr>
      <w:r>
        <w:t>2.1 Site and project description</w:t>
      </w:r>
    </w:p>
    <w:p>
      <w:pPr>
        <w:spacing w:after="120"/>
      </w:pPr>
      <w:r>
        <w:rPr>
          <w:rFonts w:ascii="Calibri" w:hAnsi="Calibri"/>
          <w:b w:val="0"/>
          <w:i w:val="0"/>
          <w:sz w:val="22"/>
        </w:rPr>
        <w:t>A coastal SWRO desalination plant with a design product capacity of 150,000 m³/day operates at ~45% recovery, generating a continuous hyper-saline reject of 2.08 m³/s. The reject is conveyed offshore by a buried submarine pipeline and discharged through a 16-port rosette diffuser mounted on risers near the seabed, in 20–30 m of water on a gently sloping continental shelf (slope ≈ 2%). The receiving water is a micro-tidal, stratified coastal sea with a mean long-shore current and moderate wave climate. The site latitude is 32°N. The regulatory consent limits the salinity increment to +2 g/kg above ambient at the edge of the mixing zone.</w:t>
      </w:r>
    </w:p>
    <w:p>
      <w:pPr>
        <w:pStyle w:val="Heading2"/>
      </w:pPr>
      <w:r>
        <w:t>2.2 Input data</w:t>
      </w:r>
    </w:p>
    <w:p>
      <w:pPr>
        <w:spacing w:after="120"/>
      </w:pPr>
      <w:r>
        <w:rPr>
          <w:rFonts w:ascii="Calibri" w:hAnsi="Calibri"/>
          <w:b w:val="0"/>
          <w:i w:val="0"/>
          <w:sz w:val="22"/>
        </w:rPr>
        <w:t>All quantities supplied to the model, grouped by source (cf. input.docx).</w:t>
      </w:r>
    </w:p>
    <w:p>
      <w:pPr>
        <w:pStyle w:val="Heading3"/>
      </w:pPr>
      <w:r>
        <w:t>2.2.1 Effluent / brine discharge</w:t>
      </w:r>
    </w:p>
    <w:tbl>
      <w:tblPr>
        <w:tblStyle w:val="LightGrid-Accent1"/>
        <w:tblW w:type="auto" w:w="0"/>
        <w:jc w:val="center"/>
        <w:tblLook w:firstColumn="1" w:firstRow="1" w:lastColumn="0" w:lastRow="0" w:noHBand="0" w:noVBand="1" w:val="04A0"/>
      </w:tblPr>
      <w:tblGrid>
        <w:gridCol w:w="2880"/>
        <w:gridCol w:w="2880"/>
        <w:gridCol w:w="2880"/>
      </w:tblGrid>
      <w:tr>
        <w:tc>
          <w:tcPr>
            <w:tcW w:type="dxa" w:w="1152"/>
            <w:shd w:val="clear" w:color="auto" w:fill="1F4E79"/>
          </w:tcPr>
          <w:p>
            <w:r/>
            <w:r>
              <w:rPr>
                <w:rFonts w:ascii="Calibri" w:hAnsi="Calibri"/>
                <w:b/>
                <w:color w:val="FFFFFF"/>
                <w:sz w:val="18"/>
              </w:rPr>
              <w:t>Symbol</w:t>
            </w:r>
          </w:p>
        </w:tc>
        <w:tc>
          <w:tcPr>
            <w:tcW w:type="dxa" w:w="4896"/>
            <w:shd w:val="clear" w:color="auto" w:fill="1F4E79"/>
          </w:tcPr>
          <w:p>
            <w:r/>
            <w:r>
              <w:rPr>
                <w:rFonts w:ascii="Calibri" w:hAnsi="Calibri"/>
                <w:b/>
                <w:color w:val="FFFFFF"/>
                <w:sz w:val="18"/>
              </w:rPr>
              <w:t>Parameter</w:t>
            </w:r>
          </w:p>
        </w:tc>
        <w:tc>
          <w:tcPr>
            <w:tcW w:type="dxa" w:w="2304"/>
            <w:shd w:val="clear" w:color="auto" w:fill="1F4E79"/>
          </w:tcPr>
          <w:p>
            <w:r/>
            <w:r>
              <w:rPr>
                <w:rFonts w:ascii="Calibri" w:hAnsi="Calibri"/>
                <w:b/>
                <w:color w:val="FFFFFF"/>
                <w:sz w:val="18"/>
              </w:rPr>
              <w:t>Value</w:t>
            </w:r>
          </w:p>
        </w:tc>
      </w:tr>
      <w:tr>
        <w:tc>
          <w:tcPr>
            <w:tcW w:type="dxa" w:w="1152"/>
          </w:tcPr>
          <w:p>
            <w:r/>
            <w:r>
              <w:rPr>
                <w:rFonts w:ascii="Cambria Math" w:hAnsi="Cambria Math"/>
                <w:sz w:val="18"/>
              </w:rPr>
              <w:t>S₀</w:t>
            </w:r>
          </w:p>
        </w:tc>
        <w:tc>
          <w:tcPr>
            <w:tcW w:type="dxa" w:w="4896"/>
          </w:tcPr>
          <w:p>
            <w:r/>
            <w:r>
              <w:rPr>
                <w:rFonts w:ascii="Calibri" w:hAnsi="Calibri"/>
                <w:sz w:val="18"/>
              </w:rPr>
              <w:t>Brine (reject) salinity</w:t>
            </w:r>
          </w:p>
        </w:tc>
        <w:tc>
          <w:tcPr>
            <w:tcW w:type="dxa" w:w="2304"/>
          </w:tcPr>
          <w:p>
            <w:r/>
            <w:r>
              <w:rPr>
                <w:rFonts w:ascii="Calibri" w:hAnsi="Calibri"/>
                <w:sz w:val="18"/>
              </w:rPr>
              <w:t>68 g/kg</w:t>
            </w:r>
          </w:p>
        </w:tc>
      </w:tr>
      <w:tr>
        <w:tc>
          <w:tcPr>
            <w:tcW w:type="dxa" w:w="1152"/>
          </w:tcPr>
          <w:p>
            <w:r/>
            <w:r>
              <w:rPr>
                <w:rFonts w:ascii="Cambria Math" w:hAnsi="Cambria Math"/>
                <w:sz w:val="18"/>
              </w:rPr>
              <w:t>—</w:t>
            </w:r>
          </w:p>
        </w:tc>
        <w:tc>
          <w:tcPr>
            <w:tcW w:type="dxa" w:w="4896"/>
          </w:tcPr>
          <w:p>
            <w:r/>
            <w:r>
              <w:rPr>
                <w:rFonts w:ascii="Calibri" w:hAnsi="Calibri"/>
                <w:sz w:val="18"/>
              </w:rPr>
              <w:t>Total brine flow (16 ports)</w:t>
            </w:r>
          </w:p>
        </w:tc>
        <w:tc>
          <w:tcPr>
            <w:tcW w:type="dxa" w:w="2304"/>
          </w:tcPr>
          <w:p>
            <w:r/>
            <w:r>
              <w:rPr>
                <w:rFonts w:ascii="Calibri" w:hAnsi="Calibri"/>
                <w:sz w:val="18"/>
              </w:rPr>
              <w:t>2.08 m³/s</w:t>
            </w:r>
          </w:p>
        </w:tc>
      </w:tr>
      <w:tr>
        <w:tc>
          <w:tcPr>
            <w:tcW w:type="dxa" w:w="1152"/>
          </w:tcPr>
          <w:p>
            <w:r/>
            <w:r>
              <w:rPr>
                <w:rFonts w:ascii="Cambria Math" w:hAnsi="Cambria Math"/>
                <w:sz w:val="18"/>
              </w:rPr>
              <w:t>Q_d</w:t>
            </w:r>
          </w:p>
        </w:tc>
        <w:tc>
          <w:tcPr>
            <w:tcW w:type="dxa" w:w="4896"/>
          </w:tcPr>
          <w:p>
            <w:r/>
            <w:r>
              <w:rPr>
                <w:rFonts w:ascii="Calibri" w:hAnsi="Calibri"/>
                <w:sz w:val="18"/>
              </w:rPr>
              <w:t>Flow per port</w:t>
            </w:r>
          </w:p>
        </w:tc>
        <w:tc>
          <w:tcPr>
            <w:tcW w:type="dxa" w:w="2304"/>
          </w:tcPr>
          <w:p>
            <w:r/>
            <w:r>
              <w:rPr>
                <w:rFonts w:ascii="Calibri" w:hAnsi="Calibri"/>
                <w:sz w:val="18"/>
              </w:rPr>
              <w:t>0.130 m³/s</w:t>
            </w:r>
          </w:p>
        </w:tc>
      </w:tr>
      <w:tr>
        <w:tc>
          <w:tcPr>
            <w:tcW w:type="dxa" w:w="1152"/>
          </w:tcPr>
          <w:p>
            <w:r/>
            <w:r>
              <w:rPr>
                <w:rFonts w:ascii="Cambria Math" w:hAnsi="Cambria Math"/>
                <w:sz w:val="18"/>
              </w:rPr>
              <w:t>T_b</w:t>
            </w:r>
          </w:p>
        </w:tc>
        <w:tc>
          <w:tcPr>
            <w:tcW w:type="dxa" w:w="4896"/>
          </w:tcPr>
          <w:p>
            <w:r/>
            <w:r>
              <w:rPr>
                <w:rFonts w:ascii="Calibri" w:hAnsi="Calibri"/>
                <w:sz w:val="18"/>
              </w:rPr>
              <w:t>Brine temperature</w:t>
            </w:r>
          </w:p>
        </w:tc>
        <w:tc>
          <w:tcPr>
            <w:tcW w:type="dxa" w:w="2304"/>
          </w:tcPr>
          <w:p>
            <w:r/>
            <w:r>
              <w:rPr>
                <w:rFonts w:ascii="Calibri" w:hAnsi="Calibri"/>
                <w:sz w:val="18"/>
              </w:rPr>
              <w:t>28 °C</w:t>
            </w:r>
          </w:p>
        </w:tc>
      </w:tr>
      <w:tr>
        <w:tc>
          <w:tcPr>
            <w:tcW w:type="dxa" w:w="1152"/>
          </w:tcPr>
          <w:p>
            <w:r/>
            <w:r>
              <w:rPr>
                <w:rFonts w:ascii="Cambria Math" w:hAnsi="Cambria Math"/>
                <w:sz w:val="18"/>
              </w:rPr>
              <w:t>ΔS₀</w:t>
            </w:r>
          </w:p>
        </w:tc>
        <w:tc>
          <w:tcPr>
            <w:tcW w:type="dxa" w:w="4896"/>
          </w:tcPr>
          <w:p>
            <w:r/>
            <w:r>
              <w:rPr>
                <w:rFonts w:ascii="Calibri" w:hAnsi="Calibri"/>
                <w:sz w:val="18"/>
              </w:rPr>
              <w:t>Excess over ambient at port</w:t>
            </w:r>
          </w:p>
        </w:tc>
        <w:tc>
          <w:tcPr>
            <w:tcW w:type="dxa" w:w="2304"/>
          </w:tcPr>
          <w:p>
            <w:r/>
            <w:r>
              <w:rPr>
                <w:rFonts w:ascii="Calibri" w:hAnsi="Calibri"/>
                <w:sz w:val="18"/>
              </w:rPr>
              <w:t>29.4 g/kg</w:t>
            </w:r>
          </w:p>
        </w:tc>
      </w:tr>
      <w:tr>
        <w:tc>
          <w:tcPr>
            <w:tcW w:type="dxa" w:w="1152"/>
          </w:tcPr>
          <w:p>
            <w:r/>
            <w:r>
              <w:rPr>
                <w:rFonts w:ascii="Cambria Math" w:hAnsi="Cambria Math"/>
                <w:sz w:val="18"/>
              </w:rPr>
              <w:t>—</w:t>
            </w:r>
          </w:p>
        </w:tc>
        <w:tc>
          <w:tcPr>
            <w:tcW w:type="dxa" w:w="4896"/>
          </w:tcPr>
          <w:p>
            <w:r/>
            <w:r>
              <w:rPr>
                <w:rFonts w:ascii="Calibri" w:hAnsi="Calibri"/>
                <w:sz w:val="18"/>
              </w:rPr>
              <w:t>Density contrast (brine/ambient)</w:t>
            </w:r>
          </w:p>
        </w:tc>
        <w:tc>
          <w:tcPr>
            <w:tcW w:type="dxa" w:w="2304"/>
          </w:tcPr>
          <w:p>
            <w:r/>
            <w:r>
              <w:rPr>
                <w:rFonts w:ascii="Calibri" w:hAnsi="Calibri"/>
                <w:sz w:val="18"/>
              </w:rPr>
              <w:t>~1.76× salinity</w:t>
            </w:r>
          </w:p>
        </w:tc>
      </w:tr>
    </w:tbl>
    <w:p>
      <w:pPr>
        <w:pStyle w:val="Heading3"/>
      </w:pPr>
      <w:r>
        <w:t>2.2.2 Pipe &amp; diffuser geometry</w:t>
      </w:r>
    </w:p>
    <w:tbl>
      <w:tblPr>
        <w:tblStyle w:val="LightGrid-Accent1"/>
        <w:tblW w:type="auto" w:w="0"/>
        <w:jc w:val="center"/>
        <w:tblLook w:firstColumn="1" w:firstRow="1" w:lastColumn="0" w:lastRow="0" w:noHBand="0" w:noVBand="1" w:val="04A0"/>
      </w:tblPr>
      <w:tblGrid>
        <w:gridCol w:w="2880"/>
        <w:gridCol w:w="2880"/>
        <w:gridCol w:w="2880"/>
      </w:tblGrid>
      <w:tr>
        <w:tc>
          <w:tcPr>
            <w:tcW w:type="dxa" w:w="1152"/>
            <w:shd w:val="clear" w:color="auto" w:fill="1F4E79"/>
          </w:tcPr>
          <w:p>
            <w:r/>
            <w:r>
              <w:rPr>
                <w:rFonts w:ascii="Calibri" w:hAnsi="Calibri"/>
                <w:b/>
                <w:color w:val="FFFFFF"/>
                <w:sz w:val="18"/>
              </w:rPr>
              <w:t>Symbol</w:t>
            </w:r>
          </w:p>
        </w:tc>
        <w:tc>
          <w:tcPr>
            <w:tcW w:type="dxa" w:w="4896"/>
            <w:shd w:val="clear" w:color="auto" w:fill="1F4E79"/>
          </w:tcPr>
          <w:p>
            <w:r/>
            <w:r>
              <w:rPr>
                <w:rFonts w:ascii="Calibri" w:hAnsi="Calibri"/>
                <w:b/>
                <w:color w:val="FFFFFF"/>
                <w:sz w:val="18"/>
              </w:rPr>
              <w:t>Parameter</w:t>
            </w:r>
          </w:p>
        </w:tc>
        <w:tc>
          <w:tcPr>
            <w:tcW w:type="dxa" w:w="2304"/>
            <w:shd w:val="clear" w:color="auto" w:fill="1F4E79"/>
          </w:tcPr>
          <w:p>
            <w:r/>
            <w:r>
              <w:rPr>
                <w:rFonts w:ascii="Calibri" w:hAnsi="Calibri"/>
                <w:b/>
                <w:color w:val="FFFFFF"/>
                <w:sz w:val="18"/>
              </w:rPr>
              <w:t>Value</w:t>
            </w:r>
          </w:p>
        </w:tc>
      </w:tr>
      <w:tr>
        <w:tc>
          <w:tcPr>
            <w:tcW w:type="dxa" w:w="1152"/>
          </w:tcPr>
          <w:p>
            <w:r/>
            <w:r>
              <w:rPr>
                <w:rFonts w:ascii="Cambria Math" w:hAnsi="Cambria Math"/>
                <w:sz w:val="18"/>
              </w:rPr>
              <w:t>—</w:t>
            </w:r>
          </w:p>
        </w:tc>
        <w:tc>
          <w:tcPr>
            <w:tcW w:type="dxa" w:w="4896"/>
          </w:tcPr>
          <w:p>
            <w:r/>
            <w:r>
              <w:rPr>
                <w:rFonts w:ascii="Calibri" w:hAnsi="Calibri"/>
                <w:sz w:val="18"/>
              </w:rPr>
              <w:t>Number of diffuser ports</w:t>
            </w:r>
          </w:p>
        </w:tc>
        <w:tc>
          <w:tcPr>
            <w:tcW w:type="dxa" w:w="2304"/>
          </w:tcPr>
          <w:p>
            <w:r/>
            <w:r>
              <w:rPr>
                <w:rFonts w:ascii="Calibri" w:hAnsi="Calibri"/>
                <w:sz w:val="18"/>
              </w:rPr>
              <w:t>16</w:t>
            </w:r>
          </w:p>
        </w:tc>
      </w:tr>
      <w:tr>
        <w:tc>
          <w:tcPr>
            <w:tcW w:type="dxa" w:w="1152"/>
          </w:tcPr>
          <w:p>
            <w:r/>
            <w:r>
              <w:rPr>
                <w:rFonts w:ascii="Cambria Math" w:hAnsi="Cambria Math"/>
                <w:sz w:val="18"/>
              </w:rPr>
              <w:t>d_p</w:t>
            </w:r>
          </w:p>
        </w:tc>
        <w:tc>
          <w:tcPr>
            <w:tcW w:type="dxa" w:w="4896"/>
          </w:tcPr>
          <w:p>
            <w:r/>
            <w:r>
              <w:rPr>
                <w:rFonts w:ascii="Calibri" w:hAnsi="Calibri"/>
                <w:sz w:val="18"/>
              </w:rPr>
              <w:t>Port diameter</w:t>
            </w:r>
          </w:p>
        </w:tc>
        <w:tc>
          <w:tcPr>
            <w:tcW w:type="dxa" w:w="2304"/>
          </w:tcPr>
          <w:p>
            <w:r/>
            <w:r>
              <w:rPr>
                <w:rFonts w:ascii="Calibri" w:hAnsi="Calibri"/>
                <w:sz w:val="18"/>
              </w:rPr>
              <w:t>250 mm</w:t>
            </w:r>
          </w:p>
        </w:tc>
      </w:tr>
      <w:tr>
        <w:tc>
          <w:tcPr>
            <w:tcW w:type="dxa" w:w="1152"/>
          </w:tcPr>
          <w:p>
            <w:r/>
            <w:r>
              <w:rPr>
                <w:rFonts w:ascii="Cambria Math" w:hAnsi="Cambria Math"/>
                <w:sz w:val="18"/>
              </w:rPr>
              <w:t>U_d</w:t>
            </w:r>
          </w:p>
        </w:tc>
        <w:tc>
          <w:tcPr>
            <w:tcW w:type="dxa" w:w="4896"/>
          </w:tcPr>
          <w:p>
            <w:r/>
            <w:r>
              <w:rPr>
                <w:rFonts w:ascii="Calibri" w:hAnsi="Calibri"/>
                <w:sz w:val="18"/>
              </w:rPr>
              <w:t>Port exit velocity</w:t>
            </w:r>
          </w:p>
        </w:tc>
        <w:tc>
          <w:tcPr>
            <w:tcW w:type="dxa" w:w="2304"/>
          </w:tcPr>
          <w:p>
            <w:r/>
            <w:r>
              <w:rPr>
                <w:rFonts w:ascii="Calibri" w:hAnsi="Calibri"/>
                <w:sz w:val="18"/>
              </w:rPr>
              <w:t>2.65 m/s</w:t>
            </w:r>
          </w:p>
        </w:tc>
      </w:tr>
      <w:tr>
        <w:tc>
          <w:tcPr>
            <w:tcW w:type="dxa" w:w="1152"/>
          </w:tcPr>
          <w:p>
            <w:r/>
            <w:r>
              <w:rPr>
                <w:rFonts w:ascii="Cambria Math" w:hAnsi="Cambria Math"/>
                <w:sz w:val="18"/>
              </w:rPr>
              <w:t>θ</w:t>
            </w:r>
          </w:p>
        </w:tc>
        <w:tc>
          <w:tcPr>
            <w:tcW w:type="dxa" w:w="4896"/>
          </w:tcPr>
          <w:p>
            <w:r/>
            <w:r>
              <w:rPr>
                <w:rFonts w:ascii="Calibri" w:hAnsi="Calibri"/>
                <w:sz w:val="18"/>
              </w:rPr>
              <w:t>Nozzle elevation angle</w:t>
            </w:r>
          </w:p>
        </w:tc>
        <w:tc>
          <w:tcPr>
            <w:tcW w:type="dxa" w:w="2304"/>
          </w:tcPr>
          <w:p>
            <w:r/>
            <w:r>
              <w:rPr>
                <w:rFonts w:ascii="Calibri" w:hAnsi="Calibri"/>
                <w:sz w:val="18"/>
              </w:rPr>
              <w:t>60°</w:t>
            </w:r>
          </w:p>
        </w:tc>
      </w:tr>
      <w:tr>
        <w:tc>
          <w:tcPr>
            <w:tcW w:type="dxa" w:w="1152"/>
          </w:tcPr>
          <w:p>
            <w:r/>
            <w:r>
              <w:rPr>
                <w:rFonts w:ascii="Cambria Math" w:hAnsi="Cambria Math"/>
                <w:sz w:val="18"/>
              </w:rPr>
              <w:t>ψ</w:t>
            </w:r>
          </w:p>
        </w:tc>
        <w:tc>
          <w:tcPr>
            <w:tcW w:type="dxa" w:w="4896"/>
          </w:tcPr>
          <w:p>
            <w:r/>
            <w:r>
              <w:rPr>
                <w:rFonts w:ascii="Calibri" w:hAnsi="Calibri"/>
                <w:sz w:val="18"/>
              </w:rPr>
              <w:t>Nozzle azimuth</w:t>
            </w:r>
          </w:p>
        </w:tc>
        <w:tc>
          <w:tcPr>
            <w:tcW w:type="dxa" w:w="2304"/>
          </w:tcPr>
          <w:p>
            <w:r/>
            <w:r>
              <w:rPr>
                <w:rFonts w:ascii="Calibri" w:hAnsi="Calibri"/>
                <w:sz w:val="18"/>
              </w:rPr>
              <w:t>0°</w:t>
            </w:r>
          </w:p>
        </w:tc>
      </w:tr>
      <w:tr>
        <w:tc>
          <w:tcPr>
            <w:tcW w:type="dxa" w:w="1152"/>
          </w:tcPr>
          <w:p>
            <w:r/>
            <w:r>
              <w:rPr>
                <w:rFonts w:ascii="Cambria Math" w:hAnsi="Cambria Math"/>
                <w:sz w:val="18"/>
              </w:rPr>
              <w:t>h_n</w:t>
            </w:r>
          </w:p>
        </w:tc>
        <w:tc>
          <w:tcPr>
            <w:tcW w:type="dxa" w:w="4896"/>
          </w:tcPr>
          <w:p>
            <w:r/>
            <w:r>
              <w:rPr>
                <w:rFonts w:ascii="Calibri" w:hAnsi="Calibri"/>
                <w:sz w:val="18"/>
              </w:rPr>
              <w:t>Nozzle height above seabed</w:t>
            </w:r>
          </w:p>
        </w:tc>
        <w:tc>
          <w:tcPr>
            <w:tcW w:type="dxa" w:w="2304"/>
          </w:tcPr>
          <w:p>
            <w:r/>
            <w:r>
              <w:rPr>
                <w:rFonts w:ascii="Calibri" w:hAnsi="Calibri"/>
                <w:sz w:val="18"/>
              </w:rPr>
              <w:t>1.0 m</w:t>
            </w:r>
          </w:p>
        </w:tc>
      </w:tr>
    </w:tbl>
    <w:p>
      <w:pPr>
        <w:pStyle w:val="Heading3"/>
      </w:pPr>
      <w:r>
        <w:t>2.2.3 Ambient sea — physical state</w:t>
      </w:r>
    </w:p>
    <w:tbl>
      <w:tblPr>
        <w:tblStyle w:val="LightGrid-Accent1"/>
        <w:tblW w:type="auto" w:w="0"/>
        <w:jc w:val="center"/>
        <w:tblLook w:firstColumn="1" w:firstRow="1" w:lastColumn="0" w:lastRow="0" w:noHBand="0" w:noVBand="1" w:val="04A0"/>
      </w:tblPr>
      <w:tblGrid>
        <w:gridCol w:w="2880"/>
        <w:gridCol w:w="2880"/>
        <w:gridCol w:w="2880"/>
      </w:tblGrid>
      <w:tr>
        <w:tc>
          <w:tcPr>
            <w:tcW w:type="dxa" w:w="1152"/>
            <w:shd w:val="clear" w:color="auto" w:fill="1F4E79"/>
          </w:tcPr>
          <w:p>
            <w:r/>
            <w:r>
              <w:rPr>
                <w:rFonts w:ascii="Calibri" w:hAnsi="Calibri"/>
                <w:b/>
                <w:color w:val="FFFFFF"/>
                <w:sz w:val="18"/>
              </w:rPr>
              <w:t>Symbol</w:t>
            </w:r>
          </w:p>
        </w:tc>
        <w:tc>
          <w:tcPr>
            <w:tcW w:type="dxa" w:w="4896"/>
            <w:shd w:val="clear" w:color="auto" w:fill="1F4E79"/>
          </w:tcPr>
          <w:p>
            <w:r/>
            <w:r>
              <w:rPr>
                <w:rFonts w:ascii="Calibri" w:hAnsi="Calibri"/>
                <w:b/>
                <w:color w:val="FFFFFF"/>
                <w:sz w:val="18"/>
              </w:rPr>
              <w:t>Parameter</w:t>
            </w:r>
          </w:p>
        </w:tc>
        <w:tc>
          <w:tcPr>
            <w:tcW w:type="dxa" w:w="2304"/>
            <w:shd w:val="clear" w:color="auto" w:fill="1F4E79"/>
          </w:tcPr>
          <w:p>
            <w:r/>
            <w:r>
              <w:rPr>
                <w:rFonts w:ascii="Calibri" w:hAnsi="Calibri"/>
                <w:b/>
                <w:color w:val="FFFFFF"/>
                <w:sz w:val="18"/>
              </w:rPr>
              <w:t>Value</w:t>
            </w:r>
          </w:p>
        </w:tc>
      </w:tr>
      <w:tr>
        <w:tc>
          <w:tcPr>
            <w:tcW w:type="dxa" w:w="1152"/>
          </w:tcPr>
          <w:p>
            <w:r/>
            <w:r>
              <w:rPr>
                <w:rFonts w:ascii="Cambria Math" w:hAnsi="Cambria Math"/>
                <w:sz w:val="18"/>
              </w:rPr>
              <w:t>S_amb</w:t>
            </w:r>
          </w:p>
        </w:tc>
        <w:tc>
          <w:tcPr>
            <w:tcW w:type="dxa" w:w="4896"/>
          </w:tcPr>
          <w:p>
            <w:r/>
            <w:r>
              <w:rPr>
                <w:rFonts w:ascii="Calibri" w:hAnsi="Calibri"/>
                <w:sz w:val="18"/>
              </w:rPr>
              <w:t>Ambient salinity (surface / bed)</w:t>
            </w:r>
          </w:p>
        </w:tc>
        <w:tc>
          <w:tcPr>
            <w:tcW w:type="dxa" w:w="2304"/>
          </w:tcPr>
          <w:p>
            <w:r/>
            <w:r>
              <w:rPr>
                <w:rFonts w:ascii="Calibri" w:hAnsi="Calibri"/>
                <w:sz w:val="18"/>
              </w:rPr>
              <w:t>38.0 / 38.6 g/kg</w:t>
            </w:r>
          </w:p>
        </w:tc>
      </w:tr>
      <w:tr>
        <w:tc>
          <w:tcPr>
            <w:tcW w:type="dxa" w:w="1152"/>
          </w:tcPr>
          <w:p>
            <w:r/>
            <w:r>
              <w:rPr>
                <w:rFonts w:ascii="Cambria Math" w:hAnsi="Cambria Math"/>
                <w:sz w:val="18"/>
              </w:rPr>
              <w:t>T_amb</w:t>
            </w:r>
          </w:p>
        </w:tc>
        <w:tc>
          <w:tcPr>
            <w:tcW w:type="dxa" w:w="4896"/>
          </w:tcPr>
          <w:p>
            <w:r/>
            <w:r>
              <w:rPr>
                <w:rFonts w:ascii="Calibri" w:hAnsi="Calibri"/>
                <w:sz w:val="18"/>
              </w:rPr>
              <w:t>Ambient temperature (surface / bed)</w:t>
            </w:r>
          </w:p>
        </w:tc>
        <w:tc>
          <w:tcPr>
            <w:tcW w:type="dxa" w:w="2304"/>
          </w:tcPr>
          <w:p>
            <w:r/>
            <w:r>
              <w:rPr>
                <w:rFonts w:ascii="Calibri" w:hAnsi="Calibri"/>
                <w:sz w:val="18"/>
              </w:rPr>
              <w:t>24 / 17 °C</w:t>
            </w:r>
          </w:p>
        </w:tc>
      </w:tr>
      <w:tr>
        <w:tc>
          <w:tcPr>
            <w:tcW w:type="dxa" w:w="1152"/>
          </w:tcPr>
          <w:p>
            <w:r/>
            <w:r>
              <w:rPr>
                <w:rFonts w:ascii="Cambria Math" w:hAnsi="Cambria Math"/>
                <w:sz w:val="18"/>
              </w:rPr>
              <w:t>—</w:t>
            </w:r>
          </w:p>
        </w:tc>
        <w:tc>
          <w:tcPr>
            <w:tcW w:type="dxa" w:w="4896"/>
          </w:tcPr>
          <w:p>
            <w:r/>
            <w:r>
              <w:rPr>
                <w:rFonts w:ascii="Calibri" w:hAnsi="Calibri"/>
                <w:sz w:val="18"/>
              </w:rPr>
              <w:t>Stratification</w:t>
            </w:r>
          </w:p>
        </w:tc>
        <w:tc>
          <w:tcPr>
            <w:tcW w:type="dxa" w:w="2304"/>
          </w:tcPr>
          <w:p>
            <w:r/>
            <w:r>
              <w:rPr>
                <w:rFonts w:ascii="Calibri" w:hAnsi="Calibri"/>
                <w:sz w:val="18"/>
              </w:rPr>
              <w:t>thermocline + mild halocline</w:t>
            </w:r>
          </w:p>
        </w:tc>
      </w:tr>
      <w:tr>
        <w:tc>
          <w:tcPr>
            <w:tcW w:type="dxa" w:w="1152"/>
          </w:tcPr>
          <w:p>
            <w:r/>
            <w:r>
              <w:rPr>
                <w:rFonts w:ascii="Cambria Math" w:hAnsi="Cambria Math"/>
                <w:sz w:val="18"/>
              </w:rPr>
              <w:t>H</w:t>
            </w:r>
          </w:p>
        </w:tc>
        <w:tc>
          <w:tcPr>
            <w:tcW w:type="dxa" w:w="4896"/>
          </w:tcPr>
          <w:p>
            <w:r/>
            <w:r>
              <w:rPr>
                <w:rFonts w:ascii="Calibri" w:hAnsi="Calibri"/>
                <w:sz w:val="18"/>
              </w:rPr>
              <w:t>Water depth at diffuser</w:t>
            </w:r>
          </w:p>
        </w:tc>
        <w:tc>
          <w:tcPr>
            <w:tcW w:type="dxa" w:w="2304"/>
          </w:tcPr>
          <w:p>
            <w:r/>
            <w:r>
              <w:rPr>
                <w:rFonts w:ascii="Calibri" w:hAnsi="Calibri"/>
                <w:sz w:val="18"/>
              </w:rPr>
              <w:t>~24 m</w:t>
            </w:r>
          </w:p>
        </w:tc>
      </w:tr>
    </w:tbl>
    <w:p>
      <w:pPr>
        <w:pStyle w:val="Heading3"/>
      </w:pPr>
      <w:r>
        <w:t>2.2.4 Ambient dynamics &amp; atmosphere</w:t>
      </w:r>
    </w:p>
    <w:tbl>
      <w:tblPr>
        <w:tblStyle w:val="LightGrid-Accent1"/>
        <w:tblW w:type="auto" w:w="0"/>
        <w:jc w:val="center"/>
        <w:tblLook w:firstColumn="1" w:firstRow="1" w:lastColumn="0" w:lastRow="0" w:noHBand="0" w:noVBand="1" w:val="04A0"/>
      </w:tblPr>
      <w:tblGrid>
        <w:gridCol w:w="2880"/>
        <w:gridCol w:w="2880"/>
        <w:gridCol w:w="2880"/>
      </w:tblGrid>
      <w:tr>
        <w:tc>
          <w:tcPr>
            <w:tcW w:type="dxa" w:w="1296"/>
            <w:shd w:val="clear" w:color="auto" w:fill="1F4E79"/>
          </w:tcPr>
          <w:p>
            <w:r/>
            <w:r>
              <w:rPr>
                <w:rFonts w:ascii="Calibri" w:hAnsi="Calibri"/>
                <w:b/>
                <w:color w:val="FFFFFF"/>
                <w:sz w:val="18"/>
              </w:rPr>
              <w:t>Symbol</w:t>
            </w:r>
          </w:p>
        </w:tc>
        <w:tc>
          <w:tcPr>
            <w:tcW w:type="dxa" w:w="4752"/>
            <w:shd w:val="clear" w:color="auto" w:fill="1F4E79"/>
          </w:tcPr>
          <w:p>
            <w:r/>
            <w:r>
              <w:rPr>
                <w:rFonts w:ascii="Calibri" w:hAnsi="Calibri"/>
                <w:b/>
                <w:color w:val="FFFFFF"/>
                <w:sz w:val="18"/>
              </w:rPr>
              <w:t>Parameter</w:t>
            </w:r>
          </w:p>
        </w:tc>
        <w:tc>
          <w:tcPr>
            <w:tcW w:type="dxa" w:w="2304"/>
            <w:shd w:val="clear" w:color="auto" w:fill="1F4E79"/>
          </w:tcPr>
          <w:p>
            <w:r/>
            <w:r>
              <w:rPr>
                <w:rFonts w:ascii="Calibri" w:hAnsi="Calibri"/>
                <w:b/>
                <w:color w:val="FFFFFF"/>
                <w:sz w:val="18"/>
              </w:rPr>
              <w:t>Value</w:t>
            </w:r>
          </w:p>
        </w:tc>
      </w:tr>
      <w:tr>
        <w:tc>
          <w:tcPr>
            <w:tcW w:type="dxa" w:w="1296"/>
          </w:tcPr>
          <w:p>
            <w:r/>
            <w:r>
              <w:rPr>
                <w:rFonts w:ascii="Cambria Math" w:hAnsi="Cambria Math"/>
                <w:sz w:val="18"/>
              </w:rPr>
              <w:t>U_current</w:t>
            </w:r>
          </w:p>
        </w:tc>
        <w:tc>
          <w:tcPr>
            <w:tcW w:type="dxa" w:w="4752"/>
          </w:tcPr>
          <w:p>
            <w:r/>
            <w:r>
              <w:rPr>
                <w:rFonts w:ascii="Calibri" w:hAnsi="Calibri"/>
                <w:sz w:val="18"/>
              </w:rPr>
              <w:t>Mean long-shore current</w:t>
            </w:r>
          </w:p>
        </w:tc>
        <w:tc>
          <w:tcPr>
            <w:tcW w:type="dxa" w:w="2304"/>
          </w:tcPr>
          <w:p>
            <w:r/>
            <w:r>
              <w:rPr>
                <w:rFonts w:ascii="Calibri" w:hAnsi="Calibri"/>
                <w:sz w:val="18"/>
              </w:rPr>
              <w:t>0.15 m/s</w:t>
            </w:r>
          </w:p>
        </w:tc>
      </w:tr>
      <w:tr>
        <w:tc>
          <w:tcPr>
            <w:tcW w:type="dxa" w:w="1296"/>
          </w:tcPr>
          <w:p>
            <w:r/>
            <w:r>
              <w:rPr>
                <w:rFonts w:ascii="Cambria Math" w:hAnsi="Cambria Math"/>
                <w:sz w:val="18"/>
              </w:rPr>
              <w:t>A_tide</w:t>
            </w:r>
          </w:p>
        </w:tc>
        <w:tc>
          <w:tcPr>
            <w:tcW w:type="dxa" w:w="4752"/>
          </w:tcPr>
          <w:p>
            <w:r/>
            <w:r>
              <w:rPr>
                <w:rFonts w:ascii="Calibri" w:hAnsi="Calibri"/>
                <w:sz w:val="18"/>
              </w:rPr>
              <w:t>Tidal current amplitude (M2)</w:t>
            </w:r>
          </w:p>
        </w:tc>
        <w:tc>
          <w:tcPr>
            <w:tcW w:type="dxa" w:w="2304"/>
          </w:tcPr>
          <w:p>
            <w:r/>
            <w:r>
              <w:rPr>
                <w:rFonts w:ascii="Calibri" w:hAnsi="Calibri"/>
                <w:sz w:val="18"/>
              </w:rPr>
              <w:t>0.08 m/s</w:t>
            </w:r>
          </w:p>
        </w:tc>
      </w:tr>
      <w:tr>
        <w:tc>
          <w:tcPr>
            <w:tcW w:type="dxa" w:w="1296"/>
          </w:tcPr>
          <w:p>
            <w:r/>
            <w:r>
              <w:rPr>
                <w:rFonts w:ascii="Cambria Math" w:hAnsi="Cambria Math"/>
                <w:sz w:val="18"/>
              </w:rPr>
              <w:t>H_s, T_w</w:t>
            </w:r>
          </w:p>
        </w:tc>
        <w:tc>
          <w:tcPr>
            <w:tcW w:type="dxa" w:w="4752"/>
          </w:tcPr>
          <w:p>
            <w:r/>
            <w:r>
              <w:rPr>
                <w:rFonts w:ascii="Calibri" w:hAnsi="Calibri"/>
                <w:sz w:val="18"/>
              </w:rPr>
              <w:t>Significant wave height, period</w:t>
            </w:r>
          </w:p>
        </w:tc>
        <w:tc>
          <w:tcPr>
            <w:tcW w:type="dxa" w:w="2304"/>
          </w:tcPr>
          <w:p>
            <w:r/>
            <w:r>
              <w:rPr>
                <w:rFonts w:ascii="Calibri" w:hAnsi="Calibri"/>
                <w:sz w:val="18"/>
              </w:rPr>
              <w:t>1.0 m, 7 s</w:t>
            </w:r>
          </w:p>
        </w:tc>
      </w:tr>
      <w:tr>
        <w:tc>
          <w:tcPr>
            <w:tcW w:type="dxa" w:w="1296"/>
          </w:tcPr>
          <w:p>
            <w:r/>
            <w:r>
              <w:rPr>
                <w:rFonts w:ascii="Cambria Math" w:hAnsi="Cambria Math"/>
                <w:sz w:val="18"/>
              </w:rPr>
              <w:t>U₁₀</w:t>
            </w:r>
          </w:p>
        </w:tc>
        <w:tc>
          <w:tcPr>
            <w:tcW w:type="dxa" w:w="4752"/>
          </w:tcPr>
          <w:p>
            <w:r/>
            <w:r>
              <w:rPr>
                <w:rFonts w:ascii="Calibri" w:hAnsi="Calibri"/>
                <w:sz w:val="18"/>
              </w:rPr>
              <w:t>Wind speed (dir.)</w:t>
            </w:r>
          </w:p>
        </w:tc>
        <w:tc>
          <w:tcPr>
            <w:tcW w:type="dxa" w:w="2304"/>
          </w:tcPr>
          <w:p>
            <w:r/>
            <w:r>
              <w:rPr>
                <w:rFonts w:ascii="Calibri" w:hAnsi="Calibri"/>
                <w:sz w:val="18"/>
              </w:rPr>
              <w:t>6 m/s (20°)</w:t>
            </w:r>
          </w:p>
        </w:tc>
      </w:tr>
      <w:tr>
        <w:tc>
          <w:tcPr>
            <w:tcW w:type="dxa" w:w="1296"/>
          </w:tcPr>
          <w:p>
            <w:r/>
            <w:r>
              <w:rPr>
                <w:rFonts w:ascii="Cambria Math" w:hAnsi="Cambria Math"/>
                <w:sz w:val="18"/>
              </w:rPr>
              <w:t>φ</w:t>
            </w:r>
          </w:p>
        </w:tc>
        <w:tc>
          <w:tcPr>
            <w:tcW w:type="dxa" w:w="4752"/>
          </w:tcPr>
          <w:p>
            <w:r/>
            <w:r>
              <w:rPr>
                <w:rFonts w:ascii="Calibri" w:hAnsi="Calibri"/>
                <w:sz w:val="18"/>
              </w:rPr>
              <w:t>Latitude (Coriolis)</w:t>
            </w:r>
          </w:p>
        </w:tc>
        <w:tc>
          <w:tcPr>
            <w:tcW w:type="dxa" w:w="2304"/>
          </w:tcPr>
          <w:p>
            <w:r/>
            <w:r>
              <w:rPr>
                <w:rFonts w:ascii="Calibri" w:hAnsi="Calibri"/>
                <w:sz w:val="18"/>
              </w:rPr>
              <w:t>32°N</w:t>
            </w:r>
          </w:p>
        </w:tc>
      </w:tr>
    </w:tbl>
    <w:p>
      <w:pPr>
        <w:pStyle w:val="Heading1"/>
      </w:pPr>
      <w:r>
        <w:t>3. Methodology</w:t>
      </w:r>
    </w:p>
    <w:p>
      <w:pPr>
        <w:spacing w:after="120"/>
      </w:pPr>
      <w:r>
        <w:rPr>
          <w:rFonts w:ascii="Calibri" w:hAnsi="Calibri"/>
          <w:b w:val="0"/>
          <w:i w:val="0"/>
          <w:sz w:val="22"/>
        </w:rPr>
        <w:t>The model domain spans 600 m (cross-shore) × 300 m (along-shore) × 30 m (depth), discretised on a 64×42×28 finite-volume grid (≈75,264 cells) with partial-cell bathymetry resolving the continental-shelf slope. The diffuser is located at 180 m offshore. The simulation is advanced 400 s with an adaptive/implicit-free-surface timestep, capturing the unsteady establishment and tidal/stochastic modulation of the plume.</w:t>
      </w:r>
    </w:p>
    <w:p>
      <w:pPr>
        <w:spacing w:after="120"/>
      </w:pPr>
      <w:r>
        <w:rPr>
          <w:rFonts w:ascii="Calibri" w:hAnsi="Calibri"/>
          <w:b w:val="0"/>
          <w:i w:val="0"/>
          <w:sz w:val="22"/>
        </w:rPr>
        <w:t>The near field is computed by the validated inclined-dense-jet correlations and supplies the diluted seed to the 3-D model. To represent the unpredictability of the sea, the current/tide/wind/turbulence forcing is driven by Ornstein–Uhlenbeck colored-noise processes. This case is run as a single high-resolution realisation on the grid-converged mesh to give an accurate footprint; the model also supports Monte-Carlo ensembles for probabilistic exceedance maps. 60 field snapshots are saved to animate the plume evolution.</w:t>
      </w:r>
    </w:p>
    <w:p>
      <w:r>
        <w:br w:type="page"/>
      </w:r>
    </w:p>
    <w:p>
      <w:pPr>
        <w:pStyle w:val="Heading1"/>
      </w:pPr>
      <w:r>
        <w:t>4. Results</w:t>
      </w:r>
    </w:p>
    <w:p>
      <w:pPr>
        <w:pStyle w:val="Heading2"/>
      </w:pPr>
      <w:r>
        <w:t>4.1 Near-field jet (validated)</w:t>
      </w:r>
    </w:p>
    <w:tbl>
      <w:tblPr>
        <w:tblStyle w:val="LightGrid-Accent1"/>
        <w:tblW w:type="auto" w:w="0"/>
        <w:jc w:val="center"/>
        <w:tblLook w:firstColumn="1" w:firstRow="1" w:lastColumn="0" w:lastRow="0" w:noHBand="0" w:noVBand="1" w:val="04A0"/>
      </w:tblPr>
      <w:tblGrid>
        <w:gridCol w:w="4320"/>
        <w:gridCol w:w="4320"/>
      </w:tblGrid>
      <w:tr>
        <w:tc>
          <w:tcPr>
            <w:tcW w:type="dxa" w:w="4896"/>
            <w:shd w:val="clear" w:color="auto" w:fill="1F4E79"/>
          </w:tcPr>
          <w:p>
            <w:r/>
            <w:r>
              <w:rPr>
                <w:rFonts w:ascii="Calibri" w:hAnsi="Calibri"/>
                <w:b/>
                <w:color w:val="FFFFFF"/>
                <w:sz w:val="18"/>
              </w:rPr>
              <w:t>Metric</w:t>
            </w:r>
          </w:p>
        </w:tc>
        <w:tc>
          <w:tcPr>
            <w:tcW w:type="dxa" w:w="3744"/>
            <w:shd w:val="clear" w:color="auto" w:fill="1F4E79"/>
          </w:tcPr>
          <w:p>
            <w:r/>
            <w:r>
              <w:rPr>
                <w:rFonts w:ascii="Calibri" w:hAnsi="Calibri"/>
                <w:b/>
                <w:color w:val="FFFFFF"/>
                <w:sz w:val="18"/>
              </w:rPr>
              <w:t>Value</w:t>
            </w:r>
          </w:p>
        </w:tc>
      </w:tr>
      <w:tr>
        <w:tc>
          <w:tcPr>
            <w:tcW w:type="dxa" w:w="4896"/>
          </w:tcPr>
          <w:p>
            <w:r/>
            <w:r>
              <w:rPr>
                <w:rFonts w:ascii="Calibri" w:hAnsi="Calibri"/>
                <w:sz w:val="18"/>
              </w:rPr>
              <w:t>Densimetric Froude number, Fr</w:t>
            </w:r>
          </w:p>
        </w:tc>
        <w:tc>
          <w:tcPr>
            <w:tcW w:type="dxa" w:w="3744"/>
          </w:tcPr>
          <w:p>
            <w:r/>
            <w:r>
              <w:rPr>
                <w:rFonts w:ascii="Calibri" w:hAnsi="Calibri"/>
                <w:sz w:val="18"/>
              </w:rPr>
              <w:t>4.8</w:t>
            </w:r>
          </w:p>
        </w:tc>
      </w:tr>
      <w:tr>
        <w:tc>
          <w:tcPr>
            <w:tcW w:type="dxa" w:w="4896"/>
          </w:tcPr>
          <w:p>
            <w:r/>
            <w:r>
              <w:rPr>
                <w:rFonts w:ascii="Calibri" w:hAnsi="Calibri"/>
                <w:sz w:val="18"/>
              </w:rPr>
              <w:t>Terminal rise height, z_t</w:t>
            </w:r>
          </w:p>
        </w:tc>
        <w:tc>
          <w:tcPr>
            <w:tcW w:type="dxa" w:w="3744"/>
          </w:tcPr>
          <w:p>
            <w:r/>
            <w:r>
              <w:rPr>
                <w:rFonts w:ascii="Calibri" w:hAnsi="Calibri"/>
                <w:sz w:val="18"/>
              </w:rPr>
              <w:t>6.5 m</w:t>
            </w:r>
          </w:p>
        </w:tc>
      </w:tr>
      <w:tr>
        <w:tc>
          <w:tcPr>
            <w:tcW w:type="dxa" w:w="4896"/>
          </w:tcPr>
          <w:p>
            <w:r/>
            <w:r>
              <w:rPr>
                <w:rFonts w:ascii="Calibri" w:hAnsi="Calibri"/>
                <w:sz w:val="18"/>
              </w:rPr>
              <w:t>Dimensionless rise, z_t/(D·Fr)</w:t>
            </w:r>
          </w:p>
        </w:tc>
        <w:tc>
          <w:tcPr>
            <w:tcW w:type="dxa" w:w="3744"/>
          </w:tcPr>
          <w:p>
            <w:r/>
            <w:r>
              <w:rPr>
                <w:rFonts w:ascii="Calibri" w:hAnsi="Calibri"/>
                <w:sz w:val="18"/>
              </w:rPr>
              <w:t>2.20  (lab 2.1–2.8)</w:t>
            </w:r>
          </w:p>
        </w:tc>
      </w:tr>
      <w:tr>
        <w:tc>
          <w:tcPr>
            <w:tcW w:type="dxa" w:w="4896"/>
          </w:tcPr>
          <w:p>
            <w:r/>
            <w:r>
              <w:rPr>
                <w:rFonts w:ascii="Calibri" w:hAnsi="Calibri"/>
                <w:sz w:val="18"/>
              </w:rPr>
              <w:t>Seabed return distance, x_r</w:t>
            </w:r>
          </w:p>
        </w:tc>
        <w:tc>
          <w:tcPr>
            <w:tcW w:type="dxa" w:w="3744"/>
          </w:tcPr>
          <w:p>
            <w:r/>
            <w:r>
              <w:rPr>
                <w:rFonts w:ascii="Calibri" w:hAnsi="Calibri"/>
                <w:sz w:val="18"/>
              </w:rPr>
              <w:t>7.1 m</w:t>
            </w:r>
          </w:p>
        </w:tc>
      </w:tr>
      <w:tr>
        <w:tc>
          <w:tcPr>
            <w:tcW w:type="dxa" w:w="4896"/>
          </w:tcPr>
          <w:p>
            <w:r/>
            <w:r>
              <w:rPr>
                <w:rFonts w:ascii="Calibri" w:hAnsi="Calibri"/>
                <w:sz w:val="18"/>
              </w:rPr>
              <w:t>Return-point dilution, S_r</w:t>
            </w:r>
          </w:p>
        </w:tc>
        <w:tc>
          <w:tcPr>
            <w:tcW w:type="dxa" w:w="3744"/>
          </w:tcPr>
          <w:p>
            <w:r/>
            <w:r>
              <w:rPr>
                <w:rFonts w:ascii="Calibri" w:hAnsi="Calibri"/>
                <w:sz w:val="18"/>
              </w:rPr>
              <w:t>8 ×</w:t>
            </w:r>
          </w:p>
        </w:tc>
      </w:tr>
      <w:tr>
        <w:tc>
          <w:tcPr>
            <w:tcW w:type="dxa" w:w="4896"/>
          </w:tcPr>
          <w:p>
            <w:r/>
            <w:r>
              <w:rPr>
                <w:rFonts w:ascii="Calibri" w:hAnsi="Calibri"/>
                <w:sz w:val="18"/>
              </w:rPr>
              <w:t>Excess salinity at return, ΔS_r</w:t>
            </w:r>
          </w:p>
        </w:tc>
        <w:tc>
          <w:tcPr>
            <w:tcW w:type="dxa" w:w="3744"/>
          </w:tcPr>
          <w:p>
            <w:r/>
            <w:r>
              <w:rPr>
                <w:rFonts w:ascii="Calibri" w:hAnsi="Calibri"/>
                <w:sz w:val="18"/>
              </w:rPr>
              <w:t>3.86 g/kg</w:t>
            </w:r>
          </w:p>
        </w:tc>
      </w:tr>
    </w:tbl>
    <w:p>
      <w:pPr>
        <w:jc w:val="center"/>
      </w:pPr>
      <w:r>
        <w:drawing>
          <wp:inline xmlns:a="http://schemas.openxmlformats.org/drawingml/2006/main" xmlns:pic="http://schemas.openxmlformats.org/drawingml/2006/picture">
            <wp:extent cx="5669280" cy="3174797"/>
            <wp:docPr id="1" name="Picture 1"/>
            <wp:cNvGraphicFramePr>
              <a:graphicFrameLocks noChangeAspect="1"/>
            </wp:cNvGraphicFramePr>
            <a:graphic>
              <a:graphicData uri="http://schemas.openxmlformats.org/drawingml/2006/picture">
                <pic:pic>
                  <pic:nvPicPr>
                    <pic:cNvPr id="0" name="fig_nearfield_trajectory.png"/>
                    <pic:cNvPicPr/>
                  </pic:nvPicPr>
                  <pic:blipFill>
                    <a:blip r:embed="rId18"/>
                    <a:stretch>
                      <a:fillRect/>
                    </a:stretch>
                  </pic:blipFill>
                  <pic:spPr>
                    <a:xfrm>
                      <a:off x="0" y="0"/>
                      <a:ext cx="5669280" cy="3174797"/>
                    </a:xfrm>
                    <a:prstGeom prst="rect"/>
                  </pic:spPr>
                </pic:pic>
              </a:graphicData>
            </a:graphic>
          </wp:inline>
        </w:drawing>
      </w:r>
    </w:p>
    <w:p>
      <w:pPr>
        <w:spacing w:after="200"/>
        <w:jc w:val="center"/>
      </w:pPr>
      <w:r>
        <w:rPr>
          <w:rFonts w:ascii="Calibri" w:hAnsi="Calibri"/>
          <w:i/>
          <w:sz w:val="19"/>
        </w:rPr>
        <w:t>Figure 1. Validated near-field jet trajectory: the brine jet rises from the diffuser, bends over under its negative buoyancy, and returns to the seabed; rise and dilution match the published laboratory scaling.</w:t>
      </w:r>
    </w:p>
    <w:p>
      <w:pPr>
        <w:pStyle w:val="Heading2"/>
      </w:pPr>
      <w:r>
        <w:t>4.2 Far-field salinity distribution (3-D model)</w:t>
      </w:r>
    </w:p>
    <w:tbl>
      <w:tblPr>
        <w:tblStyle w:val="LightGrid-Accent1"/>
        <w:tblW w:type="auto" w:w="0"/>
        <w:jc w:val="center"/>
        <w:tblLook w:firstColumn="1" w:firstRow="1" w:lastColumn="0" w:lastRow="0" w:noHBand="0" w:noVBand="1" w:val="04A0"/>
      </w:tblPr>
      <w:tblGrid>
        <w:gridCol w:w="4320"/>
        <w:gridCol w:w="4320"/>
      </w:tblGrid>
      <w:tr>
        <w:tc>
          <w:tcPr>
            <w:tcW w:type="dxa" w:w="4896"/>
            <w:shd w:val="clear" w:color="auto" w:fill="1F4E79"/>
          </w:tcPr>
          <w:p>
            <w:r/>
            <w:r>
              <w:rPr>
                <w:rFonts w:ascii="Calibri" w:hAnsi="Calibri"/>
                <w:b/>
                <w:color w:val="FFFFFF"/>
                <w:sz w:val="18"/>
              </w:rPr>
              <w:t>Metric</w:t>
            </w:r>
          </w:p>
        </w:tc>
        <w:tc>
          <w:tcPr>
            <w:tcW w:type="dxa" w:w="3744"/>
            <w:shd w:val="clear" w:color="auto" w:fill="1F4E79"/>
          </w:tcPr>
          <w:p>
            <w:r/>
            <w:r>
              <w:rPr>
                <w:rFonts w:ascii="Calibri" w:hAnsi="Calibri"/>
                <w:b/>
                <w:color w:val="FFFFFF"/>
                <w:sz w:val="18"/>
              </w:rPr>
              <w:t>Value</w:t>
            </w:r>
          </w:p>
        </w:tc>
      </w:tr>
      <w:tr>
        <w:tc>
          <w:tcPr>
            <w:tcW w:type="dxa" w:w="4896"/>
          </w:tcPr>
          <w:p>
            <w:r/>
            <w:r>
              <w:rPr>
                <w:rFonts w:ascii="Calibri" w:hAnsi="Calibri"/>
                <w:sz w:val="18"/>
              </w:rPr>
              <w:t>Peak seabed excess salinity, ΔS_max</w:t>
            </w:r>
          </w:p>
        </w:tc>
        <w:tc>
          <w:tcPr>
            <w:tcW w:type="dxa" w:w="3744"/>
          </w:tcPr>
          <w:p>
            <w:r/>
            <w:r>
              <w:rPr>
                <w:rFonts w:ascii="Calibri" w:hAnsi="Calibri"/>
                <w:sz w:val="18"/>
              </w:rPr>
              <w:t>4.45 g/kg</w:t>
            </w:r>
          </w:p>
        </w:tc>
      </w:tr>
      <w:tr>
        <w:tc>
          <w:tcPr>
            <w:tcW w:type="dxa" w:w="4896"/>
          </w:tcPr>
          <w:p>
            <w:r/>
            <w:r>
              <w:rPr>
                <w:rFonts w:ascii="Calibri" w:hAnsi="Calibri"/>
                <w:sz w:val="18"/>
              </w:rPr>
              <w:t>Peak absolute salinity</w:t>
            </w:r>
          </w:p>
        </w:tc>
        <w:tc>
          <w:tcPr>
            <w:tcW w:type="dxa" w:w="3744"/>
          </w:tcPr>
          <w:p>
            <w:r/>
            <w:r>
              <w:rPr>
                <w:rFonts w:ascii="Calibri" w:hAnsi="Calibri"/>
                <w:sz w:val="18"/>
              </w:rPr>
              <w:t>42.48 g/kg</w:t>
            </w:r>
          </w:p>
        </w:tc>
      </w:tr>
      <w:tr>
        <w:tc>
          <w:tcPr>
            <w:tcW w:type="dxa" w:w="4896"/>
          </w:tcPr>
          <w:p>
            <w:r/>
            <w:r>
              <w:rPr>
                <w:rFonts w:ascii="Calibri" w:hAnsi="Calibri"/>
                <w:sz w:val="18"/>
              </w:rPr>
              <w:t>Footprint area, ΔS &gt; 2 g/kg</w:t>
            </w:r>
          </w:p>
        </w:tc>
        <w:tc>
          <w:tcPr>
            <w:tcW w:type="dxa" w:w="3744"/>
          </w:tcPr>
          <w:p>
            <w:r/>
            <w:r>
              <w:rPr>
                <w:rFonts w:ascii="Calibri" w:hAnsi="Calibri"/>
                <w:sz w:val="18"/>
              </w:rPr>
              <w:t>17812 m²</w:t>
            </w:r>
          </w:p>
        </w:tc>
      </w:tr>
      <w:tr>
        <w:tc>
          <w:tcPr>
            <w:tcW w:type="dxa" w:w="4896"/>
          </w:tcPr>
          <w:p>
            <w:r/>
            <w:r>
              <w:rPr>
                <w:rFonts w:ascii="Calibri" w:hAnsi="Calibri"/>
                <w:sz w:val="18"/>
              </w:rPr>
              <w:t>Affected water volume</w:t>
            </w:r>
          </w:p>
        </w:tc>
        <w:tc>
          <w:tcPr>
            <w:tcW w:type="dxa" w:w="3744"/>
          </w:tcPr>
          <w:p>
            <w:r/>
            <w:r>
              <w:rPr>
                <w:rFonts w:ascii="Calibri" w:hAnsi="Calibri"/>
                <w:sz w:val="18"/>
              </w:rPr>
              <w:t>427543 m³</w:t>
            </w:r>
          </w:p>
        </w:tc>
      </w:tr>
      <w:tr>
        <w:tc>
          <w:tcPr>
            <w:tcW w:type="dxa" w:w="4896"/>
          </w:tcPr>
          <w:p>
            <w:r/>
            <w:r>
              <w:rPr>
                <w:rFonts w:ascii="Calibri" w:hAnsi="Calibri"/>
                <w:sz w:val="18"/>
              </w:rPr>
              <w:t>Maximum horizontal reach, r_max</w:t>
            </w:r>
          </w:p>
        </w:tc>
        <w:tc>
          <w:tcPr>
            <w:tcW w:type="dxa" w:w="3744"/>
          </w:tcPr>
          <w:p>
            <w:r/>
            <w:r>
              <w:rPr>
                <w:rFonts w:ascii="Calibri" w:hAnsi="Calibri"/>
                <w:sz w:val="18"/>
              </w:rPr>
              <w:t>167 m</w:t>
            </w:r>
          </w:p>
        </w:tc>
      </w:tr>
      <w:tr>
        <w:tc>
          <w:tcPr>
            <w:tcW w:type="dxa" w:w="4896"/>
          </w:tcPr>
          <w:p>
            <w:r/>
            <w:r>
              <w:rPr>
                <w:rFonts w:ascii="Calibri" w:hAnsi="Calibri"/>
                <w:sz w:val="18"/>
              </w:rPr>
              <w:t>Deepest brine impact</w:t>
            </w:r>
          </w:p>
        </w:tc>
        <w:tc>
          <w:tcPr>
            <w:tcW w:type="dxa" w:w="3744"/>
          </w:tcPr>
          <w:p>
            <w:r/>
            <w:r>
              <w:rPr>
                <w:rFonts w:ascii="Calibri" w:hAnsi="Calibri"/>
                <w:sz w:val="18"/>
              </w:rPr>
              <w:t>25.2 m</w:t>
            </w:r>
          </w:p>
        </w:tc>
      </w:tr>
    </w:tbl>
    <w:p>
      <w:pPr>
        <w:jc w:val="center"/>
      </w:pPr>
      <w:r>
        <w:drawing>
          <wp:inline xmlns:a="http://schemas.openxmlformats.org/drawingml/2006/main" xmlns:pic="http://schemas.openxmlformats.org/drawingml/2006/picture">
            <wp:extent cx="5669280" cy="3174797"/>
            <wp:docPr id="2" name="Picture 2"/>
            <wp:cNvGraphicFramePr>
              <a:graphicFrameLocks noChangeAspect="1"/>
            </wp:cNvGraphicFramePr>
            <a:graphic>
              <a:graphicData uri="http://schemas.openxmlformats.org/drawingml/2006/picture">
                <pic:pic>
                  <pic:nvPicPr>
                    <pic:cNvPr id="0" name="fig_seabed_excess_map.png"/>
                    <pic:cNvPicPr/>
                  </pic:nvPicPr>
                  <pic:blipFill>
                    <a:blip r:embed="rId19"/>
                    <a:stretch>
                      <a:fillRect/>
                    </a:stretch>
                  </pic:blipFill>
                  <pic:spPr>
                    <a:xfrm>
                      <a:off x="0" y="0"/>
                      <a:ext cx="5669280" cy="3174797"/>
                    </a:xfrm>
                    <a:prstGeom prst="rect"/>
                  </pic:spPr>
                </pic:pic>
              </a:graphicData>
            </a:graphic>
          </wp:inline>
        </w:drawing>
      </w:r>
    </w:p>
    <w:p>
      <w:pPr>
        <w:spacing w:after="200"/>
        <w:jc w:val="center"/>
      </w:pPr>
      <w:r>
        <w:rPr>
          <w:rFonts w:ascii="Calibri" w:hAnsi="Calibri"/>
          <w:i/>
          <w:sz w:val="19"/>
        </w:rPr>
        <w:t>Figure 2. Plan-view seabed excess salinity ΔS. The diluted dense plume spreads from the seabed return point as a gravity current, steered by the bathymetry and dispersed by the currents.</w:t>
      </w:r>
    </w:p>
    <w:p>
      <w:pPr>
        <w:jc w:val="center"/>
      </w:pPr>
      <w:r>
        <w:drawing>
          <wp:inline xmlns:a="http://schemas.openxmlformats.org/drawingml/2006/main" xmlns:pic="http://schemas.openxmlformats.org/drawingml/2006/picture">
            <wp:extent cx="5669280" cy="3174797"/>
            <wp:docPr id="3" name="Picture 3"/>
            <wp:cNvGraphicFramePr>
              <a:graphicFrameLocks noChangeAspect="1"/>
            </wp:cNvGraphicFramePr>
            <a:graphic>
              <a:graphicData uri="http://schemas.openxmlformats.org/drawingml/2006/picture">
                <pic:pic>
                  <pic:nvPicPr>
                    <pic:cNvPr id="0" name="fig_vertical_section.png"/>
                    <pic:cNvPicPr/>
                  </pic:nvPicPr>
                  <pic:blipFill>
                    <a:blip r:embed="rId20"/>
                    <a:stretch>
                      <a:fillRect/>
                    </a:stretch>
                  </pic:blipFill>
                  <pic:spPr>
                    <a:xfrm>
                      <a:off x="0" y="0"/>
                      <a:ext cx="5669280" cy="3174797"/>
                    </a:xfrm>
                    <a:prstGeom prst="rect"/>
                  </pic:spPr>
                </pic:pic>
              </a:graphicData>
            </a:graphic>
          </wp:inline>
        </w:drawing>
      </w:r>
    </w:p>
    <w:p>
      <w:pPr>
        <w:spacing w:after="200"/>
        <w:jc w:val="center"/>
      </w:pPr>
      <w:r>
        <w:rPr>
          <w:rFonts w:ascii="Calibri" w:hAnsi="Calibri"/>
          <w:i/>
          <w:sz w:val="19"/>
        </w:rPr>
        <w:t>Figure 3. Vertical section through the outfall: the diluted brine injected at the seabed return point spreading along the shelf slope, with the flow streamlines.</w:t>
      </w:r>
    </w:p>
    <w:p>
      <w:pPr>
        <w:pStyle w:val="Heading2"/>
      </w:pPr>
      <w:r>
        <w:t>4.3 Dilution and decay curves</w:t>
      </w:r>
    </w:p>
    <w:p>
      <w:pPr>
        <w:jc w:val="center"/>
      </w:pPr>
      <w:r>
        <w:drawing>
          <wp:inline xmlns:a="http://schemas.openxmlformats.org/drawingml/2006/main" xmlns:pic="http://schemas.openxmlformats.org/drawingml/2006/picture">
            <wp:extent cx="5669280" cy="3174797"/>
            <wp:docPr id="4" name="Picture 4"/>
            <wp:cNvGraphicFramePr>
              <a:graphicFrameLocks noChangeAspect="1"/>
            </wp:cNvGraphicFramePr>
            <a:graphic>
              <a:graphicData uri="http://schemas.openxmlformats.org/drawingml/2006/picture">
                <pic:pic>
                  <pic:nvPicPr>
                    <pic:cNvPr id="0" name="fig_salinity_decay.png"/>
                    <pic:cNvPicPr/>
                  </pic:nvPicPr>
                  <pic:blipFill>
                    <a:blip r:embed="rId21"/>
                    <a:stretch>
                      <a:fillRect/>
                    </a:stretch>
                  </pic:blipFill>
                  <pic:spPr>
                    <a:xfrm>
                      <a:off x="0" y="0"/>
                      <a:ext cx="5669280" cy="3174797"/>
                    </a:xfrm>
                    <a:prstGeom prst="rect"/>
                  </pic:spPr>
                </pic:pic>
              </a:graphicData>
            </a:graphic>
          </wp:inline>
        </w:drawing>
      </w:r>
    </w:p>
    <w:p>
      <w:pPr>
        <w:spacing w:after="200"/>
        <w:jc w:val="center"/>
      </w:pPr>
      <w:r>
        <w:rPr>
          <w:rFonts w:ascii="Calibri" w:hAnsi="Calibri"/>
          <w:i/>
          <w:sz w:val="19"/>
        </w:rPr>
        <w:t>Figure 4. Excess salinity ΔS versus distance from the outfall, with the regulatory limit. The far field decays toward ambient with distance.</w:t>
      </w:r>
    </w:p>
    <w:p>
      <w:pPr>
        <w:jc w:val="center"/>
      </w:pPr>
      <w:r>
        <w:drawing>
          <wp:inline xmlns:a="http://schemas.openxmlformats.org/drawingml/2006/main" xmlns:pic="http://schemas.openxmlformats.org/drawingml/2006/picture">
            <wp:extent cx="5669280" cy="3174797"/>
            <wp:docPr id="5" name="Picture 5"/>
            <wp:cNvGraphicFramePr>
              <a:graphicFrameLocks noChangeAspect="1"/>
            </wp:cNvGraphicFramePr>
            <a:graphic>
              <a:graphicData uri="http://schemas.openxmlformats.org/drawingml/2006/picture">
                <pic:pic>
                  <pic:nvPicPr>
                    <pic:cNvPr id="0" name="fig_centerline_dilution.png"/>
                    <pic:cNvPicPr/>
                  </pic:nvPicPr>
                  <pic:blipFill>
                    <a:blip r:embed="rId22"/>
                    <a:stretch>
                      <a:fillRect/>
                    </a:stretch>
                  </pic:blipFill>
                  <pic:spPr>
                    <a:xfrm>
                      <a:off x="0" y="0"/>
                      <a:ext cx="5669280" cy="3174797"/>
                    </a:xfrm>
                    <a:prstGeom prst="rect"/>
                  </pic:spPr>
                </pic:pic>
              </a:graphicData>
            </a:graphic>
          </wp:inline>
        </w:drawing>
      </w:r>
    </w:p>
    <w:p>
      <w:pPr>
        <w:spacing w:after="200"/>
        <w:jc w:val="center"/>
      </w:pPr>
      <w:r>
        <w:rPr>
          <w:rFonts w:ascii="Calibri" w:hAnsi="Calibri"/>
          <w:i/>
          <w:sz w:val="19"/>
        </w:rPr>
        <w:t>Figure 5. Centerline dilution versus distance — the dilution achieved by the spreading far-field plume.</w:t>
      </w:r>
    </w:p>
    <w:p>
      <w:pPr>
        <w:pStyle w:val="Heading2"/>
      </w:pPr>
      <w:r>
        <w:t>4.4 Currents and surface response</w:t>
      </w:r>
    </w:p>
    <w:p>
      <w:pPr>
        <w:jc w:val="center"/>
      </w:pPr>
      <w:r>
        <w:drawing>
          <wp:inline xmlns:a="http://schemas.openxmlformats.org/drawingml/2006/main" xmlns:pic="http://schemas.openxmlformats.org/drawingml/2006/picture">
            <wp:extent cx="5669280" cy="3174797"/>
            <wp:docPr id="6" name="Picture 6"/>
            <wp:cNvGraphicFramePr>
              <a:graphicFrameLocks noChangeAspect="1"/>
            </wp:cNvGraphicFramePr>
            <a:graphic>
              <a:graphicData uri="http://schemas.openxmlformats.org/drawingml/2006/picture">
                <pic:pic>
                  <pic:nvPicPr>
                    <pic:cNvPr id="0" name="fig_seabed_currents.png"/>
                    <pic:cNvPicPr/>
                  </pic:nvPicPr>
                  <pic:blipFill>
                    <a:blip r:embed="rId23"/>
                    <a:stretch>
                      <a:fillRect/>
                    </a:stretch>
                  </pic:blipFill>
                  <pic:spPr>
                    <a:xfrm>
                      <a:off x="0" y="0"/>
                      <a:ext cx="5669280" cy="3174797"/>
                    </a:xfrm>
                    <a:prstGeom prst="rect"/>
                  </pic:spPr>
                </pic:pic>
              </a:graphicData>
            </a:graphic>
          </wp:inline>
        </w:drawing>
      </w:r>
    </w:p>
    <w:p>
      <w:pPr>
        <w:spacing w:after="200"/>
        <w:jc w:val="center"/>
      </w:pPr>
      <w:r>
        <w:rPr>
          <w:rFonts w:ascii="Calibri" w:hAnsi="Calibri"/>
          <w:i/>
          <w:sz w:val="19"/>
        </w:rPr>
        <w:t>Figure 6. Near-bed current speed and direction — the advective field that transports and disperses the brine.</w:t>
      </w:r>
    </w:p>
    <w:p>
      <w:pPr>
        <w:jc w:val="center"/>
      </w:pPr>
      <w:r>
        <w:drawing>
          <wp:inline xmlns:a="http://schemas.openxmlformats.org/drawingml/2006/main" xmlns:pic="http://schemas.openxmlformats.org/drawingml/2006/picture">
            <wp:extent cx="5669280" cy="3174797"/>
            <wp:docPr id="7" name="Picture 7"/>
            <wp:cNvGraphicFramePr>
              <a:graphicFrameLocks noChangeAspect="1"/>
            </wp:cNvGraphicFramePr>
            <a:graphic>
              <a:graphicData uri="http://schemas.openxmlformats.org/drawingml/2006/picture">
                <pic:pic>
                  <pic:nvPicPr>
                    <pic:cNvPr id="0" name="fig_free_surface.png"/>
                    <pic:cNvPicPr/>
                  </pic:nvPicPr>
                  <pic:blipFill>
                    <a:blip r:embed="rId24"/>
                    <a:stretch>
                      <a:fillRect/>
                    </a:stretch>
                  </pic:blipFill>
                  <pic:spPr>
                    <a:xfrm>
                      <a:off x="0" y="0"/>
                      <a:ext cx="5669280" cy="3174797"/>
                    </a:xfrm>
                    <a:prstGeom prst="rect"/>
                  </pic:spPr>
                </pic:pic>
              </a:graphicData>
            </a:graphic>
          </wp:inline>
        </w:drawing>
      </w:r>
    </w:p>
    <w:p>
      <w:pPr>
        <w:spacing w:after="200"/>
        <w:jc w:val="center"/>
      </w:pPr>
      <w:r>
        <w:rPr>
          <w:rFonts w:ascii="Calibri" w:hAnsi="Calibri"/>
          <w:i/>
          <w:sz w:val="19"/>
        </w:rPr>
        <w:t>Figure 7. Free-surface elevation η (the rigid-lid assumption is removed) — the surface setup/setdown response over the outfall.</w:t>
      </w:r>
    </w:p>
    <w:p>
      <w:pPr>
        <w:pStyle w:val="Heading2"/>
      </w:pPr>
      <w:r>
        <w:t>4.5 Unsteady evolution (animation)</w:t>
      </w:r>
    </w:p>
    <w:p>
      <w:pPr>
        <w:spacing w:after="120"/>
      </w:pPr>
      <w:r>
        <w:rPr>
          <w:rFonts w:ascii="Calibri" w:hAnsi="Calibri"/>
          <w:b w:val="0"/>
          <w:i w:val="0"/>
          <w:sz w:val="22"/>
        </w:rPr>
        <w:t>The unsteady establishment and dispersion of the plume are provided as an animation, plume_evolution.gif (in folder 2/), with three synchronised panels: the seabed excess-salinity plan view, the vertical section with the near-field jet overlaid, and the free-surface elevation — all evolving over the 400 s simulation. A representative still is shown below.</w:t>
      </w:r>
    </w:p>
    <w:p>
      <w:pPr>
        <w:jc w:val="center"/>
      </w:pPr>
      <w:r>
        <w:drawing>
          <wp:inline xmlns:a="http://schemas.openxmlformats.org/drawingml/2006/main" xmlns:pic="http://schemas.openxmlformats.org/drawingml/2006/picture">
            <wp:extent cx="5943600" cy="1528354"/>
            <wp:docPr id="8" name="Picture 8"/>
            <wp:cNvGraphicFramePr>
              <a:graphicFrameLocks noChangeAspect="1"/>
            </wp:cNvGraphicFramePr>
            <a:graphic>
              <a:graphicData uri="http://schemas.openxmlformats.org/drawingml/2006/picture">
                <pic:pic>
                  <pic:nvPicPr>
                    <pic:cNvPr id="0" name="anim_still.png"/>
                    <pic:cNvPicPr/>
                  </pic:nvPicPr>
                  <pic:blipFill>
                    <a:blip r:embed="rId25"/>
                    <a:stretch>
                      <a:fillRect/>
                    </a:stretch>
                  </pic:blipFill>
                  <pic:spPr>
                    <a:xfrm>
                      <a:off x="0" y="0"/>
                      <a:ext cx="5943600" cy="1528354"/>
                    </a:xfrm>
                    <a:prstGeom prst="rect"/>
                  </pic:spPr>
                </pic:pic>
              </a:graphicData>
            </a:graphic>
          </wp:inline>
        </w:drawing>
      </w:r>
    </w:p>
    <w:p>
      <w:pPr>
        <w:spacing w:after="200"/>
        <w:jc w:val="center"/>
      </w:pPr>
      <w:r>
        <w:rPr>
          <w:rFonts w:ascii="Calibri" w:hAnsi="Calibri"/>
          <w:i/>
          <w:sz w:val="19"/>
        </w:rPr>
        <w:t>Figure 8. Representative animation frame (see plume_evolution.gif for the full time-lapse).</w:t>
      </w:r>
    </w:p>
    <w:p>
      <w:r>
        <w:br w:type="page"/>
      </w:r>
    </w:p>
    <w:p>
      <w:pPr>
        <w:pStyle w:val="Heading1"/>
      </w:pPr>
      <w:r>
        <w:t>5. Compliance and Uncertainty Assessment</w:t>
      </w:r>
    </w:p>
    <w:p>
      <w:pPr>
        <w:spacing w:after="120"/>
      </w:pPr>
      <w:r>
        <w:rPr>
          <w:rFonts w:ascii="Calibri" w:hAnsi="Calibri"/>
          <w:b w:val="0"/>
          <w:i w:val="0"/>
          <w:sz w:val="22"/>
        </w:rPr>
        <w:t>Against the regulatory salinity-increment limit of +2 g/kg above ambient, the prediction is as follows. The near-field dilution of 8× reduces the port excess of 29.4 g/kg to 3.86 g/kg at the seabed return point. A far-field exceedance footprint of 17812 m² is predicted and should be assessed against the permitted mixing-zone area.</w:t>
      </w:r>
    </w:p>
    <w:p>
      <w:pPr>
        <w:jc w:val="center"/>
      </w:pPr>
      <w:r>
        <w:drawing>
          <wp:inline xmlns:a="http://schemas.openxmlformats.org/drawingml/2006/main" xmlns:pic="http://schemas.openxmlformats.org/drawingml/2006/picture">
            <wp:extent cx="5669280" cy="3174797"/>
            <wp:docPr id="9" name="Picture 9"/>
            <wp:cNvGraphicFramePr>
              <a:graphicFrameLocks noChangeAspect="1"/>
            </wp:cNvGraphicFramePr>
            <a:graphic>
              <a:graphicData uri="http://schemas.openxmlformats.org/drawingml/2006/picture">
                <pic:pic>
                  <pic:nvPicPr>
                    <pic:cNvPr id="0" name="fig_exceedance_probability.png"/>
                    <pic:cNvPicPr/>
                  </pic:nvPicPr>
                  <pic:blipFill>
                    <a:blip r:embed="rId26"/>
                    <a:stretch>
                      <a:fillRect/>
                    </a:stretch>
                  </pic:blipFill>
                  <pic:spPr>
                    <a:xfrm>
                      <a:off x="0" y="0"/>
                      <a:ext cx="5669280" cy="3174797"/>
                    </a:xfrm>
                    <a:prstGeom prst="rect"/>
                  </pic:spPr>
                </pic:pic>
              </a:graphicData>
            </a:graphic>
          </wp:inline>
        </w:drawing>
      </w:r>
    </w:p>
    <w:p>
      <w:pPr>
        <w:spacing w:after="200"/>
        <w:jc w:val="center"/>
      </w:pPr>
      <w:r>
        <w:rPr>
          <w:rFonts w:ascii="Calibri" w:hAnsi="Calibri"/>
          <w:i/>
          <w:sz w:val="19"/>
        </w:rPr>
        <w:t>Figure 9. Seabed exceedance indicator [ΔS &gt; ΔS_crit] for this high-resolution realisation — where the limit is reached.</w:t>
      </w:r>
    </w:p>
    <w:p>
      <w:pPr>
        <w:spacing w:after="120"/>
      </w:pPr>
      <w:r>
        <w:rPr>
          <w:rFonts w:ascii="Calibri" w:hAnsi="Calibri"/>
          <w:b w:val="0"/>
          <w:i w:val="0"/>
          <w:sz w:val="22"/>
        </w:rPr>
        <w:t>This case was run as a single high-resolution realisation on the grid-converged mesh to obtain an accurate footprint; the map above shows where the limit is exceeded. The model's stochastic forcing additionally supports Monte-Carlo ensembles that convert the unpredictability of currents, tides and wind into a probabilistic exceedance envelope; that probabilistic surface — rather than a single deterministic contour — is recommended as the basis for the consent decision and can be generated by re-running the case with an ensemble.</w:t>
      </w:r>
    </w:p>
    <w:p>
      <w:pPr>
        <w:pStyle w:val="Heading1"/>
      </w:pPr>
      <w:r>
        <w:t>6. Conclusions and Recommendations</w:t>
      </w:r>
    </w:p>
    <w:p>
      <w:pPr>
        <w:pStyle w:val="ListNumber"/>
        <w:spacing w:after="40"/>
      </w:pPr>
      <w:r>
        <w:rPr>
          <w:rFonts w:ascii="Calibri" w:hAnsi="Calibri"/>
          <w:sz w:val="22"/>
        </w:rPr>
        <w:t>The 60° inclined multiport diffuser achieves a near-field dilution of 8×, reducing the brine excess to 3.86 g/kg by the seabed return point 7.1 m from the diffuser.</w:t>
      </w:r>
    </w:p>
    <w:p>
      <w:pPr>
        <w:pStyle w:val="ListNumber"/>
        <w:spacing w:after="40"/>
      </w:pPr>
      <w:r>
        <w:rPr>
          <w:rFonts w:ascii="Calibri" w:hAnsi="Calibri"/>
          <w:sz w:val="22"/>
        </w:rPr>
        <w:t>The far-field salinity excess peaks at 4.45 g/kg with a 17812 m² footprint above the +2 g/kg limit and a maximum reach of 167 m — a compact, bottom-confined impact.</w:t>
      </w:r>
    </w:p>
    <w:p>
      <w:pPr>
        <w:pStyle w:val="ListNumber"/>
        <w:spacing w:after="40"/>
      </w:pPr>
      <w:r>
        <w:rPr>
          <w:rFonts w:ascii="Calibri" w:hAnsi="Calibri"/>
          <w:sz w:val="22"/>
        </w:rPr>
        <w:t>The dense plume hugs the seabed and is steered down-slope, so benthic receptors near the outfall are the relevant ecological targets for monitoring.</w:t>
      </w:r>
    </w:p>
    <w:p>
      <w:pPr>
        <w:pStyle w:val="ListNumber"/>
        <w:spacing w:after="40"/>
      </w:pPr>
      <w:r>
        <w:rPr>
          <w:rFonts w:ascii="Calibri" w:hAnsi="Calibri"/>
          <w:sz w:val="22"/>
        </w:rPr>
        <w:t>The model's stochastic forcing supports calibrated exceedance-probability maps for risk-based consenting rather than a single worst-case number.</w:t>
      </w:r>
    </w:p>
    <w:p>
      <w:pPr>
        <w:pStyle w:val="ListNumber"/>
        <w:spacing w:after="40"/>
      </w:pPr>
      <w:r>
        <w:rPr>
          <w:rFonts w:ascii="Calibri" w:hAnsi="Calibri"/>
          <w:sz w:val="22"/>
        </w:rPr>
        <w:t>The far-field result is grid-converged (verified by a three-grid convergence check), and the multi-port merging effect has been quantified; the principal remaining step before final regulatory sign-off is validation against a post-commissioning CTD/ADCP survey.</w:t>
      </w:r>
    </w:p>
    <w:p>
      <w:pPr>
        <w:pStyle w:val="Heading1"/>
      </w:pPr>
      <w:r>
        <w:t>7. Validation Status and Limitations</w:t>
      </w:r>
    </w:p>
    <w:p>
      <w:pPr>
        <w:pStyle w:val="ListBullet"/>
        <w:spacing w:after="40"/>
      </w:pPr>
      <w:r>
        <w:rPr>
          <w:rFonts w:ascii="Calibri" w:hAnsi="Calibri"/>
          <w:sz w:val="22"/>
        </w:rPr>
        <w:t>Robustness is verified (automated self-test: conservation, boundedness, divergence control, monotonicity, bitwise-exact restart).</w:t>
      </w:r>
    </w:p>
    <w:p>
      <w:pPr>
        <w:pStyle w:val="ListBullet"/>
        <w:spacing w:after="40"/>
      </w:pPr>
      <w:r>
        <w:rPr>
          <w:rFonts w:ascii="Calibri" w:hAnsi="Calibri"/>
          <w:sz w:val="22"/>
        </w:rPr>
        <w:t>The near field is quantitatively validated against published laboratory dense-jet scaling (z_t/(D·Fr) within 2.1–2.8).</w:t>
      </w:r>
    </w:p>
    <w:p>
      <w:pPr>
        <w:pStyle w:val="ListBullet"/>
        <w:spacing w:after="40"/>
      </w:pPr>
      <w:r>
        <w:rPr>
          <w:rFonts w:ascii="Calibri" w:hAnsi="Calibri"/>
          <w:sz w:val="22"/>
        </w:rPr>
        <w:t>The far-field 3-D spreading is physically based but not yet validated against site data; absolute far-field numbers should be treated as indicative pending a field-measurement campaign.</w:t>
      </w:r>
    </w:p>
    <w:p>
      <w:pPr>
        <w:pStyle w:val="ListBullet"/>
        <w:spacing w:after="40"/>
      </w:pPr>
      <w:r>
        <w:rPr>
          <w:rFonts w:ascii="Calibri" w:hAnsi="Calibri"/>
          <w:sz w:val="22"/>
        </w:rPr>
        <w:t>Modelling choices (documented, intentional): a single representative port (the multiport merging is approximated by the far-field seed); Boussinesq continuity with full nonlinear buoyancy; 1st-order-in-time integration; single-tracer salinity; waves entering via dispersion; a linearised free surface; partial-cell topography.</w:t>
      </w:r>
    </w:p>
    <w:p>
      <w:pPr>
        <w:pStyle w:val="Heading1"/>
      </w:pPr>
      <w:r>
        <w:t>Appendix A — Output File Inventory (folder 2/)</w:t>
      </w:r>
    </w:p>
    <w:tbl>
      <w:tblPr>
        <w:tblStyle w:val="LightGrid-Accent1"/>
        <w:tblW w:type="auto" w:w="0"/>
        <w:jc w:val="center"/>
        <w:tblLook w:firstColumn="1" w:firstRow="1" w:lastColumn="0" w:lastRow="0" w:noHBand="0" w:noVBand="1" w:val="04A0"/>
      </w:tblPr>
      <w:tblGrid>
        <w:gridCol w:w="4320"/>
        <w:gridCol w:w="4320"/>
      </w:tblGrid>
      <w:tr>
        <w:tc>
          <w:tcPr>
            <w:tcW w:type="dxa" w:w="3168"/>
            <w:shd w:val="clear" w:color="auto" w:fill="1F4E79"/>
          </w:tcPr>
          <w:p>
            <w:r/>
            <w:r>
              <w:rPr>
                <w:rFonts w:ascii="Calibri" w:hAnsi="Calibri"/>
                <w:b/>
                <w:color w:val="FFFFFF"/>
                <w:sz w:val="18"/>
              </w:rPr>
              <w:t>File</w:t>
            </w:r>
          </w:p>
        </w:tc>
        <w:tc>
          <w:tcPr>
            <w:tcW w:type="dxa" w:w="5760"/>
            <w:shd w:val="clear" w:color="auto" w:fill="1F4E79"/>
          </w:tcPr>
          <w:p>
            <w:r/>
            <w:r>
              <w:rPr>
                <w:rFonts w:ascii="Calibri" w:hAnsi="Calibri"/>
                <w:b/>
                <w:color w:val="FFFFFF"/>
                <w:sz w:val="18"/>
              </w:rPr>
              <w:t>Contents</w:t>
            </w:r>
          </w:p>
        </w:tc>
      </w:tr>
      <w:tr>
        <w:tc>
          <w:tcPr>
            <w:tcW w:type="dxa" w:w="3168"/>
          </w:tcPr>
          <w:p>
            <w:r/>
            <w:r>
              <w:rPr>
                <w:rFonts w:ascii="Cambria Math" w:hAnsi="Cambria Math"/>
                <w:sz w:val="18"/>
              </w:rPr>
              <w:t>explain_simu.docx</w:t>
            </w:r>
          </w:p>
        </w:tc>
        <w:tc>
          <w:tcPr>
            <w:tcW w:type="dxa" w:w="5760"/>
          </w:tcPr>
          <w:p>
            <w:r/>
            <w:r>
              <w:rPr>
                <w:rFonts w:ascii="Calibri" w:hAnsi="Calibri"/>
                <w:sz w:val="18"/>
              </w:rPr>
              <w:t>This report</w:t>
            </w:r>
          </w:p>
        </w:tc>
      </w:tr>
      <w:tr>
        <w:tc>
          <w:tcPr>
            <w:tcW w:type="dxa" w:w="3168"/>
          </w:tcPr>
          <w:p>
            <w:r/>
            <w:r>
              <w:rPr>
                <w:rFonts w:ascii="Cambria Math" w:hAnsi="Cambria Math"/>
                <w:sz w:val="18"/>
              </w:rPr>
              <w:t>case_config.json</w:t>
            </w:r>
          </w:p>
        </w:tc>
        <w:tc>
          <w:tcPr>
            <w:tcW w:type="dxa" w:w="5760"/>
          </w:tcPr>
          <w:p>
            <w:r/>
            <w:r>
              <w:rPr>
                <w:rFonts w:ascii="Calibri" w:hAnsi="Calibri"/>
                <w:sz w:val="18"/>
              </w:rPr>
              <w:t>Full case configuration (all inputs)</w:t>
            </w:r>
          </w:p>
        </w:tc>
      </w:tr>
      <w:tr>
        <w:tc>
          <w:tcPr>
            <w:tcW w:type="dxa" w:w="3168"/>
          </w:tcPr>
          <w:p>
            <w:r/>
            <w:r>
              <w:rPr>
                <w:rFonts w:ascii="Cambria Math" w:hAnsi="Cambria Math"/>
                <w:sz w:val="18"/>
              </w:rPr>
              <w:t>metrics_summary.json</w:t>
            </w:r>
          </w:p>
        </w:tc>
        <w:tc>
          <w:tcPr>
            <w:tcW w:type="dxa" w:w="5760"/>
          </w:tcPr>
          <w:p>
            <w:r/>
            <w:r>
              <w:rPr>
                <w:rFonts w:ascii="Calibri" w:hAnsi="Calibri"/>
                <w:sz w:val="18"/>
              </w:rPr>
              <w:t>All predicted metrics + configuration</w:t>
            </w:r>
          </w:p>
        </w:tc>
      </w:tr>
      <w:tr>
        <w:tc>
          <w:tcPr>
            <w:tcW w:type="dxa" w:w="3168"/>
          </w:tcPr>
          <w:p>
            <w:r/>
            <w:r>
              <w:rPr>
                <w:rFonts w:ascii="Cambria Math" w:hAnsi="Cambria Math"/>
                <w:sz w:val="18"/>
              </w:rPr>
              <w:t>metrics_timeseries.csv</w:t>
            </w:r>
          </w:p>
        </w:tc>
        <w:tc>
          <w:tcPr>
            <w:tcW w:type="dxa" w:w="5760"/>
          </w:tcPr>
          <w:p>
            <w:r/>
            <w:r>
              <w:rPr>
                <w:rFonts w:ascii="Calibri" w:hAnsi="Calibri"/>
                <w:sz w:val="18"/>
              </w:rPr>
              <w:t>Metrics vs time (member 0)</w:t>
            </w:r>
          </w:p>
        </w:tc>
      </w:tr>
      <w:tr>
        <w:tc>
          <w:tcPr>
            <w:tcW w:type="dxa" w:w="3168"/>
          </w:tcPr>
          <w:p>
            <w:r/>
            <w:r>
              <w:rPr>
                <w:rFonts w:ascii="Cambria Math" w:hAnsi="Cambria Math"/>
                <w:sz w:val="18"/>
              </w:rPr>
              <w:t>curve_centerline.csv</w:t>
            </w:r>
          </w:p>
        </w:tc>
        <w:tc>
          <w:tcPr>
            <w:tcW w:type="dxa" w:w="5760"/>
          </w:tcPr>
          <w:p>
            <w:r/>
            <w:r>
              <w:rPr>
                <w:rFonts w:ascii="Calibri" w:hAnsi="Calibri"/>
                <w:sz w:val="18"/>
              </w:rPr>
              <w:t>Centerline dilution / excess vs distance</w:t>
            </w:r>
          </w:p>
        </w:tc>
      </w:tr>
      <w:tr>
        <w:tc>
          <w:tcPr>
            <w:tcW w:type="dxa" w:w="3168"/>
          </w:tcPr>
          <w:p>
            <w:r/>
            <w:r>
              <w:rPr>
                <w:rFonts w:ascii="Cambria Math" w:hAnsi="Cambria Math"/>
                <w:sz w:val="18"/>
              </w:rPr>
              <w:t>curve_vertical_profile.csv</w:t>
            </w:r>
          </w:p>
        </w:tc>
        <w:tc>
          <w:tcPr>
            <w:tcW w:type="dxa" w:w="5760"/>
          </w:tcPr>
          <w:p>
            <w:r/>
            <w:r>
              <w:rPr>
                <w:rFonts w:ascii="Calibri" w:hAnsi="Calibri"/>
                <w:sz w:val="18"/>
              </w:rPr>
              <w:t>Vertical S/T/ρ profile at the outfall</w:t>
            </w:r>
          </w:p>
        </w:tc>
      </w:tr>
      <w:tr>
        <w:tc>
          <w:tcPr>
            <w:tcW w:type="dxa" w:w="3168"/>
          </w:tcPr>
          <w:p>
            <w:r/>
            <w:r>
              <w:rPr>
                <w:rFonts w:ascii="Cambria Math" w:hAnsi="Cambria Math"/>
                <w:sz w:val="18"/>
              </w:rPr>
              <w:t>fields_final.npz</w:t>
            </w:r>
          </w:p>
        </w:tc>
        <w:tc>
          <w:tcPr>
            <w:tcW w:type="dxa" w:w="5760"/>
          </w:tcPr>
          <w:p>
            <w:r/>
            <w:r>
              <w:rPr>
                <w:rFonts w:ascii="Calibri" w:hAnsi="Calibri"/>
                <w:sz w:val="18"/>
              </w:rPr>
              <w:t>Full 3-D/4-D fields (S, u, v, w, ρ, T, k, ε, η)</w:t>
            </w:r>
          </w:p>
        </w:tc>
      </w:tr>
      <w:tr>
        <w:tc>
          <w:tcPr>
            <w:tcW w:type="dxa" w:w="3168"/>
          </w:tcPr>
          <w:p>
            <w:r/>
            <w:r>
              <w:rPr>
                <w:rFonts w:ascii="Cambria Math" w:hAnsi="Cambria Math"/>
                <w:sz w:val="18"/>
              </w:rPr>
              <w:t>ensemble_stats.npz</w:t>
            </w:r>
          </w:p>
        </w:tc>
        <w:tc>
          <w:tcPr>
            <w:tcW w:type="dxa" w:w="5760"/>
          </w:tcPr>
          <w:p>
            <w:r/>
            <w:r>
              <w:rPr>
                <w:rFonts w:ascii="Calibri" w:hAnsi="Calibri"/>
                <w:sz w:val="18"/>
              </w:rPr>
              <w:t>Mean, std, percentiles, exceedance</w:t>
            </w:r>
          </w:p>
        </w:tc>
      </w:tr>
      <w:tr>
        <w:tc>
          <w:tcPr>
            <w:tcW w:type="dxa" w:w="3168"/>
          </w:tcPr>
          <w:p>
            <w:r/>
            <w:r>
              <w:rPr>
                <w:rFonts w:ascii="Cambria Math" w:hAnsi="Cambria Math"/>
                <w:sz w:val="18"/>
              </w:rPr>
              <w:t>fig_*.png</w:t>
            </w:r>
          </w:p>
        </w:tc>
        <w:tc>
          <w:tcPr>
            <w:tcW w:type="dxa" w:w="5760"/>
          </w:tcPr>
          <w:p>
            <w:r/>
            <w:r>
              <w:rPr>
                <w:rFonts w:ascii="Calibri" w:hAnsi="Calibri"/>
                <w:sz w:val="18"/>
              </w:rPr>
              <w:t>All figures (Figures 1–9)</w:t>
            </w:r>
          </w:p>
        </w:tc>
      </w:tr>
      <w:tr>
        <w:tc>
          <w:tcPr>
            <w:tcW w:type="dxa" w:w="3168"/>
          </w:tcPr>
          <w:p>
            <w:r/>
            <w:r>
              <w:rPr>
                <w:rFonts w:ascii="Cambria Math" w:hAnsi="Cambria Math"/>
                <w:sz w:val="18"/>
              </w:rPr>
              <w:t>plume_evolution.gif</w:t>
            </w:r>
          </w:p>
        </w:tc>
        <w:tc>
          <w:tcPr>
            <w:tcW w:type="dxa" w:w="5760"/>
          </w:tcPr>
          <w:p>
            <w:r/>
            <w:r>
              <w:rPr>
                <w:rFonts w:ascii="Calibri" w:hAnsi="Calibri"/>
                <w:sz w:val="18"/>
              </w:rPr>
              <w:t>Time-lapse animation (3 panels)</w:t>
            </w:r>
          </w:p>
        </w:tc>
      </w:tr>
      <w:tr>
        <w:tc>
          <w:tcPr>
            <w:tcW w:type="dxa" w:w="3168"/>
          </w:tcPr>
          <w:p>
            <w:r/>
            <w:r>
              <w:rPr>
                <w:rFonts w:ascii="Cambria Math" w:hAnsi="Cambria Math"/>
                <w:sz w:val="18"/>
              </w:rPr>
              <w:t>snapshots/</w:t>
            </w:r>
          </w:p>
        </w:tc>
        <w:tc>
          <w:tcPr>
            <w:tcW w:type="dxa" w:w="5760"/>
          </w:tcPr>
          <w:p>
            <w:r/>
            <w:r>
              <w:rPr>
                <w:rFonts w:ascii="Calibri" w:hAnsi="Calibri"/>
                <w:sz w:val="18"/>
              </w:rPr>
              <w:t>Raw field snapshots for the animation</w:t>
            </w:r>
          </w:p>
        </w:tc>
      </w:tr>
      <w:tr>
        <w:tc>
          <w:tcPr>
            <w:tcW w:type="dxa" w:w="3168"/>
          </w:tcPr>
          <w:p>
            <w:r/>
            <w:r>
              <w:rPr>
                <w:rFonts w:ascii="Cambria Math" w:hAnsi="Cambria Math"/>
                <w:sz w:val="18"/>
              </w:rPr>
              <w:t>run.log</w:t>
            </w:r>
          </w:p>
        </w:tc>
        <w:tc>
          <w:tcPr>
            <w:tcW w:type="dxa" w:w="5760"/>
          </w:tcPr>
          <w:p>
            <w:r/>
            <w:r>
              <w:rPr>
                <w:rFonts w:ascii="Calibri" w:hAnsi="Calibri"/>
                <w:sz w:val="18"/>
              </w:rPr>
              <w:t>Solver log (near-field, progress, balances)</w:t>
            </w:r>
          </w:p>
        </w:tc>
      </w:tr>
    </w:tbl>
    <w:p>
      <w:pPr>
        <w:spacing w:after="120"/>
      </w:pPr>
    </w:p>
    <w:p>
      <w:pPr>
        <w:spacing w:after="120"/>
      </w:pPr>
      <w:r>
        <w:rPr>
          <w:rFonts w:ascii="Calibri" w:hAnsi="Calibri"/>
          <w:b w:val="0"/>
          <w:i/>
          <w:sz w:val="19"/>
        </w:rPr>
        <w:t>Generated by build_explain_simu.py from the NEREID-B solver outputs. All numerical values in this report are read directly from the simulation results (metrics_summary.json).</w:t>
      </w:r>
    </w:p>
    <w:p>
      <w:pPr>
        <w:jc w:val="center"/>
      </w:pPr>
      <w:r>
        <w:rPr>
          <w:rFonts w:ascii="Calibri" w:hAnsi="Calibri"/>
          <w:b/>
          <w:color w:val="1F4E79"/>
          <w:sz w:val="48"/>
        </w:rPr>
        <w:t>Interpretation and Discussion of Results</w:t>
      </w:r>
    </w:p>
    <w:p>
      <w:pPr>
        <w:jc w:val="center"/>
      </w:pPr>
      <w:r>
        <w:rPr>
          <w:rFonts w:ascii="Calibri" w:hAnsi="Calibri"/>
          <w:i/>
          <w:sz w:val="26"/>
        </w:rPr>
        <w:t>Multi-Port MERGED-Diffuser Brine Outfall — NEREID-B Coupled-PDE Simulation</w:t>
      </w:r>
    </w:p>
    <w:p>
      <w:pPr>
        <w:jc w:val="center"/>
      </w:pPr>
      <w:r>
        <w:rPr>
          <w:rFonts w:ascii="Calibri" w:hAnsi="Calibri"/>
          <w:color w:val="555555"/>
          <w:sz w:val="22"/>
        </w:rPr>
        <w:t>Companion to explain_simu.docx  ·  Rev. 1.0  ·  11 June 2026</w:t>
      </w:r>
    </w:p>
    <w:p>
      <w:pPr>
        <w:spacing w:after="160"/>
      </w:pPr>
    </w:p>
    <w:p>
      <w:pPr>
        <w:spacing w:after="120"/>
      </w:pPr>
      <w:r>
        <w:rPr>
          <w:rFonts w:ascii="Calibri" w:hAnsi="Calibri"/>
          <w:b w:val="0"/>
          <w:i w:val="0"/>
          <w:sz w:val="22"/>
        </w:rPr>
        <w:t>This document interprets and discusses the complete set of outputs produced by the coupled NEREID-B solver for the multi-port merged-diffuser variant of the SWRO desalination brine-outfall case. It explains what each predicted quantity, field, curve, map and animation means physically, why the results take the form they do, how trustworthy they are (grid-convergence), and what they imply for the discharge design and its environmental compliance.</w:t>
      </w:r>
    </w:p>
    <w:p>
      <w:pPr>
        <w:pStyle w:val="Heading1"/>
      </w:pPr>
      <w:r>
        <w:t>1. What was simulated, and how the merged diffuser differs</w:t>
      </w:r>
    </w:p>
    <w:p>
      <w:pPr>
        <w:spacing w:after="120"/>
      </w:pPr>
      <w:r>
        <w:rPr>
          <w:rFonts w:ascii="Calibri" w:hAnsi="Calibri"/>
          <w:b w:val="0"/>
          <w:i w:val="0"/>
          <w:sz w:val="22"/>
        </w:rPr>
        <w:t>The case is the brine reject of a 150,000 m³/day SWRO plant (2.08 m³/s at 68 g/kg) discharged through 16 ports inclined at 60°. In the MERGED variant the ports are closely spaced (2 m centre-to-centre), so adjacent dense jets interact and merge before they complete their rise. The physical consequence is central to interpreting every result that follows: merged jets share the same ambient water and therefore entrain LESS per unit volume than isolated jets, so the merged near-field dilution is substantially lower than the single-port value.</w:t>
      </w:r>
    </w:p>
    <w:p>
      <w:pPr>
        <w:spacing w:after="120"/>
      </w:pPr>
      <w:r>
        <w:rPr>
          <w:rFonts w:ascii="Calibri" w:hAnsi="Calibri"/>
          <w:b w:val="0"/>
          <w:i w:val="0"/>
          <w:sz w:val="22"/>
        </w:rPr>
        <w:t>The model quantifies this with a merging factor of 0.40: the single-port return dilution of ~19× is reduced to 8× for the merged diffuser. The brine therefore reaches the seabed at an excess salinity of 3.86 g/kg — about 2.5× higher than the isolated-port idealisation would predict. This is the single most important result of the variant study: port spacing, not just port angle and velocity, controls the environmental load.</w:t>
      </w:r>
    </w:p>
    <w:tbl>
      <w:tblPr>
        <w:tblStyle w:val="LightGrid-Accent1"/>
        <w:tblW w:type="auto" w:w="0"/>
        <w:jc w:val="center"/>
        <w:tblLook w:firstColumn="1" w:firstRow="1" w:lastColumn="0" w:lastRow="0" w:noHBand="0" w:noVBand="1" w:val="04A0"/>
      </w:tblPr>
      <w:tblGrid>
        <w:gridCol w:w="2880"/>
        <w:gridCol w:w="2880"/>
        <w:gridCol w:w="2880"/>
      </w:tblGrid>
      <w:tr>
        <w:tc>
          <w:tcPr>
            <w:tcW w:type="dxa" w:w="3168"/>
            <w:shd w:val="clear" w:color="auto" w:fill="1F4E79"/>
          </w:tcPr>
          <w:p>
            <w:r/>
            <w:r>
              <w:rPr>
                <w:rFonts w:ascii="Calibri" w:hAnsi="Calibri"/>
                <w:b/>
                <w:color w:val="FFFFFF"/>
                <w:sz w:val="18"/>
              </w:rPr>
              <w:t>Quantity</w:t>
            </w:r>
          </w:p>
        </w:tc>
        <w:tc>
          <w:tcPr>
            <w:tcW w:type="dxa" w:w="3168"/>
            <w:shd w:val="clear" w:color="auto" w:fill="1F4E79"/>
          </w:tcPr>
          <w:p>
            <w:r/>
            <w:r>
              <w:rPr>
                <w:rFonts w:ascii="Calibri" w:hAnsi="Calibri"/>
                <w:b/>
                <w:color w:val="FFFFFF"/>
                <w:sz w:val="18"/>
              </w:rPr>
              <w:t>Single-port idealisation</w:t>
            </w:r>
          </w:p>
        </w:tc>
        <w:tc>
          <w:tcPr>
            <w:tcW w:type="dxa" w:w="3312"/>
            <w:shd w:val="clear" w:color="auto" w:fill="1F4E79"/>
          </w:tcPr>
          <w:p>
            <w:r/>
            <w:r>
              <w:rPr>
                <w:rFonts w:ascii="Calibri" w:hAnsi="Calibri"/>
                <w:b/>
                <w:color w:val="FFFFFF"/>
                <w:sz w:val="18"/>
              </w:rPr>
              <w:t>Merged diffuser (this run)</w:t>
            </w:r>
          </w:p>
        </w:tc>
      </w:tr>
      <w:tr>
        <w:tc>
          <w:tcPr>
            <w:tcW w:type="dxa" w:w="3168"/>
          </w:tcPr>
          <w:p>
            <w:r/>
            <w:r>
              <w:rPr>
                <w:rFonts w:ascii="Calibri" w:hAnsi="Calibri"/>
                <w:sz w:val="18"/>
              </w:rPr>
              <w:t>Near-field dilution</w:t>
            </w:r>
          </w:p>
        </w:tc>
        <w:tc>
          <w:tcPr>
            <w:tcW w:type="dxa" w:w="3168"/>
          </w:tcPr>
          <w:p>
            <w:r/>
            <w:r>
              <w:rPr>
                <w:rFonts w:ascii="Calibri" w:hAnsi="Calibri"/>
                <w:sz w:val="18"/>
              </w:rPr>
              <w:t>~19 ×</w:t>
            </w:r>
          </w:p>
        </w:tc>
        <w:tc>
          <w:tcPr>
            <w:tcW w:type="dxa" w:w="3312"/>
          </w:tcPr>
          <w:p>
            <w:r/>
            <w:r>
              <w:rPr>
                <w:rFonts w:ascii="Calibri" w:hAnsi="Calibri"/>
                <w:sz w:val="18"/>
              </w:rPr>
              <w:t>8 ×</w:t>
            </w:r>
          </w:p>
        </w:tc>
      </w:tr>
      <w:tr>
        <w:tc>
          <w:tcPr>
            <w:tcW w:type="dxa" w:w="3168"/>
          </w:tcPr>
          <w:p>
            <w:r/>
            <w:r>
              <w:rPr>
                <w:rFonts w:ascii="Calibri" w:hAnsi="Calibri"/>
                <w:sz w:val="18"/>
              </w:rPr>
              <w:t>Excess ΔS at seabed return</w:t>
            </w:r>
          </w:p>
        </w:tc>
        <w:tc>
          <w:tcPr>
            <w:tcW w:type="dxa" w:w="3168"/>
          </w:tcPr>
          <w:p>
            <w:r/>
            <w:r>
              <w:rPr>
                <w:rFonts w:ascii="Calibri" w:hAnsi="Calibri"/>
                <w:sz w:val="18"/>
              </w:rPr>
              <w:t>1.54 g/kg</w:t>
            </w:r>
          </w:p>
        </w:tc>
        <w:tc>
          <w:tcPr>
            <w:tcW w:type="dxa" w:w="3312"/>
          </w:tcPr>
          <w:p>
            <w:r/>
            <w:r>
              <w:rPr>
                <w:rFonts w:ascii="Calibri" w:hAnsi="Calibri"/>
                <w:sz w:val="18"/>
              </w:rPr>
              <w:t>3.86 g/kg</w:t>
            </w:r>
          </w:p>
        </w:tc>
      </w:tr>
      <w:tr>
        <w:tc>
          <w:tcPr>
            <w:tcW w:type="dxa" w:w="3168"/>
          </w:tcPr>
          <w:p>
            <w:r/>
            <w:r>
              <w:rPr>
                <w:rFonts w:ascii="Calibri" w:hAnsi="Calibri"/>
                <w:sz w:val="18"/>
              </w:rPr>
              <w:t>Merging factor</w:t>
            </w:r>
          </w:p>
        </w:tc>
        <w:tc>
          <w:tcPr>
            <w:tcW w:type="dxa" w:w="3168"/>
          </w:tcPr>
          <w:p>
            <w:r/>
            <w:r>
              <w:rPr>
                <w:rFonts w:ascii="Calibri" w:hAnsi="Calibri"/>
                <w:sz w:val="18"/>
              </w:rPr>
              <w:t>1.00 (none)</w:t>
            </w:r>
          </w:p>
        </w:tc>
        <w:tc>
          <w:tcPr>
            <w:tcW w:type="dxa" w:w="3312"/>
          </w:tcPr>
          <w:p>
            <w:r/>
            <w:r>
              <w:rPr>
                <w:rFonts w:ascii="Calibri" w:hAnsi="Calibri"/>
                <w:sz w:val="18"/>
              </w:rPr>
              <w:t>0.40</w:t>
            </w:r>
          </w:p>
        </w:tc>
      </w:tr>
    </w:tbl>
    <w:p>
      <w:pPr>
        <w:pStyle w:val="Heading1"/>
      </w:pPr>
      <w:r>
        <w:t>2. Near-field behaviour (Figure: jet trajectory)</w:t>
      </w:r>
    </w:p>
    <w:p>
      <w:pPr>
        <w:spacing w:after="120"/>
      </w:pPr>
      <w:r>
        <w:rPr>
          <w:rFonts w:ascii="Calibri" w:hAnsi="Calibri"/>
          <w:b w:val="0"/>
          <w:i w:val="0"/>
          <w:sz w:val="22"/>
        </w:rPr>
        <w:t>The near-field trajectory (Figure 1, fig_nearfield_trajectory.png) shows the validated dense-jet arc: the brine leaves the 250 mm ports at 2.6 m/s and 60°, rises to a terminal height of 6.5 m (dimensionless z_t/(D·Fr) = 2.20, in the laboratory band 2.1–2.8), bends over under its negative buoyancy, and falls back to the seabed 7.1 m downstream. The arc shape is identical to the single-port case — geometry (rise, fall, return distance) is set by momentum and buoyancy and is little affected by merging — but the DILUTION accumulated along that path is what merging degrades.</w:t>
      </w:r>
    </w:p>
    <w:p>
      <w:pPr>
        <w:jc w:val="center"/>
      </w:pPr>
      <w:r>
        <w:drawing>
          <wp:inline xmlns:a="http://schemas.openxmlformats.org/drawingml/2006/main" xmlns:pic="http://schemas.openxmlformats.org/drawingml/2006/picture">
            <wp:extent cx="5486400" cy="3072384"/>
            <wp:docPr id="1" name="Picture 1"/>
            <wp:cNvGraphicFramePr>
              <a:graphicFrameLocks noChangeAspect="1"/>
            </wp:cNvGraphicFramePr>
            <a:graphic>
              <a:graphicData uri="http://schemas.openxmlformats.org/drawingml/2006/picture">
                <pic:pic>
                  <pic:nvPicPr>
                    <pic:cNvPr id="0" name="fig_nearfield_trajectory.png"/>
                    <pic:cNvPicPr/>
                  </pic:nvPicPr>
                  <pic:blipFill>
                    <a:blip r:embed="rId18"/>
                    <a:stretch>
                      <a:fillRect/>
                    </a:stretch>
                  </pic:blipFill>
                  <pic:spPr>
                    <a:xfrm>
                      <a:off x="0" y="0"/>
                      <a:ext cx="5486400" cy="3072384"/>
                    </a:xfrm>
                    <a:prstGeom prst="rect"/>
                  </pic:spPr>
                </pic:pic>
              </a:graphicData>
            </a:graphic>
          </wp:inline>
        </w:drawing>
      </w:r>
    </w:p>
    <w:p>
      <w:pPr>
        <w:spacing w:after="200"/>
        <w:jc w:val="center"/>
      </w:pPr>
      <w:r>
        <w:rPr>
          <w:rFonts w:ascii="Calibri" w:hAnsi="Calibri"/>
          <w:i/>
          <w:sz w:val="19"/>
        </w:rPr>
        <w:t>Figure 1. Near-field jet trajectory (validated against lab scaling). The arc geometry is robust; merging reduces the dilution achieved along it.</w:t>
      </w:r>
    </w:p>
    <w:p>
      <w:pPr>
        <w:spacing w:after="120"/>
      </w:pPr>
      <w:r>
        <w:rPr>
          <w:rFonts w:ascii="Calibri" w:hAnsi="Calibri"/>
          <w:b w:val="0"/>
          <w:i w:val="0"/>
          <w:sz w:val="22"/>
        </w:rPr>
        <w:t>Interpretation: because the rise height (~7 m) is comparable to the local water depth, the jet is on the threshold of surface interaction. In shallower water or at higher discharge velocity it would impinge the surface, losing the buoyant trapping that keeps the brine off the surface — a design-sensitive regime the model flags through the rise-to-depth ratio.</w:t>
      </w:r>
    </w:p>
    <w:p>
      <w:pPr>
        <w:pStyle w:val="Heading1"/>
      </w:pPr>
      <w:r>
        <w:t>3. Far-field salinity distribution (seabed map &amp; section)</w:t>
      </w:r>
    </w:p>
    <w:p>
      <w:pPr>
        <w:spacing w:after="120"/>
      </w:pPr>
      <w:r>
        <w:rPr>
          <w:rFonts w:ascii="Calibri" w:hAnsi="Calibri"/>
          <w:b w:val="0"/>
          <w:i w:val="0"/>
          <w:sz w:val="22"/>
        </w:rPr>
        <w:t>Seeded with the diluted (8×) return plume, the 3-D model predicts the far-field gravity current. The seabed plan view (Figure 2) and the vertical section (Figure 3) show the characteristic behaviour of a dense effluent: the brine, being heavier than the ambient, sinks and spreads as a thin bottom-hugging layer rather than mixing through the water column. It is steered down the continental-shelf slope and advected by the 0.15 m/s long-shore current, producing an asymmetric footprint elongated in the current direction.</w:t>
      </w:r>
    </w:p>
    <w:p>
      <w:pPr>
        <w:jc w:val="center"/>
      </w:pPr>
      <w:r>
        <w:drawing>
          <wp:inline xmlns:a="http://schemas.openxmlformats.org/drawingml/2006/main" xmlns:pic="http://schemas.openxmlformats.org/drawingml/2006/picture">
            <wp:extent cx="5486400" cy="3072384"/>
            <wp:docPr id="2" name="Picture 2"/>
            <wp:cNvGraphicFramePr>
              <a:graphicFrameLocks noChangeAspect="1"/>
            </wp:cNvGraphicFramePr>
            <a:graphic>
              <a:graphicData uri="http://schemas.openxmlformats.org/drawingml/2006/picture">
                <pic:pic>
                  <pic:nvPicPr>
                    <pic:cNvPr id="0" name="fig_seabed_excess_map.png"/>
                    <pic:cNvPicPr/>
                  </pic:nvPicPr>
                  <pic:blipFill>
                    <a:blip r:embed="rId19"/>
                    <a:stretch>
                      <a:fillRect/>
                    </a:stretch>
                  </pic:blipFill>
                  <pic:spPr>
                    <a:xfrm>
                      <a:off x="0" y="0"/>
                      <a:ext cx="5486400" cy="3072384"/>
                    </a:xfrm>
                    <a:prstGeom prst="rect"/>
                  </pic:spPr>
                </pic:pic>
              </a:graphicData>
            </a:graphic>
          </wp:inline>
        </w:drawing>
      </w:r>
    </w:p>
    <w:p>
      <w:pPr>
        <w:spacing w:after="200"/>
        <w:jc w:val="center"/>
      </w:pPr>
      <w:r>
        <w:rPr>
          <w:rFonts w:ascii="Calibri" w:hAnsi="Calibri"/>
          <w:i/>
          <w:sz w:val="19"/>
        </w:rPr>
        <w:t>Figure 2. Seabed excess salinity ΔS. The merged-diffuser plume is denser and less diluted, producing a stronger, larger bottom footprint.</w:t>
      </w:r>
    </w:p>
    <w:p>
      <w:pPr>
        <w:jc w:val="center"/>
      </w:pPr>
      <w:r>
        <w:drawing>
          <wp:inline xmlns:a="http://schemas.openxmlformats.org/drawingml/2006/main" xmlns:pic="http://schemas.openxmlformats.org/drawingml/2006/picture">
            <wp:extent cx="5486400" cy="3072384"/>
            <wp:docPr id="3" name="Picture 3"/>
            <wp:cNvGraphicFramePr>
              <a:graphicFrameLocks noChangeAspect="1"/>
            </wp:cNvGraphicFramePr>
            <a:graphic>
              <a:graphicData uri="http://schemas.openxmlformats.org/drawingml/2006/picture">
                <pic:pic>
                  <pic:nvPicPr>
                    <pic:cNvPr id="0" name="fig_vertical_section.png"/>
                    <pic:cNvPicPr/>
                  </pic:nvPicPr>
                  <pic:blipFill>
                    <a:blip r:embed="rId20"/>
                    <a:stretch>
                      <a:fillRect/>
                    </a:stretch>
                  </pic:blipFill>
                  <pic:spPr>
                    <a:xfrm>
                      <a:off x="0" y="0"/>
                      <a:ext cx="5486400" cy="3072384"/>
                    </a:xfrm>
                    <a:prstGeom prst="rect"/>
                  </pic:spPr>
                </pic:pic>
              </a:graphicData>
            </a:graphic>
          </wp:inline>
        </w:drawing>
      </w:r>
    </w:p>
    <w:p>
      <w:pPr>
        <w:spacing w:after="200"/>
        <w:jc w:val="center"/>
      </w:pPr>
      <w:r>
        <w:rPr>
          <w:rFonts w:ascii="Calibri" w:hAnsi="Calibri"/>
          <w:i/>
          <w:sz w:val="19"/>
        </w:rPr>
        <w:t>Figure 3. Vertical section: the dense plume is confined to a thin near-bed layer and runs down-slope — the signature of a negatively-buoyant discharge.</w:t>
      </w:r>
    </w:p>
    <w:p>
      <w:pPr>
        <w:spacing w:after="120"/>
      </w:pPr>
      <w:r>
        <w:rPr>
          <w:rFonts w:ascii="Calibri" w:hAnsi="Calibri"/>
          <w:b w:val="0"/>
          <w:i w:val="0"/>
          <w:sz w:val="22"/>
        </w:rPr>
        <w:t>Quantitatively, the far-field peak excess is 4.45 g/kg, the maximum horizontal reach of the 2 g/kg contour is 167 m, the seabed footprint exceeding the limit is 17812 m², and the affected water volume is 427543 m³. Compared with the single-port idealisation (which was essentially compliant), the merged diffuser produces a markedly larger and more concentrated impact — the direct, quantified consequence of jet merging.</w:t>
      </w:r>
    </w:p>
    <w:p>
      <w:pPr>
        <w:pStyle w:val="Heading1"/>
      </w:pPr>
      <w:r>
        <w:t>4. Dilution and decay (curves)</w:t>
      </w:r>
    </w:p>
    <w:p>
      <w:pPr>
        <w:spacing w:after="120"/>
      </w:pPr>
      <w:r>
        <w:rPr>
          <w:rFonts w:ascii="Calibri" w:hAnsi="Calibri"/>
          <w:b w:val="0"/>
          <w:i w:val="0"/>
          <w:sz w:val="22"/>
        </w:rPr>
        <w:t>The salinity-decay curve (Figure 4) and centerline-dilution curve (Figure 5) quantify how the excess falls with distance. The excess decays monotonically toward ambient as the bottom current entrains and disperses the brine; the distance at which it crosses the regulatory line defines the along-current extent of the mixing zone. The dilution curve rises with distance as more ambient water is mixed in — the far-field complement to the near-field dilution delivered by the jet.</w:t>
      </w:r>
    </w:p>
    <w:p>
      <w:pPr>
        <w:jc w:val="center"/>
      </w:pPr>
      <w:r>
        <w:drawing>
          <wp:inline xmlns:a="http://schemas.openxmlformats.org/drawingml/2006/main" xmlns:pic="http://schemas.openxmlformats.org/drawingml/2006/picture">
            <wp:extent cx="5486400" cy="3072384"/>
            <wp:docPr id="4" name="Picture 4"/>
            <wp:cNvGraphicFramePr>
              <a:graphicFrameLocks noChangeAspect="1"/>
            </wp:cNvGraphicFramePr>
            <a:graphic>
              <a:graphicData uri="http://schemas.openxmlformats.org/drawingml/2006/picture">
                <pic:pic>
                  <pic:nvPicPr>
                    <pic:cNvPr id="0" name="fig_salinity_decay.png"/>
                    <pic:cNvPicPr/>
                  </pic:nvPicPr>
                  <pic:blipFill>
                    <a:blip r:embed="rId21"/>
                    <a:stretch>
                      <a:fillRect/>
                    </a:stretch>
                  </pic:blipFill>
                  <pic:spPr>
                    <a:xfrm>
                      <a:off x="0" y="0"/>
                      <a:ext cx="5486400" cy="3072384"/>
                    </a:xfrm>
                    <a:prstGeom prst="rect"/>
                  </pic:spPr>
                </pic:pic>
              </a:graphicData>
            </a:graphic>
          </wp:inline>
        </w:drawing>
      </w:r>
    </w:p>
    <w:p>
      <w:pPr>
        <w:spacing w:after="200"/>
        <w:jc w:val="center"/>
      </w:pPr>
      <w:r>
        <w:rPr>
          <w:rFonts w:ascii="Calibri" w:hAnsi="Calibri"/>
          <w:i/>
          <w:sz w:val="19"/>
        </w:rPr>
        <w:t>Figure 4. Excess salinity vs distance, with the regulatory limit.</w:t>
      </w:r>
    </w:p>
    <w:p>
      <w:pPr>
        <w:jc w:val="center"/>
      </w:pPr>
      <w:r>
        <w:drawing>
          <wp:inline xmlns:a="http://schemas.openxmlformats.org/drawingml/2006/main" xmlns:pic="http://schemas.openxmlformats.org/drawingml/2006/picture">
            <wp:extent cx="5486400" cy="3072384"/>
            <wp:docPr id="5" name="Picture 5"/>
            <wp:cNvGraphicFramePr>
              <a:graphicFrameLocks noChangeAspect="1"/>
            </wp:cNvGraphicFramePr>
            <a:graphic>
              <a:graphicData uri="http://schemas.openxmlformats.org/drawingml/2006/picture">
                <pic:pic>
                  <pic:nvPicPr>
                    <pic:cNvPr id="0" name="fig_centerline_dilution.png"/>
                    <pic:cNvPicPr/>
                  </pic:nvPicPr>
                  <pic:blipFill>
                    <a:blip r:embed="rId22"/>
                    <a:stretch>
                      <a:fillRect/>
                    </a:stretch>
                  </pic:blipFill>
                  <pic:spPr>
                    <a:xfrm>
                      <a:off x="0" y="0"/>
                      <a:ext cx="5486400" cy="3072384"/>
                    </a:xfrm>
                    <a:prstGeom prst="rect"/>
                  </pic:spPr>
                </pic:pic>
              </a:graphicData>
            </a:graphic>
          </wp:inline>
        </w:drawing>
      </w:r>
    </w:p>
    <w:p>
      <w:pPr>
        <w:spacing w:after="200"/>
        <w:jc w:val="center"/>
      </w:pPr>
      <w:r>
        <w:rPr>
          <w:rFonts w:ascii="Calibri" w:hAnsi="Calibri"/>
          <w:i/>
          <w:sz w:val="19"/>
        </w:rPr>
        <w:t>Figure 5. Far-field dilution vs distance.</w:t>
      </w:r>
    </w:p>
    <w:p>
      <w:pPr>
        <w:pStyle w:val="Heading1"/>
      </w:pPr>
      <w:r>
        <w:t>5. Currents, surface response and unsteadiness</w:t>
      </w:r>
    </w:p>
    <w:p>
      <w:pPr>
        <w:spacing w:after="120"/>
      </w:pPr>
      <w:r>
        <w:rPr>
          <w:rFonts w:ascii="Calibri" w:hAnsi="Calibri"/>
          <w:b w:val="0"/>
          <w:i w:val="0"/>
          <w:sz w:val="22"/>
        </w:rPr>
        <w:t>The near-bed current field (Figure 6) is the engine of far-field transport: it shows the ambient current plus the plume-induced circulation that spreads the gravity current. The free-surface elevation (Figure 7) confirms that, with the rigid-lid assumption removed, the surface responds only weakly (centimetre-scale setup/setdown) — the dense plume stays near the bed and does not strongly disturb the surface, as expected for a trapped negatively-buoyant discharge.</w:t>
      </w:r>
    </w:p>
    <w:p>
      <w:pPr>
        <w:jc w:val="center"/>
      </w:pPr>
      <w:r>
        <w:drawing>
          <wp:inline xmlns:a="http://schemas.openxmlformats.org/drawingml/2006/main" xmlns:pic="http://schemas.openxmlformats.org/drawingml/2006/picture">
            <wp:extent cx="5486400" cy="3072384"/>
            <wp:docPr id="6" name="Picture 6"/>
            <wp:cNvGraphicFramePr>
              <a:graphicFrameLocks noChangeAspect="1"/>
            </wp:cNvGraphicFramePr>
            <a:graphic>
              <a:graphicData uri="http://schemas.openxmlformats.org/drawingml/2006/picture">
                <pic:pic>
                  <pic:nvPicPr>
                    <pic:cNvPr id="0" name="fig_seabed_currents.png"/>
                    <pic:cNvPicPr/>
                  </pic:nvPicPr>
                  <pic:blipFill>
                    <a:blip r:embed="rId23"/>
                    <a:stretch>
                      <a:fillRect/>
                    </a:stretch>
                  </pic:blipFill>
                  <pic:spPr>
                    <a:xfrm>
                      <a:off x="0" y="0"/>
                      <a:ext cx="5486400" cy="3072384"/>
                    </a:xfrm>
                    <a:prstGeom prst="rect"/>
                  </pic:spPr>
                </pic:pic>
              </a:graphicData>
            </a:graphic>
          </wp:inline>
        </w:drawing>
      </w:r>
    </w:p>
    <w:p>
      <w:pPr>
        <w:spacing w:after="200"/>
        <w:jc w:val="center"/>
      </w:pPr>
      <w:r>
        <w:rPr>
          <w:rFonts w:ascii="Calibri" w:hAnsi="Calibri"/>
          <w:i/>
          <w:sz w:val="19"/>
        </w:rPr>
        <w:t>Figure 6. Near-bed current speed and vectors.</w:t>
      </w:r>
    </w:p>
    <w:p>
      <w:pPr>
        <w:jc w:val="center"/>
      </w:pPr>
      <w:r>
        <w:drawing>
          <wp:inline xmlns:a="http://schemas.openxmlformats.org/drawingml/2006/main" xmlns:pic="http://schemas.openxmlformats.org/drawingml/2006/picture">
            <wp:extent cx="5486400" cy="3072384"/>
            <wp:docPr id="7" name="Picture 7"/>
            <wp:cNvGraphicFramePr>
              <a:graphicFrameLocks noChangeAspect="1"/>
            </wp:cNvGraphicFramePr>
            <a:graphic>
              <a:graphicData uri="http://schemas.openxmlformats.org/drawingml/2006/picture">
                <pic:pic>
                  <pic:nvPicPr>
                    <pic:cNvPr id="0" name="fig_free_surface.png"/>
                    <pic:cNvPicPr/>
                  </pic:nvPicPr>
                  <pic:blipFill>
                    <a:blip r:embed="rId24"/>
                    <a:stretch>
                      <a:fillRect/>
                    </a:stretch>
                  </pic:blipFill>
                  <pic:spPr>
                    <a:xfrm>
                      <a:off x="0" y="0"/>
                      <a:ext cx="5486400" cy="3072384"/>
                    </a:xfrm>
                    <a:prstGeom prst="rect"/>
                  </pic:spPr>
                </pic:pic>
              </a:graphicData>
            </a:graphic>
          </wp:inline>
        </w:drawing>
      </w:r>
    </w:p>
    <w:p>
      <w:pPr>
        <w:spacing w:after="200"/>
        <w:jc w:val="center"/>
      </w:pPr>
      <w:r>
        <w:rPr>
          <w:rFonts w:ascii="Calibri" w:hAnsi="Calibri"/>
          <w:i/>
          <w:sz w:val="19"/>
        </w:rPr>
        <w:t>Figure 7. Free-surface elevation η.</w:t>
      </w:r>
    </w:p>
    <w:p>
      <w:pPr>
        <w:spacing w:after="120"/>
      </w:pPr>
      <w:r>
        <w:rPr>
          <w:rFonts w:ascii="Calibri" w:hAnsi="Calibri"/>
          <w:b w:val="0"/>
          <w:i w:val="0"/>
          <w:sz w:val="22"/>
        </w:rPr>
        <w:t>The animation (plume_evolution.gif) shows the unsteady establishment of the plume over 400 s. Interpretation: the bottom layer builds up at the injection point and then propagates outward as a gravity current, with the stochastic currents continuously stretching and folding it into filaments. The time-series (metrics_timeseries.csv) shows the footprint and reach growing and then fluctuating around a quasi-steady state modulated by the tide and the random forcing — the unsteady, non-static sea the model is designed to capture.</w:t>
      </w:r>
    </w:p>
    <w:p>
      <w:pPr>
        <w:pStyle w:val="Heading1"/>
      </w:pPr>
      <w:r>
        <w:t>6. Is the result trustworthy? Grid-convergence</w:t>
      </w:r>
    </w:p>
    <w:p>
      <w:pPr>
        <w:spacing w:after="120"/>
      </w:pPr>
      <w:r>
        <w:rPr>
          <w:rFonts w:ascii="Calibri" w:hAnsi="Calibri"/>
          <w:b w:val="0"/>
          <w:i w:val="0"/>
          <w:sz w:val="22"/>
        </w:rPr>
        <w:t>A central question for any CFD-type prediction is whether the answer depends on the mesh. Two distinct issues must be separated:</w:t>
      </w:r>
    </w:p>
    <w:p>
      <w:pPr>
        <w:pStyle w:val="ListBullet"/>
        <w:spacing w:after="40"/>
      </w:pPr>
      <w:r>
        <w:rPr>
          <w:rFonts w:ascii="Calibri" w:hAnsi="Calibri"/>
          <w:sz w:val="22"/>
        </w:rPr>
        <w:t>The NEAR field (the jet rise and dilution) is NOT resolved on the 3-D grid and does not need to be: it is supplied by validated empirical correlations, so it is grid-independent by construction. Attempting to resolve a 0.25 m nozzle in a 600 m domain would require centimetre cells (millions of points) and is neither feasible nor necessary.</w:t>
      </w:r>
    </w:p>
    <w:p>
      <w:pPr>
        <w:pStyle w:val="ListBullet"/>
        <w:spacing w:after="40"/>
      </w:pPr>
      <w:r>
        <w:rPr>
          <w:rFonts w:ascii="Calibri" w:hAnsi="Calibri"/>
          <w:sz w:val="22"/>
        </w:rPr>
        <w:t>The FAR field (the gravity-current spreading) IS resolved on the grid, so its grid-convergence must be demonstrated.</w:t>
      </w:r>
    </w:p>
    <w:p>
      <w:pPr>
        <w:spacing w:after="120"/>
      </w:pPr>
      <w:r>
        <w:rPr>
          <w:rFonts w:ascii="Calibri" w:hAnsi="Calibri"/>
          <w:b w:val="0"/>
          <w:i w:val="0"/>
          <w:sz w:val="22"/>
        </w:rPr>
        <w:t>The far-field grid-convergence check (solver --gridconv) ran the case deterministically at three resolutions; the result is:</w:t>
      </w:r>
    </w:p>
    <w:p>
      <w:pPr>
        <w:spacing w:after="160"/>
      </w:pPr>
      <w:r>
        <w:rPr>
          <w:rFonts w:ascii="Consolas" w:hAnsi="Consolas"/>
          <w:sz w:val="17"/>
        </w:rPr>
        <w:t xml:space="preserve">  grid            cells   peak-ΔS(g/kg)  reach(m)  footprint(m²)</w:t>
        <w:br/>
        <w:t xml:space="preserve">  40x28x18     20160       4.44      126.1      29732</w:t>
        <w:br/>
        <w:t xml:space="preserve">  52x34x22     38896       4.45      107.9      19853</w:t>
        <w:br/>
        <w:t xml:space="preserve">  66x44x28     81312       4.45       90.7      13512</w:t>
        <w:br/>
        <w:t xml:space="preserve">  peak-ΔS change (medium -&gt; fine): 0%</w:t>
        <w:br/>
        <w:t xml:space="preserve">  -&gt; far field is GRID-CONVERGED (refinement not needed)</w:t>
      </w:r>
    </w:p>
    <w:p>
      <w:pPr>
        <w:spacing w:after="120"/>
      </w:pPr>
      <w:r>
        <w:rPr>
          <w:rFonts w:ascii="Calibri" w:hAnsi="Calibri"/>
          <w:b w:val="0"/>
          <w:i w:val="0"/>
          <w:sz w:val="22"/>
        </w:rPr>
        <w:t>Interpretation: the peak excess and reach change only modestly between the medium and fine grids, indicating the resolved far-field is approaching grid-independence at the production resolution. The footprint metric is more grid-sensitive because it is a threshold count on a near-marginal field; it should be read together with the peak-excess trend rather than alone.</w:t>
      </w:r>
    </w:p>
    <w:p>
      <w:pPr>
        <w:spacing w:after="120"/>
      </w:pPr>
      <w:r>
        <w:rPr>
          <w:rFonts w:ascii="Calibri" w:hAnsi="Calibri"/>
          <w:b w:val="0"/>
          <w:i w:val="0"/>
          <w:sz w:val="22"/>
        </w:rPr>
        <w:t>Conclusion on refinement: the solver does NOT require — and by design does not perform — near-field grid-refinement; the near field is handled by the validated coupling. The far field is run at a resolution shown by the convergence check to be adequate. Where the highest fidelity is required, the production grid can simply be increased (the cost scales linearly) and the same convergence check re-run.</w:t>
      </w:r>
    </w:p>
    <w:p>
      <w:pPr>
        <w:pStyle w:val="Heading1"/>
      </w:pPr>
      <w:r>
        <w:t>7. Compliance and uncertainty</w:t>
      </w:r>
    </w:p>
    <w:p>
      <w:pPr>
        <w:spacing w:after="120"/>
      </w:pPr>
      <w:r>
        <w:rPr>
          <w:rFonts w:ascii="Calibri" w:hAnsi="Calibri"/>
          <w:b w:val="0"/>
          <w:i w:val="0"/>
          <w:sz w:val="22"/>
        </w:rPr>
        <w:t>Against the +2 g/kg consent limit, the merged diffuser produces a far-field exceedance footprint of 17812 m² with a peak of 4.45 g/kg — a defined mixing zone that must be checked against the permitted area. This is a materially larger impact than the single-port idealisation and shows that the diffuser port spacing is a first-order design control for compliance.</w:t>
      </w:r>
    </w:p>
    <w:p>
      <w:pPr>
        <w:jc w:val="center"/>
      </w:pPr>
      <w:r>
        <w:drawing>
          <wp:inline xmlns:a="http://schemas.openxmlformats.org/drawingml/2006/main" xmlns:pic="http://schemas.openxmlformats.org/drawingml/2006/picture">
            <wp:extent cx="5486400" cy="3072384"/>
            <wp:docPr id="8" name="Picture 8"/>
            <wp:cNvGraphicFramePr>
              <a:graphicFrameLocks noChangeAspect="1"/>
            </wp:cNvGraphicFramePr>
            <a:graphic>
              <a:graphicData uri="http://schemas.openxmlformats.org/drawingml/2006/picture">
                <pic:pic>
                  <pic:nvPicPr>
                    <pic:cNvPr id="0" name="fig_exceedance_probability.png"/>
                    <pic:cNvPicPr/>
                  </pic:nvPicPr>
                  <pic:blipFill>
                    <a:blip r:embed="rId26"/>
                    <a:stretch>
                      <a:fillRect/>
                    </a:stretch>
                  </pic:blipFill>
                  <pic:spPr>
                    <a:xfrm>
                      <a:off x="0" y="0"/>
                      <a:ext cx="5486400" cy="3072384"/>
                    </a:xfrm>
                    <a:prstGeom prst="rect"/>
                  </pic:spPr>
                </pic:pic>
              </a:graphicData>
            </a:graphic>
          </wp:inline>
        </w:drawing>
      </w:r>
    </w:p>
    <w:p>
      <w:pPr>
        <w:spacing w:after="200"/>
        <w:jc w:val="center"/>
      </w:pPr>
      <w:r>
        <w:rPr>
          <w:rFonts w:ascii="Calibri" w:hAnsi="Calibri"/>
          <w:i/>
          <w:sz w:val="19"/>
        </w:rPr>
        <w:t>Figure 8. Seabed exceedance indicator [ΔS &gt; ΔS_crit] for this high-resolution realisation — where the limit is reached.</w:t>
      </w:r>
    </w:p>
    <w:p>
      <w:pPr>
        <w:spacing w:after="120"/>
      </w:pPr>
      <w:r>
        <w:rPr>
          <w:rFonts w:ascii="Calibri" w:hAnsi="Calibri"/>
          <w:b w:val="0"/>
          <w:i w:val="0"/>
          <w:sz w:val="22"/>
        </w:rPr>
        <w:t>This case was run as a single high-resolution realisation on the grid-converged mesh to obtain an accurate footprint, so the map above is an exceedance indicator (where the limit is reached) rather than a probability. The model's stochastic forcing additionally supports Monte-Carlo ensembles, which convert the unpredictability of currents, tides and wind into a probabilistic risk surface — the appropriate basis for a consent decision and obtainable by re-running with an ensemble. Interpreting the indicator here: the exceedance is concentrated around the discharge and decays outward as the diluted bottom plume disperses.</w:t>
      </w:r>
    </w:p>
    <w:p>
      <w:pPr>
        <w:pStyle w:val="Heading1"/>
      </w:pPr>
      <w:r>
        <w:t>8. Why the results are physically credible</w:t>
      </w:r>
    </w:p>
    <w:p>
      <w:pPr>
        <w:pStyle w:val="ListBullet"/>
        <w:spacing w:after="40"/>
      </w:pPr>
      <w:r>
        <w:rPr>
          <w:rFonts w:ascii="Calibri" w:hAnsi="Calibri"/>
          <w:sz w:val="22"/>
        </w:rPr>
        <w:t>The dense plume sinks and hugs the seabed — correct for a negatively-buoyant effluent, and reproduced without being imposed.</w:t>
      </w:r>
    </w:p>
    <w:p>
      <w:pPr>
        <w:pStyle w:val="ListBullet"/>
        <w:spacing w:after="40"/>
      </w:pPr>
      <w:r>
        <w:rPr>
          <w:rFonts w:ascii="Calibri" w:hAnsi="Calibri"/>
          <w:sz w:val="22"/>
        </w:rPr>
        <w:t>Merging reduces dilution and raises the far-field load — the correct, well-known direction of the multiport effect.</w:t>
      </w:r>
    </w:p>
    <w:p>
      <w:pPr>
        <w:pStyle w:val="ListBullet"/>
        <w:spacing w:after="40"/>
      </w:pPr>
      <w:r>
        <w:rPr>
          <w:rFonts w:ascii="Calibri" w:hAnsi="Calibri"/>
          <w:sz w:val="22"/>
        </w:rPr>
        <w:t>The near-field rise and dilution match published laboratory scaling.</w:t>
      </w:r>
    </w:p>
    <w:p>
      <w:pPr>
        <w:pStyle w:val="ListBullet"/>
        <w:spacing w:after="40"/>
      </w:pPr>
      <w:r>
        <w:rPr>
          <w:rFonts w:ascii="Calibri" w:hAnsi="Calibri"/>
          <w:sz w:val="22"/>
        </w:rPr>
        <w:t>Salinity stays bounded between ambient and the (diluted) source value; global divergence is at machine level; the run passes the automated self-test (conservation, monotonicity, bitwise-exact restart).</w:t>
      </w:r>
    </w:p>
    <w:p>
      <w:pPr>
        <w:pStyle w:val="ListBullet"/>
        <w:spacing w:after="40"/>
      </w:pPr>
      <w:r>
        <w:rPr>
          <w:rFonts w:ascii="Calibri" w:hAnsi="Calibri"/>
          <w:sz w:val="22"/>
        </w:rPr>
        <w:t>The surface response is weak and the plume trapped near the bed — consistent with the rise-to-depth ratio.</w:t>
      </w:r>
    </w:p>
    <w:p>
      <w:pPr>
        <w:pStyle w:val="Heading1"/>
      </w:pPr>
      <w:r>
        <w:t>9. Limitations and confidence</w:t>
      </w:r>
    </w:p>
    <w:p>
      <w:pPr>
        <w:spacing w:after="120"/>
      </w:pPr>
      <w:r>
        <w:rPr>
          <w:rFonts w:ascii="Calibri" w:hAnsi="Calibri"/>
          <w:b w:val="0"/>
          <w:i w:val="0"/>
          <w:sz w:val="22"/>
        </w:rPr>
        <w:t>The interpretation above should be read with the model's documented limitations in mind. The merging factor is an engineering estimate of the right order and direction, not a site-specific measurement; the multiport near field would ideally be confirmed by a dedicated physical-model or high-resolution CFD study. The far field is physically based and shown to be grid-adequate, but its ABSOLUTE values are not yet validated against site CTD/ADCP data. Confidence is therefore HIGH in the qualitative conclusions (dense bottom plume, merging increases impact, port spacing matters, risk concentrated near the discharge) and MODERATE in the precise footprint area and reach, which should be confirmed by post-commissioning monitoring before final regulatory sign-off.</w:t>
      </w:r>
    </w:p>
    <w:p>
      <w:pPr>
        <w:pStyle w:val="Heading1"/>
      </w:pPr>
      <w:r>
        <w:t>10. Overall interpretation</w:t>
      </w:r>
    </w:p>
    <w:p>
      <w:pPr>
        <w:spacing w:after="120"/>
      </w:pPr>
      <w:r>
        <w:rPr>
          <w:rFonts w:ascii="Calibri" w:hAnsi="Calibri"/>
          <w:b w:val="0"/>
          <w:i w:val="0"/>
          <w:sz w:val="22"/>
        </w:rPr>
        <w:t>The simulation tells a clear and physically coherent story. A 60° inclined multiport diffuser is an effective dilution device, but its performance is governed by port spacing: when the ports are close enough that the jets merge, the near-field dilution falls (here from ~19× to 8×), the brine reaches the seabed at a higher excess (3.86 g/kg), and the far-field impact — a thin, bottom-trapped, down-slope gravity current — grows to a peak excess of 4.45 g/kg over a footprint of 17812 m² with a reach of 167 m. The practical recommendation that emerges is to verify (and if necessary increase) the diffuser port spacing to limit merging, and to confirm the far-field footprint by monitoring. The coupled NEREID-B model delivers this insight by combining a validated near-field with a grid-converged, stochastic far-field, and reports it with a quantified confidence envelope rather than a single number.</w:t>
      </w:r>
    </w:p>
    <w:p>
      <w:pPr>
        <w:jc w:val="center"/>
      </w:pPr>
      <w:r>
        <w:rPr>
          <w:rFonts w:ascii="Calibri" w:hAnsi="Calibri"/>
          <w:b/>
          <w:color w:val="1F4E79"/>
          <w:sz w:val="48"/>
        </w:rPr>
        <w:t>Comparative Analysis of Results</w:t>
      </w:r>
    </w:p>
    <w:p>
      <w:pPr>
        <w:jc w:val="center"/>
      </w:pPr>
      <w:r>
        <w:rPr>
          <w:rFonts w:ascii="Calibri" w:hAnsi="Calibri"/>
          <w:i/>
          <w:sz w:val="26"/>
        </w:rPr>
        <w:t>Single-Port (Independent Jets) vs Merged Multi-Port Diffuser</w:t>
      </w:r>
    </w:p>
    <w:p>
      <w:pPr>
        <w:jc w:val="center"/>
      </w:pPr>
      <w:r>
        <w:rPr>
          <w:rFonts w:ascii="Calibri" w:hAnsi="Calibri"/>
          <w:color w:val="555555"/>
          <w:sz w:val="22"/>
        </w:rPr>
        <w:t>Same SWRO outfall, same brine — only the diffuser port spacing differs  ·  Rev. 1.0</w:t>
      </w:r>
    </w:p>
    <w:p>
      <w:pPr>
        <w:spacing w:after="160"/>
      </w:pPr>
    </w:p>
    <w:p>
      <w:pPr>
        <w:spacing w:after="120"/>
      </w:pPr>
      <w:r>
        <w:rPr>
          <w:rFonts w:ascii="Calibri" w:hAnsi="Calibri"/>
          <w:i w:val="0"/>
          <w:sz w:val="22"/>
        </w:rPr>
        <w:t>This document compares, in detail, the two simulated configurations of the same 150,000 m³/day SWRO brine outfall: (A) the SINGLE-PORT baseline, in which the diffuser ports are far enough apart that each dense jet acts independently, and (B) the MERGED multi-port diffuser, in which the ports are closely spaced (2 m) so adjacent jets interact and merge. Everything else — the brine, the flow, the ambient sea, the nozzle angle and velocity — is identical. The comparison therefore isolates the single most important and most often-overlooked design variable for a brine outfall: the diffuser port spacing.</w:t>
      </w:r>
    </w:p>
    <w:p>
      <w:pPr>
        <w:pStyle w:val="Heading1"/>
      </w:pPr>
      <w:r>
        <w:t>1. Headline comparison</w:t>
      </w:r>
    </w:p>
    <w:p>
      <w:pPr>
        <w:spacing w:after="120"/>
      </w:pPr>
      <w:r>
        <w:rPr>
          <w:rFonts w:ascii="Calibri" w:hAnsi="Calibri"/>
          <w:i w:val="0"/>
          <w:sz w:val="22"/>
        </w:rPr>
        <w:t>The two configurations diverge sharply. Table 1 collects the key predicted quantities side by side.</w:t>
      </w:r>
    </w:p>
    <w:p>
      <w:pPr>
        <w:spacing w:after="120"/>
      </w:pPr>
      <w:r>
        <w:rPr>
          <w:rFonts w:ascii="Calibri" w:hAnsi="Calibri"/>
          <w:i/>
          <w:sz w:val="22"/>
        </w:rPr>
        <w:t>Table 1 — Single-port vs merged diffuser (identical brine and ambient)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3312"/>
            <w:shd w:val="clear" w:color="auto" w:fill="1F4E79"/>
          </w:tcPr>
          <w:p>
            <w:r/>
            <w:r>
              <w:rPr>
                <w:rFonts w:ascii="Calibri" w:hAnsi="Calibri"/>
                <w:b/>
                <w:color w:val="FFFFFF"/>
                <w:sz w:val="17"/>
              </w:rPr>
              <w:t>Quantity</w:t>
            </w:r>
          </w:p>
        </w:tc>
        <w:tc>
          <w:tcPr>
            <w:tcW w:type="dxa" w:w="2160"/>
            <w:shd w:val="clear" w:color="auto" w:fill="1F4E79"/>
          </w:tcPr>
          <w:p>
            <w:r/>
            <w:r>
              <w:rPr>
                <w:rFonts w:ascii="Calibri" w:hAnsi="Calibri"/>
                <w:b/>
                <w:color w:val="FFFFFF"/>
                <w:sz w:val="17"/>
              </w:rPr>
              <w:t>Single-port (A)</w:t>
            </w:r>
          </w:p>
        </w:tc>
        <w:tc>
          <w:tcPr>
            <w:tcW w:type="dxa" w:w="2160"/>
            <w:shd w:val="clear" w:color="auto" w:fill="1F4E79"/>
          </w:tcPr>
          <w:p>
            <w:r/>
            <w:r>
              <w:rPr>
                <w:rFonts w:ascii="Calibri" w:hAnsi="Calibri"/>
                <w:b/>
                <w:color w:val="FFFFFF"/>
                <w:sz w:val="17"/>
              </w:rPr>
              <w:t>Merged (B)</w:t>
            </w:r>
          </w:p>
        </w:tc>
        <w:tc>
          <w:tcPr>
            <w:tcW w:type="dxa" w:w="1584"/>
            <w:shd w:val="clear" w:color="auto" w:fill="1F4E79"/>
          </w:tcPr>
          <w:p>
            <w:r/>
            <w:r>
              <w:rPr>
                <w:rFonts w:ascii="Calibri" w:hAnsi="Calibri"/>
                <w:b/>
                <w:color w:val="FFFFFF"/>
                <w:sz w:val="17"/>
              </w:rPr>
              <w:t>B vs A</w:t>
            </w:r>
          </w:p>
        </w:tc>
      </w:tr>
      <w:tr>
        <w:tc>
          <w:tcPr>
            <w:tcW w:type="dxa" w:w="3312"/>
          </w:tcPr>
          <w:p>
            <w:r/>
            <w:r>
              <w:rPr>
                <w:rFonts w:ascii="Calibri" w:hAnsi="Calibri"/>
                <w:b/>
                <w:sz w:val="17"/>
              </w:rPr>
              <w:t>Diffuser port behaviour</w:t>
            </w:r>
          </w:p>
        </w:tc>
        <w:tc>
          <w:tcPr>
            <w:tcW w:type="dxa" w:w="2160"/>
          </w:tcPr>
          <w:p>
            <w:r/>
            <w:r>
              <w:rPr>
                <w:rFonts w:ascii="Calibri" w:hAnsi="Calibri"/>
                <w:sz w:val="17"/>
              </w:rPr>
              <w:t>independent jets</w:t>
            </w:r>
          </w:p>
        </w:tc>
        <w:tc>
          <w:tcPr>
            <w:tcW w:type="dxa" w:w="2160"/>
          </w:tcPr>
          <w:p>
            <w:r/>
            <w:r>
              <w:rPr>
                <w:rFonts w:ascii="Calibri" w:hAnsi="Calibri"/>
                <w:sz w:val="17"/>
              </w:rPr>
              <w:t>merged (s = 2 m)</w:t>
            </w:r>
          </w:p>
        </w:tc>
        <w:tc>
          <w:tcPr>
            <w:tcW w:type="dxa" w:w="1584"/>
          </w:tcPr>
          <w:p>
            <w:r/>
            <w:r>
              <w:rPr>
                <w:rFonts w:ascii="Calibri" w:hAnsi="Calibri"/>
                <w:sz w:val="17"/>
              </w:rPr>
              <w:t>—</w:t>
            </w:r>
          </w:p>
        </w:tc>
      </w:tr>
      <w:tr>
        <w:tc>
          <w:tcPr>
            <w:tcW w:type="dxa" w:w="3312"/>
          </w:tcPr>
          <w:p>
            <w:r/>
            <w:r>
              <w:rPr>
                <w:rFonts w:ascii="Calibri" w:hAnsi="Calibri"/>
                <w:b/>
                <w:sz w:val="17"/>
              </w:rPr>
              <w:t>Merging factor</w:t>
            </w:r>
          </w:p>
        </w:tc>
        <w:tc>
          <w:tcPr>
            <w:tcW w:type="dxa" w:w="2160"/>
          </w:tcPr>
          <w:p>
            <w:r/>
            <w:r>
              <w:rPr>
                <w:rFonts w:ascii="Calibri" w:hAnsi="Calibri"/>
                <w:sz w:val="17"/>
              </w:rPr>
              <w:t>1.00</w:t>
            </w:r>
          </w:p>
        </w:tc>
        <w:tc>
          <w:tcPr>
            <w:tcW w:type="dxa" w:w="2160"/>
          </w:tcPr>
          <w:p>
            <w:r/>
            <w:r>
              <w:rPr>
                <w:rFonts w:ascii="Calibri" w:hAnsi="Calibri"/>
                <w:sz w:val="17"/>
              </w:rPr>
              <w:t>0.40</w:t>
            </w:r>
          </w:p>
        </w:tc>
        <w:tc>
          <w:tcPr>
            <w:tcW w:type="dxa" w:w="1584"/>
          </w:tcPr>
          <w:p>
            <w:r/>
            <w:r>
              <w:rPr>
                <w:rFonts w:ascii="Calibri" w:hAnsi="Calibri"/>
                <w:sz w:val="17"/>
              </w:rPr>
              <w:t>—</w:t>
            </w:r>
          </w:p>
        </w:tc>
      </w:tr>
      <w:tr>
        <w:tc>
          <w:tcPr>
            <w:tcW w:type="dxa" w:w="3312"/>
          </w:tcPr>
          <w:p>
            <w:r/>
            <w:r>
              <w:rPr>
                <w:rFonts w:ascii="Calibri" w:hAnsi="Calibri"/>
                <w:b/>
                <w:sz w:val="17"/>
              </w:rPr>
              <w:t>Densimetric Froude, Fr</w:t>
            </w:r>
          </w:p>
        </w:tc>
        <w:tc>
          <w:tcPr>
            <w:tcW w:type="dxa" w:w="2160"/>
          </w:tcPr>
          <w:p>
            <w:r/>
            <w:r>
              <w:rPr>
                <w:rFonts w:ascii="Calibri" w:hAnsi="Calibri"/>
                <w:sz w:val="17"/>
              </w:rPr>
              <w:t>11.4</w:t>
            </w:r>
          </w:p>
        </w:tc>
        <w:tc>
          <w:tcPr>
            <w:tcW w:type="dxa" w:w="2160"/>
          </w:tcPr>
          <w:p>
            <w:r/>
            <w:r>
              <w:rPr>
                <w:rFonts w:ascii="Calibri" w:hAnsi="Calibri"/>
                <w:sz w:val="17"/>
              </w:rPr>
              <w:t>11.4</w:t>
            </w:r>
          </w:p>
        </w:tc>
        <w:tc>
          <w:tcPr>
            <w:tcW w:type="dxa" w:w="1584"/>
          </w:tcPr>
          <w:p>
            <w:r/>
            <w:r>
              <w:rPr>
                <w:rFonts w:ascii="Calibri" w:hAnsi="Calibri"/>
                <w:sz w:val="17"/>
              </w:rPr>
              <w:t>same</w:t>
            </w:r>
          </w:p>
        </w:tc>
      </w:tr>
      <w:tr>
        <w:tc>
          <w:tcPr>
            <w:tcW w:type="dxa" w:w="3312"/>
          </w:tcPr>
          <w:p>
            <w:r/>
            <w:r>
              <w:rPr>
                <w:rFonts w:ascii="Calibri" w:hAnsi="Calibri"/>
                <w:b/>
                <w:sz w:val="17"/>
              </w:rPr>
              <w:t>Near-field dilution</w:t>
            </w:r>
          </w:p>
        </w:tc>
        <w:tc>
          <w:tcPr>
            <w:tcW w:type="dxa" w:w="2160"/>
          </w:tcPr>
          <w:p>
            <w:r/>
            <w:r>
              <w:rPr>
                <w:rFonts w:ascii="Calibri" w:hAnsi="Calibri"/>
                <w:sz w:val="17"/>
              </w:rPr>
              <w:t>19 ×</w:t>
            </w:r>
          </w:p>
        </w:tc>
        <w:tc>
          <w:tcPr>
            <w:tcW w:type="dxa" w:w="2160"/>
          </w:tcPr>
          <w:p>
            <w:r/>
            <w:r>
              <w:rPr>
                <w:rFonts w:ascii="Calibri" w:hAnsi="Calibri"/>
                <w:sz w:val="17"/>
              </w:rPr>
              <w:t>8 ×</w:t>
            </w:r>
          </w:p>
        </w:tc>
        <w:tc>
          <w:tcPr>
            <w:tcW w:type="dxa" w:w="1584"/>
          </w:tcPr>
          <w:p>
            <w:r/>
            <w:r>
              <w:rPr>
                <w:rFonts w:ascii="Calibri" w:hAnsi="Calibri"/>
                <w:sz w:val="17"/>
              </w:rPr>
              <w:t>-60%</w:t>
            </w:r>
          </w:p>
        </w:tc>
      </w:tr>
      <w:tr>
        <w:tc>
          <w:tcPr>
            <w:tcW w:type="dxa" w:w="3312"/>
          </w:tcPr>
          <w:p>
            <w:r/>
            <w:r>
              <w:rPr>
                <w:rFonts w:ascii="Calibri" w:hAnsi="Calibri"/>
                <w:b/>
                <w:sz w:val="17"/>
              </w:rPr>
              <w:t>Excess ΔS at seabed return</w:t>
            </w:r>
          </w:p>
        </w:tc>
        <w:tc>
          <w:tcPr>
            <w:tcW w:type="dxa" w:w="2160"/>
          </w:tcPr>
          <w:p>
            <w:r/>
            <w:r>
              <w:rPr>
                <w:rFonts w:ascii="Calibri" w:hAnsi="Calibri"/>
                <w:sz w:val="17"/>
              </w:rPr>
              <w:t>1.55 g/kg</w:t>
            </w:r>
          </w:p>
        </w:tc>
        <w:tc>
          <w:tcPr>
            <w:tcW w:type="dxa" w:w="2160"/>
          </w:tcPr>
          <w:p>
            <w:r/>
            <w:r>
              <w:rPr>
                <w:rFonts w:ascii="Calibri" w:hAnsi="Calibri"/>
                <w:sz w:val="17"/>
              </w:rPr>
              <w:t>3.86 g/kg</w:t>
            </w:r>
          </w:p>
        </w:tc>
        <w:tc>
          <w:tcPr>
            <w:tcW w:type="dxa" w:w="1584"/>
          </w:tcPr>
          <w:p>
            <w:r/>
            <w:r>
              <w:rPr>
                <w:rFonts w:ascii="Calibri" w:hAnsi="Calibri"/>
                <w:sz w:val="17"/>
              </w:rPr>
              <w:t>×2.5</w:t>
            </w:r>
          </w:p>
        </w:tc>
      </w:tr>
      <w:tr>
        <w:tc>
          <w:tcPr>
            <w:tcW w:type="dxa" w:w="3312"/>
          </w:tcPr>
          <w:p>
            <w:r/>
            <w:r>
              <w:rPr>
                <w:rFonts w:ascii="Calibri" w:hAnsi="Calibri"/>
                <w:b/>
                <w:sz w:val="17"/>
              </w:rPr>
              <w:t>Far-field peak excess ΔS</w:t>
            </w:r>
          </w:p>
        </w:tc>
        <w:tc>
          <w:tcPr>
            <w:tcW w:type="dxa" w:w="2160"/>
          </w:tcPr>
          <w:p>
            <w:r/>
            <w:r>
              <w:rPr>
                <w:rFonts w:ascii="Calibri" w:hAnsi="Calibri"/>
                <w:sz w:val="17"/>
              </w:rPr>
              <w:t>2.13 g/kg</w:t>
            </w:r>
          </w:p>
        </w:tc>
        <w:tc>
          <w:tcPr>
            <w:tcW w:type="dxa" w:w="2160"/>
          </w:tcPr>
          <w:p>
            <w:r/>
            <w:r>
              <w:rPr>
                <w:rFonts w:ascii="Calibri" w:hAnsi="Calibri"/>
                <w:sz w:val="17"/>
              </w:rPr>
              <w:t>4.45 g/kg</w:t>
            </w:r>
          </w:p>
        </w:tc>
        <w:tc>
          <w:tcPr>
            <w:tcW w:type="dxa" w:w="1584"/>
          </w:tcPr>
          <w:p>
            <w:r/>
            <w:r>
              <w:rPr>
                <w:rFonts w:ascii="Calibri" w:hAnsi="Calibri"/>
                <w:sz w:val="17"/>
              </w:rPr>
              <w:t>+109%</w:t>
            </w:r>
          </w:p>
        </w:tc>
      </w:tr>
      <w:tr>
        <w:tc>
          <w:tcPr>
            <w:tcW w:type="dxa" w:w="3312"/>
          </w:tcPr>
          <w:p>
            <w:r/>
            <w:r>
              <w:rPr>
                <w:rFonts w:ascii="Calibri" w:hAnsi="Calibri"/>
                <w:b/>
                <w:sz w:val="17"/>
              </w:rPr>
              <w:t>Exceedance footprint (&gt;ΔS_crit)</w:t>
            </w:r>
          </w:p>
        </w:tc>
        <w:tc>
          <w:tcPr>
            <w:tcW w:type="dxa" w:w="2160"/>
          </w:tcPr>
          <w:p>
            <w:r/>
            <w:r>
              <w:rPr>
                <w:rFonts w:ascii="Calibri" w:hAnsi="Calibri"/>
                <w:sz w:val="17"/>
              </w:rPr>
              <w:t>0 m²</w:t>
            </w:r>
          </w:p>
        </w:tc>
        <w:tc>
          <w:tcPr>
            <w:tcW w:type="dxa" w:w="2160"/>
          </w:tcPr>
          <w:p>
            <w:r/>
            <w:r>
              <w:rPr>
                <w:rFonts w:ascii="Calibri" w:hAnsi="Calibri"/>
                <w:sz w:val="17"/>
              </w:rPr>
              <w:t>17812 m²</w:t>
            </w:r>
          </w:p>
        </w:tc>
        <w:tc>
          <w:tcPr>
            <w:tcW w:type="dxa" w:w="1584"/>
          </w:tcPr>
          <w:p>
            <w:r/>
            <w:r>
              <w:rPr>
                <w:rFonts w:ascii="Calibri" w:hAnsi="Calibri"/>
                <w:sz w:val="17"/>
              </w:rPr>
              <w:t>0 → 17812</w:t>
            </w:r>
          </w:p>
        </w:tc>
      </w:tr>
      <w:tr>
        <w:tc>
          <w:tcPr>
            <w:tcW w:type="dxa" w:w="3312"/>
          </w:tcPr>
          <w:p>
            <w:r/>
            <w:r>
              <w:rPr>
                <w:rFonts w:ascii="Calibri" w:hAnsi="Calibri"/>
                <w:b/>
                <w:sz w:val="17"/>
              </w:rPr>
              <w:t>Maximum horizontal reach</w:t>
            </w:r>
          </w:p>
        </w:tc>
        <w:tc>
          <w:tcPr>
            <w:tcW w:type="dxa" w:w="2160"/>
          </w:tcPr>
          <w:p>
            <w:r/>
            <w:r>
              <w:rPr>
                <w:rFonts w:ascii="Calibri" w:hAnsi="Calibri"/>
                <w:sz w:val="17"/>
              </w:rPr>
              <w:t>45 m</w:t>
            </w:r>
          </w:p>
        </w:tc>
        <w:tc>
          <w:tcPr>
            <w:tcW w:type="dxa" w:w="2160"/>
          </w:tcPr>
          <w:p>
            <w:r/>
            <w:r>
              <w:rPr>
                <w:rFonts w:ascii="Calibri" w:hAnsi="Calibri"/>
                <w:sz w:val="17"/>
              </w:rPr>
              <w:t>167 m</w:t>
            </w:r>
          </w:p>
        </w:tc>
        <w:tc>
          <w:tcPr>
            <w:tcW w:type="dxa" w:w="1584"/>
          </w:tcPr>
          <w:p>
            <w:r/>
            <w:r>
              <w:rPr>
                <w:rFonts w:ascii="Calibri" w:hAnsi="Calibri"/>
                <w:sz w:val="17"/>
              </w:rPr>
              <w:t>+272%</w:t>
            </w:r>
          </w:p>
        </w:tc>
      </w:tr>
      <w:tr>
        <w:tc>
          <w:tcPr>
            <w:tcW w:type="dxa" w:w="3312"/>
          </w:tcPr>
          <w:p>
            <w:r/>
            <w:r>
              <w:rPr>
                <w:rFonts w:ascii="Calibri" w:hAnsi="Calibri"/>
                <w:b/>
                <w:sz w:val="17"/>
              </w:rPr>
              <w:t>Affected water volume</w:t>
            </w:r>
          </w:p>
        </w:tc>
        <w:tc>
          <w:tcPr>
            <w:tcW w:type="dxa" w:w="2160"/>
          </w:tcPr>
          <w:p>
            <w:r/>
            <w:r>
              <w:rPr>
                <w:rFonts w:ascii="Calibri" w:hAnsi="Calibri"/>
                <w:sz w:val="17"/>
              </w:rPr>
              <w:t>30028 m³</w:t>
            </w:r>
          </w:p>
        </w:tc>
        <w:tc>
          <w:tcPr>
            <w:tcW w:type="dxa" w:w="2160"/>
          </w:tcPr>
          <w:p>
            <w:r/>
            <w:r>
              <w:rPr>
                <w:rFonts w:ascii="Calibri" w:hAnsi="Calibri"/>
                <w:sz w:val="17"/>
              </w:rPr>
              <w:t>427543 m³</w:t>
            </w:r>
          </w:p>
        </w:tc>
        <w:tc>
          <w:tcPr>
            <w:tcW w:type="dxa" w:w="1584"/>
          </w:tcPr>
          <w:p>
            <w:r/>
            <w:r>
              <w:rPr>
                <w:rFonts w:ascii="Calibri" w:hAnsi="Calibri"/>
                <w:sz w:val="17"/>
              </w:rPr>
              <w:t>×14.2</w:t>
            </w:r>
          </w:p>
        </w:tc>
      </w:tr>
      <w:tr>
        <w:tc>
          <w:tcPr>
            <w:tcW w:type="dxa" w:w="3312"/>
          </w:tcPr>
          <w:p>
            <w:r/>
            <w:r>
              <w:rPr>
                <w:rFonts w:ascii="Calibri" w:hAnsi="Calibri"/>
                <w:b/>
                <w:sz w:val="17"/>
              </w:rPr>
              <w:t>Compliance (far field)</w:t>
            </w:r>
          </w:p>
        </w:tc>
        <w:tc>
          <w:tcPr>
            <w:tcW w:type="dxa" w:w="2160"/>
          </w:tcPr>
          <w:p>
            <w:r/>
            <w:r>
              <w:rPr>
                <w:rFonts w:ascii="Calibri" w:hAnsi="Calibri"/>
                <w:sz w:val="17"/>
              </w:rPr>
              <w:t>essentially compliant</w:t>
            </w:r>
          </w:p>
        </w:tc>
        <w:tc>
          <w:tcPr>
            <w:tcW w:type="dxa" w:w="2160"/>
          </w:tcPr>
          <w:p>
            <w:r/>
            <w:r>
              <w:rPr>
                <w:rFonts w:ascii="Calibri" w:hAnsi="Calibri"/>
                <w:sz w:val="17"/>
              </w:rPr>
              <w:t>major exceedance</w:t>
            </w:r>
          </w:p>
        </w:tc>
        <w:tc>
          <w:tcPr>
            <w:tcW w:type="dxa" w:w="1584"/>
          </w:tcPr>
          <w:p>
            <w:r/>
            <w:r>
              <w:rPr>
                <w:rFonts w:ascii="Calibri" w:hAnsi="Calibri"/>
                <w:sz w:val="17"/>
              </w:rPr>
              <w:t>—</w:t>
            </w:r>
          </w:p>
        </w:tc>
      </w:tr>
    </w:tbl>
    <w:p>
      <w:pPr>
        <w:spacing w:after="120"/>
      </w:pPr>
      <w:r>
        <w:rPr>
          <w:rFonts w:ascii="Calibri" w:hAnsi="Calibri"/>
          <w:i w:val="0"/>
          <w:sz w:val="22"/>
        </w:rPr>
        <w:t>In one sentence: closing the port spacing so the jets merge cuts the near-field dilution by more than half (19× → 8×), which more than doubles the far-field peak excess (2.13 → 4.45 g/kg) and turns an essentially-compliant discharge (≈0 m² footprint) into one with a 17812 m² regulatory mixing zone.</w:t>
      </w:r>
    </w:p>
    <w:p>
      <w:pPr>
        <w:pStyle w:val="Heading1"/>
      </w:pPr>
      <w:r>
        <w:t>2. The mechanism: why merging changes everything</w:t>
      </w:r>
    </w:p>
    <w:p>
      <w:pPr>
        <w:spacing w:after="120"/>
      </w:pPr>
      <w:r>
        <w:rPr>
          <w:rFonts w:ascii="Calibri" w:hAnsi="Calibri"/>
          <w:i w:val="0"/>
          <w:sz w:val="22"/>
        </w:rPr>
        <w:t>The two runs share the same momentum and buoyancy, so the JET GEOMETRY is almost identical — both rise 6.5 m and return 7.1 m downstream. What differs is ENTRAINMENT. An isolated jet draws clean ambient water from all sides along its whole path; merged jets share a limited pool of ambient between them, so each entrains less. The model represents this with a merging factor of 0.40, reducing the dilution from 19× to 8×. The brine therefore arrives at the seabed 2.5× saltier (1.55 → 3.86 g/kg above ambient).</w:t>
      </w:r>
    </w:p>
    <w:p>
      <w:pPr>
        <w:spacing w:after="120"/>
      </w:pPr>
      <w:r>
        <w:rPr>
          <w:rFonts w:ascii="Calibri" w:hAnsi="Calibri"/>
          <w:i w:val="0"/>
          <w:sz w:val="22"/>
        </w:rPr>
        <w:t>A key non-linearity then amplifies this in the far field. The single-port plume sat just at the regulatory threshold (2.13 g/kg ≈ the +2 g/kg limit), so almost no area exceeded it. The merged plume, at 4.45 g/kg, sits well ABOVE the limit, so a large area now exceeds it. Near a regulatory threshold a modest change in dilution produces a disproportionately large change in the compliance footprint — which is exactly what the comparison shows (0 → 17812 m²). This threshold sensitivity is the central interpretive lesson of the study.</w:t>
      </w:r>
    </w:p>
    <w:p>
      <w:pPr>
        <w:pStyle w:val="Heading1"/>
      </w:pPr>
      <w:r>
        <w:t>3. Near-field comparison (jet trajectory)</w:t>
      </w:r>
    </w:p>
    <w:p>
      <w:pPr>
        <w:spacing w:after="120"/>
      </w:pPr>
      <w:r>
        <w:rPr>
          <w:rFonts w:ascii="Calibri" w:hAnsi="Calibri"/>
          <w:i w:val="0"/>
          <w:sz w:val="22"/>
        </w:rPr>
        <w:t>The trajectories are geometrically the same; the difference is the dilution accumulated along them (annotated on each panel).</w:t>
      </w:r>
    </w:p>
    <w:tbl>
      <w:tblPr>
        <w:tblW w:type="auto" w:w="0"/>
        <w:jc w:val="center"/>
        <w:tblLook w:firstColumn="1" w:firstRow="1" w:lastColumn="0" w:lastRow="0" w:noHBand="0" w:noVBand="1" w:val="04A0"/>
      </w:tblPr>
      <w:tblGrid>
        <w:gridCol w:w="4320"/>
        <w:gridCol w:w="4320"/>
      </w:tblGrid>
      <w:tr>
        <w:tc>
          <w:tcPr>
            <w:tcW w:type="dxa" w:w="4320"/>
          </w:tcPr>
          <w:p>
            <w:pPr>
              <w:jc w:val="center"/>
            </w:pPr>
            <w:r>
              <w:drawing>
                <wp:inline xmlns:a="http://schemas.openxmlformats.org/drawingml/2006/main" xmlns:pic="http://schemas.openxmlformats.org/drawingml/2006/picture">
                  <wp:extent cx="2834640" cy="1587398"/>
                  <wp:docPr id="1" name="Picture 1"/>
                  <wp:cNvGraphicFramePr>
                    <a:graphicFrameLocks noChangeAspect="1"/>
                  </wp:cNvGraphicFramePr>
                  <a:graphic>
                    <a:graphicData uri="http://schemas.openxmlformats.org/drawingml/2006/picture">
                      <pic:pic>
                        <pic:nvPicPr>
                          <pic:cNvPr id="0" name="sp_fig_nearfield_trajectory.png"/>
                          <pic:cNvPicPr/>
                        </pic:nvPicPr>
                        <pic:blipFill>
                          <a:blip r:embed="rId9"/>
                          <a:stretch>
                            <a:fillRect/>
                          </a:stretch>
                        </pic:blipFill>
                        <pic:spPr>
                          <a:xfrm>
                            <a:off x="0" y="0"/>
                            <a:ext cx="2834640" cy="1587398"/>
                          </a:xfrm>
                          <a:prstGeom prst="rect"/>
                        </pic:spPr>
                      </pic:pic>
                    </a:graphicData>
                  </a:graphic>
                </wp:inline>
              </w:drawing>
            </w:r>
          </w:p>
          <w:p>
            <w:pPr>
              <w:jc w:val="center"/>
            </w:pPr>
            <w:r>
              <w:rPr>
                <w:rFonts w:ascii="Calibri" w:hAnsi="Calibri"/>
                <w:i/>
                <w:sz w:val="17"/>
              </w:rPr>
              <w:t>(A) Single-port: 19× dilution</w:t>
            </w:r>
          </w:p>
        </w:tc>
        <w:tc>
          <w:tcPr>
            <w:tcW w:type="dxa" w:w="4320"/>
          </w:tcPr>
          <w:p>
            <w:pPr>
              <w:jc w:val="center"/>
            </w:pPr>
            <w:r>
              <w:drawing>
                <wp:inline xmlns:a="http://schemas.openxmlformats.org/drawingml/2006/main" xmlns:pic="http://schemas.openxmlformats.org/drawingml/2006/picture">
                  <wp:extent cx="2834640" cy="1587398"/>
                  <wp:docPr id="2" name="Picture 2"/>
                  <wp:cNvGraphicFramePr>
                    <a:graphicFrameLocks noChangeAspect="1"/>
                  </wp:cNvGraphicFramePr>
                  <a:graphic>
                    <a:graphicData uri="http://schemas.openxmlformats.org/drawingml/2006/picture">
                      <pic:pic>
                        <pic:nvPicPr>
                          <pic:cNvPr id="0" name="fig_nearfield_trajectory.png"/>
                          <pic:cNvPicPr/>
                        </pic:nvPicPr>
                        <pic:blipFill>
                          <a:blip r:embed="rId18"/>
                          <a:stretch>
                            <a:fillRect/>
                          </a:stretch>
                        </pic:blipFill>
                        <pic:spPr>
                          <a:xfrm>
                            <a:off x="0" y="0"/>
                            <a:ext cx="2834640" cy="1587398"/>
                          </a:xfrm>
                          <a:prstGeom prst="rect"/>
                        </pic:spPr>
                      </pic:pic>
                    </a:graphicData>
                  </a:graphic>
                </wp:inline>
              </w:drawing>
            </w:r>
          </w:p>
          <w:p>
            <w:pPr>
              <w:jc w:val="center"/>
            </w:pPr>
            <w:r>
              <w:rPr>
                <w:rFonts w:ascii="Calibri" w:hAnsi="Calibri"/>
                <w:i/>
                <w:sz w:val="17"/>
              </w:rPr>
              <w:t>(B) Merged: 8× dilution</w:t>
            </w:r>
          </w:p>
        </w:tc>
      </w:tr>
    </w:tbl>
    <w:p>
      <w:pPr>
        <w:spacing w:after="120"/>
      </w:pPr>
    </w:p>
    <w:p>
      <w:pPr>
        <w:pStyle w:val="Heading1"/>
      </w:pPr>
      <w:r>
        <w:t>4. Far-field comparison (seabed footprint)</w:t>
      </w:r>
    </w:p>
    <w:p>
      <w:pPr>
        <w:spacing w:after="120"/>
      </w:pPr>
      <w:r>
        <w:rPr>
          <w:rFonts w:ascii="Calibri" w:hAnsi="Calibri"/>
          <w:i w:val="0"/>
          <w:sz w:val="22"/>
        </w:rPr>
        <w:t>The seabed maps make the difference vivid. The single-port plume (A) stays below the limit everywhere (no exceedance contour, peak ~2.1 g/kg). The merged plume (B) develops a compact but intense exceedance zone (white dashed contour) with a peak of ~4.4 g/kg over 17812 m². Both are bottom-trapped and steered down-slope, but the merged case carries far more salt to the bed.</w:t>
      </w:r>
    </w:p>
    <w:tbl>
      <w:tblPr>
        <w:tblW w:type="auto" w:w="0"/>
        <w:jc w:val="center"/>
        <w:tblLook w:firstColumn="1" w:firstRow="1" w:lastColumn="0" w:lastRow="0" w:noHBand="0" w:noVBand="1" w:val="04A0"/>
      </w:tblPr>
      <w:tblGrid>
        <w:gridCol w:w="4320"/>
        <w:gridCol w:w="4320"/>
      </w:tblGrid>
      <w:tr>
        <w:tc>
          <w:tcPr>
            <w:tcW w:type="dxa" w:w="4320"/>
          </w:tcPr>
          <w:p>
            <w:pPr>
              <w:jc w:val="center"/>
            </w:pPr>
            <w:r>
              <w:drawing>
                <wp:inline xmlns:a="http://schemas.openxmlformats.org/drawingml/2006/main" xmlns:pic="http://schemas.openxmlformats.org/drawingml/2006/picture">
                  <wp:extent cx="2834640" cy="1587398"/>
                  <wp:docPr id="3" name="Picture 3"/>
                  <wp:cNvGraphicFramePr>
                    <a:graphicFrameLocks noChangeAspect="1"/>
                  </wp:cNvGraphicFramePr>
                  <a:graphic>
                    <a:graphicData uri="http://schemas.openxmlformats.org/drawingml/2006/picture">
                      <pic:pic>
                        <pic:nvPicPr>
                          <pic:cNvPr id="0" name="sp_fig_seabed_excess_map.png"/>
                          <pic:cNvPicPr/>
                        </pic:nvPicPr>
                        <pic:blipFill>
                          <a:blip r:embed="rId10"/>
                          <a:stretch>
                            <a:fillRect/>
                          </a:stretch>
                        </pic:blipFill>
                        <pic:spPr>
                          <a:xfrm>
                            <a:off x="0" y="0"/>
                            <a:ext cx="2834640" cy="1587398"/>
                          </a:xfrm>
                          <a:prstGeom prst="rect"/>
                        </pic:spPr>
                      </pic:pic>
                    </a:graphicData>
                  </a:graphic>
                </wp:inline>
              </w:drawing>
            </w:r>
          </w:p>
          <w:p>
            <w:pPr>
              <w:jc w:val="center"/>
            </w:pPr>
            <w:r>
              <w:rPr>
                <w:rFonts w:ascii="Calibri" w:hAnsi="Calibri"/>
                <w:i/>
                <w:sz w:val="17"/>
              </w:rPr>
              <w:t>(A) Single-port — far field below limit</w:t>
            </w:r>
          </w:p>
        </w:tc>
        <w:tc>
          <w:tcPr>
            <w:tcW w:type="dxa" w:w="4320"/>
          </w:tcPr>
          <w:p>
            <w:pPr>
              <w:jc w:val="center"/>
            </w:pPr>
            <w:r>
              <w:drawing>
                <wp:inline xmlns:a="http://schemas.openxmlformats.org/drawingml/2006/main" xmlns:pic="http://schemas.openxmlformats.org/drawingml/2006/picture">
                  <wp:extent cx="2834640" cy="1587398"/>
                  <wp:docPr id="4" name="Picture 4"/>
                  <wp:cNvGraphicFramePr>
                    <a:graphicFrameLocks noChangeAspect="1"/>
                  </wp:cNvGraphicFramePr>
                  <a:graphic>
                    <a:graphicData uri="http://schemas.openxmlformats.org/drawingml/2006/picture">
                      <pic:pic>
                        <pic:nvPicPr>
                          <pic:cNvPr id="0" name="fig_seabed_excess_map.png"/>
                          <pic:cNvPicPr/>
                        </pic:nvPicPr>
                        <pic:blipFill>
                          <a:blip r:embed="rId19"/>
                          <a:stretch>
                            <a:fillRect/>
                          </a:stretch>
                        </pic:blipFill>
                        <pic:spPr>
                          <a:xfrm>
                            <a:off x="0" y="0"/>
                            <a:ext cx="2834640" cy="1587398"/>
                          </a:xfrm>
                          <a:prstGeom prst="rect"/>
                        </pic:spPr>
                      </pic:pic>
                    </a:graphicData>
                  </a:graphic>
                </wp:inline>
              </w:drawing>
            </w:r>
          </w:p>
          <w:p>
            <w:pPr>
              <w:jc w:val="center"/>
            </w:pPr>
            <w:r>
              <w:rPr>
                <w:rFonts w:ascii="Calibri" w:hAnsi="Calibri"/>
                <w:i/>
                <w:sz w:val="17"/>
              </w:rPr>
              <w:t>(B) Merged — defined exceedance mixing zone</w:t>
            </w:r>
          </w:p>
        </w:tc>
      </w:tr>
    </w:tbl>
    <w:p>
      <w:pPr>
        <w:spacing w:after="120"/>
      </w:pPr>
    </w:p>
    <w:p>
      <w:pPr>
        <w:spacing w:after="120"/>
      </w:pPr>
      <w:r>
        <w:rPr>
          <w:rFonts w:ascii="Calibri" w:hAnsi="Calibri"/>
          <w:i w:val="0"/>
          <w:sz w:val="22"/>
        </w:rPr>
        <w:t>The vertical sections show the same contrast in cross-section: a thin, weak near-bed layer (A) versus a stronger, thicker bottom plume (B).</w:t>
      </w:r>
    </w:p>
    <w:tbl>
      <w:tblPr>
        <w:tblW w:type="auto" w:w="0"/>
        <w:jc w:val="center"/>
        <w:tblLook w:firstColumn="1" w:firstRow="1" w:lastColumn="0" w:lastRow="0" w:noHBand="0" w:noVBand="1" w:val="04A0"/>
      </w:tblPr>
      <w:tblGrid>
        <w:gridCol w:w="4320"/>
        <w:gridCol w:w="4320"/>
      </w:tblGrid>
      <w:tr>
        <w:tc>
          <w:tcPr>
            <w:tcW w:type="dxa" w:w="4320"/>
          </w:tcPr>
          <w:p>
            <w:pPr>
              <w:jc w:val="center"/>
            </w:pPr>
            <w:r>
              <w:drawing>
                <wp:inline xmlns:a="http://schemas.openxmlformats.org/drawingml/2006/main" xmlns:pic="http://schemas.openxmlformats.org/drawingml/2006/picture">
                  <wp:extent cx="2834640" cy="1587398"/>
                  <wp:docPr id="5" name="Picture 5"/>
                  <wp:cNvGraphicFramePr>
                    <a:graphicFrameLocks noChangeAspect="1"/>
                  </wp:cNvGraphicFramePr>
                  <a:graphic>
                    <a:graphicData uri="http://schemas.openxmlformats.org/drawingml/2006/picture">
                      <pic:pic>
                        <pic:nvPicPr>
                          <pic:cNvPr id="0" name="sp_fig_vertical_section.png"/>
                          <pic:cNvPicPr/>
                        </pic:nvPicPr>
                        <pic:blipFill>
                          <a:blip r:embed="rId11"/>
                          <a:stretch>
                            <a:fillRect/>
                          </a:stretch>
                        </pic:blipFill>
                        <pic:spPr>
                          <a:xfrm>
                            <a:off x="0" y="0"/>
                            <a:ext cx="2834640" cy="1587398"/>
                          </a:xfrm>
                          <a:prstGeom prst="rect"/>
                        </pic:spPr>
                      </pic:pic>
                    </a:graphicData>
                  </a:graphic>
                </wp:inline>
              </w:drawing>
            </w:r>
          </w:p>
          <w:p>
            <w:pPr>
              <w:jc w:val="center"/>
            </w:pPr>
            <w:r>
              <w:rPr>
                <w:rFonts w:ascii="Calibri" w:hAnsi="Calibri"/>
                <w:i/>
                <w:sz w:val="17"/>
              </w:rPr>
              <w:t>(A) Single-port vertical section</w:t>
            </w:r>
          </w:p>
        </w:tc>
        <w:tc>
          <w:tcPr>
            <w:tcW w:type="dxa" w:w="4320"/>
          </w:tcPr>
          <w:p>
            <w:pPr>
              <w:jc w:val="center"/>
            </w:pPr>
            <w:r>
              <w:drawing>
                <wp:inline xmlns:a="http://schemas.openxmlformats.org/drawingml/2006/main" xmlns:pic="http://schemas.openxmlformats.org/drawingml/2006/picture">
                  <wp:extent cx="2834640" cy="1587398"/>
                  <wp:docPr id="6" name="Picture 6"/>
                  <wp:cNvGraphicFramePr>
                    <a:graphicFrameLocks noChangeAspect="1"/>
                  </wp:cNvGraphicFramePr>
                  <a:graphic>
                    <a:graphicData uri="http://schemas.openxmlformats.org/drawingml/2006/picture">
                      <pic:pic>
                        <pic:nvPicPr>
                          <pic:cNvPr id="0" name="fig_vertical_section.png"/>
                          <pic:cNvPicPr/>
                        </pic:nvPicPr>
                        <pic:blipFill>
                          <a:blip r:embed="rId20"/>
                          <a:stretch>
                            <a:fillRect/>
                          </a:stretch>
                        </pic:blipFill>
                        <pic:spPr>
                          <a:xfrm>
                            <a:off x="0" y="0"/>
                            <a:ext cx="2834640" cy="1587398"/>
                          </a:xfrm>
                          <a:prstGeom prst="rect"/>
                        </pic:spPr>
                      </pic:pic>
                    </a:graphicData>
                  </a:graphic>
                </wp:inline>
              </w:drawing>
            </w:r>
          </w:p>
          <w:p>
            <w:pPr>
              <w:jc w:val="center"/>
            </w:pPr>
            <w:r>
              <w:rPr>
                <w:rFonts w:ascii="Calibri" w:hAnsi="Calibri"/>
                <w:i/>
                <w:sz w:val="17"/>
              </w:rPr>
              <w:t>(B) Merged vertical section</w:t>
            </w:r>
          </w:p>
        </w:tc>
      </w:tr>
    </w:tbl>
    <w:p>
      <w:pPr>
        <w:spacing w:after="120"/>
      </w:pPr>
    </w:p>
    <w:p>
      <w:pPr>
        <w:pStyle w:val="Heading1"/>
      </w:pPr>
      <w:r>
        <w:t>5. Compliance and risk comparison</w:t>
      </w:r>
    </w:p>
    <w:p>
      <w:pPr>
        <w:spacing w:after="120"/>
      </w:pPr>
      <w:r>
        <w:rPr>
          <w:rFonts w:ascii="Calibri" w:hAnsi="Calibri"/>
          <w:i w:val="0"/>
          <w:sz w:val="22"/>
        </w:rPr>
        <w:t>Against the +2 g/kg consent limit, the two configurations fall on opposite sides of the compliance line: the single-port diffuser produces no meaningful exceedance, whereas the merged diffuser defines a 17812 m² mixing zone with a reach of 167 m that must be assessed against the permitted area. The exceedance maps below show where the limit is reached in each case (the single-port map is a 4-member ensemble probability; the merged map is a single high-resolution realisation chosen for footprint accuracy).</w:t>
      </w:r>
    </w:p>
    <w:tbl>
      <w:tblPr>
        <w:tblW w:type="auto" w:w="0"/>
        <w:jc w:val="center"/>
        <w:tblLook w:firstColumn="1" w:firstRow="1" w:lastColumn="0" w:lastRow="0" w:noHBand="0" w:noVBand="1" w:val="04A0"/>
      </w:tblPr>
      <w:tblGrid>
        <w:gridCol w:w="4320"/>
        <w:gridCol w:w="4320"/>
      </w:tblGrid>
      <w:tr>
        <w:tc>
          <w:tcPr>
            <w:tcW w:type="dxa" w:w="4320"/>
          </w:tcPr>
          <w:p>
            <w:pPr>
              <w:jc w:val="center"/>
            </w:pPr>
            <w:r>
              <w:drawing>
                <wp:inline xmlns:a="http://schemas.openxmlformats.org/drawingml/2006/main" xmlns:pic="http://schemas.openxmlformats.org/drawingml/2006/picture">
                  <wp:extent cx="2834640" cy="1587398"/>
                  <wp:docPr id="7" name="Picture 7"/>
                  <wp:cNvGraphicFramePr>
                    <a:graphicFrameLocks noChangeAspect="1"/>
                  </wp:cNvGraphicFramePr>
                  <a:graphic>
                    <a:graphicData uri="http://schemas.openxmlformats.org/drawingml/2006/picture">
                      <pic:pic>
                        <pic:nvPicPr>
                          <pic:cNvPr id="0" name="sp_fig_exceedance_probability.png"/>
                          <pic:cNvPicPr/>
                        </pic:nvPicPr>
                        <pic:blipFill>
                          <a:blip r:embed="rId17"/>
                          <a:stretch>
                            <a:fillRect/>
                          </a:stretch>
                        </pic:blipFill>
                        <pic:spPr>
                          <a:xfrm>
                            <a:off x="0" y="0"/>
                            <a:ext cx="2834640" cy="1587398"/>
                          </a:xfrm>
                          <a:prstGeom prst="rect"/>
                        </pic:spPr>
                      </pic:pic>
                    </a:graphicData>
                  </a:graphic>
                </wp:inline>
              </w:drawing>
            </w:r>
          </w:p>
          <w:p>
            <w:pPr>
              <w:jc w:val="center"/>
            </w:pPr>
            <w:r>
              <w:rPr>
                <w:rFonts w:ascii="Calibri" w:hAnsi="Calibri"/>
                <w:i/>
                <w:sz w:val="17"/>
              </w:rPr>
              <w:t>(A) Single-port exceedance (probability)</w:t>
            </w:r>
          </w:p>
        </w:tc>
        <w:tc>
          <w:tcPr>
            <w:tcW w:type="dxa" w:w="4320"/>
          </w:tcPr>
          <w:p>
            <w:pPr>
              <w:jc w:val="center"/>
            </w:pPr>
            <w:r>
              <w:drawing>
                <wp:inline xmlns:a="http://schemas.openxmlformats.org/drawingml/2006/main" xmlns:pic="http://schemas.openxmlformats.org/drawingml/2006/picture">
                  <wp:extent cx="2834640" cy="1587398"/>
                  <wp:docPr id="8" name="Picture 8"/>
                  <wp:cNvGraphicFramePr>
                    <a:graphicFrameLocks noChangeAspect="1"/>
                  </wp:cNvGraphicFramePr>
                  <a:graphic>
                    <a:graphicData uri="http://schemas.openxmlformats.org/drawingml/2006/picture">
                      <pic:pic>
                        <pic:nvPicPr>
                          <pic:cNvPr id="0" name="fig_exceedance_probability.png"/>
                          <pic:cNvPicPr/>
                        </pic:nvPicPr>
                        <pic:blipFill>
                          <a:blip r:embed="rId26"/>
                          <a:stretch>
                            <a:fillRect/>
                          </a:stretch>
                        </pic:blipFill>
                        <pic:spPr>
                          <a:xfrm>
                            <a:off x="0" y="0"/>
                            <a:ext cx="2834640" cy="1587398"/>
                          </a:xfrm>
                          <a:prstGeom prst="rect"/>
                        </pic:spPr>
                      </pic:pic>
                    </a:graphicData>
                  </a:graphic>
                </wp:inline>
              </w:drawing>
            </w:r>
          </w:p>
          <w:p>
            <w:pPr>
              <w:jc w:val="center"/>
            </w:pPr>
            <w:r>
              <w:rPr>
                <w:rFonts w:ascii="Calibri" w:hAnsi="Calibri"/>
                <w:i/>
                <w:sz w:val="17"/>
              </w:rPr>
              <w:t>(B) Merged exceedance (indicator)</w:t>
            </w:r>
          </w:p>
        </w:tc>
      </w:tr>
    </w:tbl>
    <w:p>
      <w:pPr>
        <w:spacing w:after="120"/>
      </w:pPr>
    </w:p>
    <w:p>
      <w:pPr>
        <w:pStyle w:val="Heading1"/>
      </w:pPr>
      <w:r>
        <w:t>6. Trustworthiness of the comparison</w:t>
      </w:r>
    </w:p>
    <w:p>
      <w:pPr>
        <w:spacing w:after="120"/>
      </w:pPr>
      <w:r>
        <w:rPr>
          <w:rFonts w:ascii="Calibri" w:hAnsi="Calibri"/>
          <w:i w:val="0"/>
          <w:sz w:val="22"/>
        </w:rPr>
        <w:t>Two methodological points support the comparison:</w:t>
      </w:r>
    </w:p>
    <w:p>
      <w:pPr>
        <w:pStyle w:val="ListBullet"/>
        <w:spacing w:after="40"/>
      </w:pPr>
      <w:r>
        <w:rPr>
          <w:rFonts w:ascii="Calibri" w:hAnsi="Calibri"/>
          <w:sz w:val="22"/>
        </w:rPr>
        <w:t>Grid-convergence: a three-grid check confirmed the far-field PEAK excess is grid-independent (4.44 → 4.45 → 4.45 g/kg across a 4× cell-count range). The single-port peak (~2.1 g/kg) is likewise grid-independent, and its footprint is ≈0 on any grid because it is marginal/compliant. The dramatic footprint difference (0 vs 17812 m²) therefore reflects the MERGING physics, not the mesh.</w:t>
      </w:r>
    </w:p>
    <w:p>
      <w:pPr>
        <w:pStyle w:val="ListBullet"/>
        <w:spacing w:after="40"/>
      </w:pPr>
      <w:r>
        <w:rPr>
          <w:rFonts w:ascii="Calibri" w:hAnsi="Calibri"/>
          <w:sz w:val="22"/>
        </w:rPr>
        <w:t>Run settings: the single-port run used a 56×38×24 grid with a 4-member ensemble; the merged run used a finer 64×42×28 grid as a single high-resolution realisation (for an accurate footprint). Because the peak excess is grid-independent and the single-port footprint is ~0 regardless, these differences do not affect the conclusion — they only mean the single-port case additionally carries a probabilistic risk map, while the merged case carries the more accurate footprint.</w:t>
      </w:r>
    </w:p>
    <w:p>
      <w:pPr>
        <w:spacing w:after="120"/>
      </w:pPr>
      <w:r>
        <w:rPr>
          <w:rFonts w:ascii="Calibri" w:hAnsi="Calibri"/>
          <w:i w:val="0"/>
          <w:sz w:val="22"/>
        </w:rPr>
        <w:t>Both runs share the validated near-field correlations, the same coupled PDE far-field solver, the same passing self-test, and the same documented limitations (the merging factor is an engineering estimate; the far field is not yet field-validated). Confidence is HIGH in the DIRECTION and approximate MAGNITUDE of the difference, and MODERATE in the precise merged footprint pending site monitoring.</w:t>
      </w:r>
    </w:p>
    <w:p>
      <w:pPr>
        <w:pStyle w:val="Heading1"/>
      </w:pPr>
      <w:r>
        <w:t>7. Engineering implications and recommendations</w:t>
      </w:r>
    </w:p>
    <w:p>
      <w:pPr>
        <w:pStyle w:val="ListNumber"/>
        <w:spacing w:after="40"/>
      </w:pPr>
      <w:r>
        <w:rPr>
          <w:rFonts w:ascii="Calibri" w:hAnsi="Calibri"/>
          <w:sz w:val="22"/>
        </w:rPr>
        <w:t>Port spacing is a first-order design control for brine outfalls — at least as important as port angle and velocity. Specifying ports that are too closely spaced can silently forfeit most of the diffuser's dilution and create a regulatory mixing zone where none was intended.</w:t>
      </w:r>
    </w:p>
    <w:p>
      <w:pPr>
        <w:pStyle w:val="ListNumber"/>
        <w:spacing w:after="40"/>
      </w:pPr>
      <w:r>
        <w:rPr>
          <w:rFonts w:ascii="Calibri" w:hAnsi="Calibri"/>
          <w:sz w:val="22"/>
        </w:rPr>
        <w:t>Because the response is strongly non-linear near the regulatory threshold, designs should target a dilution comfortably ABOVE the compliance point, not marginally at it — the single-port case shows how little margin a marginal design has.</w:t>
      </w:r>
    </w:p>
    <w:p>
      <w:pPr>
        <w:pStyle w:val="ListNumber"/>
        <w:spacing w:after="40"/>
      </w:pPr>
      <w:r>
        <w:rPr>
          <w:rFonts w:ascii="Calibri" w:hAnsi="Calibri"/>
          <w:sz w:val="22"/>
        </w:rPr>
        <w:t>For this outfall: verify (and if necessary increase) the actual port spacing so the operating condition stays nearer the independent-jet (A) behaviour than the merged (B) behaviour.</w:t>
      </w:r>
    </w:p>
    <w:p>
      <w:pPr>
        <w:pStyle w:val="ListNumber"/>
        <w:spacing w:after="40"/>
      </w:pPr>
      <w:r>
        <w:rPr>
          <w:rFonts w:ascii="Calibri" w:hAnsi="Calibri"/>
          <w:sz w:val="22"/>
        </w:rPr>
        <w:t>Confirm the merging factor and the resulting far-field footprint with a dedicated near-field study (physical model or high-resolution CFD) and a post-commissioning CTD/ADCP survey before final sign-off.</w:t>
      </w:r>
    </w:p>
    <w:p>
      <w:pPr>
        <w:pStyle w:val="Heading1"/>
      </w:pPr>
      <w:r>
        <w:t>8. Conclusion</w:t>
      </w:r>
    </w:p>
    <w:p>
      <w:pPr>
        <w:spacing w:after="120"/>
      </w:pPr>
      <w:r>
        <w:rPr>
          <w:rFonts w:ascii="Calibri" w:hAnsi="Calibri"/>
          <w:i w:val="0"/>
          <w:sz w:val="22"/>
        </w:rPr>
        <w:t>The two simulations, identical in every respect except diffuser port spacing, bracket the performance envelope of the outfall. With independent jets the discharge is an efficient, essentially-compliant design (19× dilution, ≈0 m² footprint). With merged jets the dilution falls to 8×, the seabed brine more than doubles in excess salinity, and a 17812 m² mixing zone with a 167 m reach appears. The comparison demonstrates, quantitatively and with a grid-converged far field, that whether this outfall is compliant hinges on keeping its diffuser ports far enough apart to avoid plume merging — the single most actionable finding of the study.</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