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3D5C"/>
        </w:rPr>
        <w:t>NEREID-B Simulation Output Report</w:t>
      </w:r>
    </w:p>
    <w:p>
      <w:pPr>
        <w:spacing w:after="120"/>
      </w:pPr>
      <w:r>
        <w:rPr>
          <w:rFonts w:ascii="Calibri" w:hAnsi="Calibri"/>
          <w:b/>
          <w:i w:val="0"/>
          <w:color w:val="0B3D5C"/>
          <w:sz w:val="24"/>
        </w:rPr>
        <w:t>Brine-dispersion prediction — Sydney Desalination Plant offshore submerged diffuser (Kurnell, NSW). Complete simulation-output dossier: every CSV plotted as a line graph, derived engineering graphs, only-where-necessary charts, metrics tables and the solver figure suite.</w:t>
      </w:r>
    </w:p>
    <w:p>
      <w:pPr>
        <w:spacing w:after="120"/>
      </w:pPr>
      <w:r>
        <w:rPr>
          <w:rFonts w:ascii="Calibri" w:hAnsi="Calibri"/>
          <w:b w:val="0"/>
          <w:i/>
          <w:sz w:val="20"/>
        </w:rPr>
        <w:t>Generated from the case-study run (solver.py Rev 2.0 + 6/sydney_case_input.json). Companion documents: 6/case_study.docx (interpretation) and 6/model.docx (governing PDEs).</w:t>
      </w:r>
    </w:p>
    <w:p>
      <w:pPr>
        <w:pStyle w:val="Heading1"/>
      </w:pPr>
      <w:r>
        <w:rPr>
          <w:rFonts w:ascii="Calibri" w:hAnsi="Calibri"/>
          <w:color w:val="0B3D5C"/>
        </w:rPr>
        <w:t>1.  Prediction at a glance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Quantity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18"/>
              </w:rPr>
              <w:t>Unit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Discharge salinity S₀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67.0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Ambient salinity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35.4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Grid (nx×ny×nz) / dz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52×32×26 / 0.96 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Near-field return dilution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37.9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:1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Near-field terminal rise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6.4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Peak salinity S_max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36.43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Max excess ΔS_max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0.99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g/kg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Horizontal reach r_max (&gt;ΔS_crit)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64.8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Seabed footprint &gt; 0.5 g/kg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5127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m²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Affected water volume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55085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m³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Dense-layer deepest impact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24.5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 below surface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Final divergence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7.29e-16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Mass imbalance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1.47e-16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Interpretation: against the conservative sub-lethal assessment contour ΔS = 0.5 g/kg, the negatively-buoyant brine forms a bottom-trapped plume with peak excess ≈ 0.99 g/kg and a seabed footprint of ≈ 5127 m² (reach ≈ 65 m). NEREID-B under-predicts dilution (over-predicts impact), so the footprint is a conservative bound; full interpretation in 6/case_study.docx.</w:t>
      </w:r>
    </w:p>
    <w:p>
      <w:pPr>
        <w:pStyle w:val="Heading1"/>
      </w:pPr>
      <w:r>
        <w:rPr>
          <w:rFonts w:ascii="Calibri" w:hAnsi="Calibri"/>
          <w:color w:val="0B3D5C"/>
        </w:rPr>
        <w:t>2.  Line graphs of every output CSV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Each CSV written by the solver is plotted as line graphs; every numeric column appears.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2.1  metrics_timeseries.csv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3408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imeseri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40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A (graph). All scalar metrics vs time (S_max, ΔS_max, dilution, reach, footprint, deepest impact, timestep, divergence). Flat traces confirm a steady, drift-free quasi-equilibrium plume; divergence stays at machine precision.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2.2  curve_centerline.csv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106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center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B (graph). Centreline excess salinity, brine dilution (log axis) and plume-core depth vs distance; dashed lines mark the 0.5 g/kg contour and the near-field return dilution.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2.3  curve_vertical_profile.csv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800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vertical_prof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00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C (graph). Vertical profiles of salinity, excess, density and temperature at the plume-core column, showing the bottom-trapped dense layer.</w:t>
      </w:r>
    </w:p>
    <w:p>
      <w:pPr>
        <w:pStyle w:val="Heading1"/>
      </w:pPr>
      <w:r>
        <w:rPr>
          <w:rFonts w:ascii="Calibri" w:hAnsi="Calibri"/>
          <w:color w:val="0B3D5C"/>
        </w:rPr>
        <w:t>3.  Derived engineering graphs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7797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footprint_vs_threshol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9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D (graph). Seabed area exceeding a salinity threshold as a continuous function of the threshold — the cumulative-exceedance curve that drives the choice of compliance contour; the 0.5 g/kg point is marked.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334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ercentile_ba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E (graph). Seabed excess-salinity 5–95% uncertainty band and median along the diffuser axis vs the 0.5 g/kg contour (Monte-Carlo ensemble).</w:t>
      </w:r>
    </w:p>
    <w:p>
      <w:pPr>
        <w:pStyle w:val="Heading1"/>
      </w:pPr>
      <w:r>
        <w:rPr>
          <w:rFonts w:ascii="Calibri" w:hAnsi="Calibri"/>
          <w:color w:val="0B3D5C"/>
        </w:rPr>
        <w:t>4.  Charts (only where a graph cannot represent the data)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0216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eabed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2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F (chart/histogram). Distribution of seabed excess salinity and brine dilution across all seabed cells — a histogram is the correct representation of a population distribution.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71063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ensemble_ma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G (chart/spatial maps). Monte-Carlo ensemble seabed statistics: mean excess, standard deviation and exceedance probability — 2-D fields require spatial maps.</w:t>
      </w:r>
    </w:p>
    <w:p>
      <w:pPr>
        <w:pStyle w:val="Heading1"/>
      </w:pPr>
      <w:r>
        <w:rPr>
          <w:rFonts w:ascii="Calibri" w:hAnsi="Calibri"/>
          <w:color w:val="0B3D5C"/>
        </w:rPr>
        <w:t>5.  Solver figure suite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excess_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H. Seabed excess-salinity map (plan view).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ertical_sec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I. Vertical section of excess salinity along the plume.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enterline_dilu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J. Centreline dilution (solver).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alinity_dec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K. Excess-salinity decay with distance (solver).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xceedance_probabi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L. Exceedance-probability map (ensemble).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abed_curren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M. Near-bed current field.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7721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earfield_trajecto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77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/>
          <w:i/>
          <w:color w:val="444444"/>
          <w:sz w:val="19"/>
        </w:rPr>
        <w:t>Figure N. Near-field dense-jet trajectory.</w:t>
      </w:r>
    </w:p>
    <w:p>
      <w:pPr>
        <w:pStyle w:val="Heading1"/>
      </w:pPr>
      <w:r>
        <w:rPr>
          <w:rFonts w:ascii="Calibri" w:hAnsi="Calibri"/>
          <w:color w:val="0B3D5C"/>
        </w:rPr>
        <w:t>6.  Output data tables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>6.1  Centreline curve (curve_centerline.csv)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distance_m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excess_gkg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dilution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8"/>
              </w:rPr>
              <w:t>core_depth_m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-37.578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0.023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1361.139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23.558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-26.039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0.459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68.500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22.596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-14.501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0.905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34.796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12.981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-2.962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0.971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32.490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6.250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8.576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0.987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31.984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3.365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20.115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0.905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34.833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10.096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31.653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0.810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38.803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23.558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43.192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0.745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42.174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54.730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0.570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55.139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66.269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0.357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87.932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77.807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0.384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81.882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89.346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0.380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82.608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100.884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0.168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187.299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112.422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0.155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203.435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13.942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123.961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0.135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232.509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23.558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135.499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0.109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288.879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147.038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0.119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265.870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158.576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0.133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237.914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170.115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0.123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256.872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181.653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0.117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269.329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193.192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281.556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204.730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0.112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281.383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216.269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275.421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227.807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0.104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302.556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239.346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0.005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6448.069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6.2  Vertical profile (curve_vertical_profile.csv)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depth_m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salinity_gkg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excess_gkg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density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18"/>
              </w:rPr>
              <w:t>Tdeg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23.558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22.596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0.848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21.635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0.856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20.673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0.864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19.712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0.871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18.750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0.879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17.788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0.887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16.827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0.894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15.865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0.902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14.904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0.910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13.942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0.917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12.981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0.925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12.019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0.933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11.058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10.096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0.948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9.135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0.956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8.173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0.963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7.212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0.971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1026.376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6.250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0.977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5.288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36.424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0.982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18.106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4.327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36.418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0.984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1026.372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18.108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3.365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36.407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0.980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1026.364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18.119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2.404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36.389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0.969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1026.343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18.150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1.442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36.365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0.953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1026.312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18.203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0.481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36.344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0.940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1026.285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18"/>
              </w:rPr>
              <w:t>18.250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 w:val="0"/>
          <w:sz w:val="22"/>
        </w:rPr>
        <w:t>6.3  Time series (metrics_timeseries.csv)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t_s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dt_s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S_max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excess_max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r_max_m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z_deepest_m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seabed_footprint_m2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dilution_min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b/>
                <w:sz w:val="18"/>
              </w:rPr>
              <w:t>max_divergence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35.776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0.188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166.759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2.69e-15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0.982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26.488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23.558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2076.920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32.153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1.20e-16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0.997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30.899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23.558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2661.060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31.654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1.62e-16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1.003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38.223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23.558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3548.080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31.475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1.56e-16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80.100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1.012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47.656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23.558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4088.940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31.205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1.63e-16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100.100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1.016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57.098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5040.870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31.109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1.67e-16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120.100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1.011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63.740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5949.520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31.241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2.78e-16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140.100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1.004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70.428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6620.190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31.480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4.10e-16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160.100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0.998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78.886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7052.880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31.668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4.36e-16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180.100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0.997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88.047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6793.270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31.677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5.67e-16</w:t>
            </w:r>
          </w:p>
        </w:tc>
      </w:tr>
      <w:tr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200.100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0.084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36.429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0.999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95.824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24.519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6100.960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31.637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7.29e-16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B3D5C"/>
        </w:rPr>
        <w:t>7.  Full metric set (metrics_summary.json)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36.429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excess_max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0.987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dilution_min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31.984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footprint_resolution_m2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21.635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reach_resolution_m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5.769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depth_resolution_m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0.962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r_max_m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64.798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z_deepest_m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24.519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plume_top_m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0.481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seabed_footprint_m2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5127.498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affected_volume_m3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55085.059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plume_rise_m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22.831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return_point_dist_m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63.336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seabed_footprint_m2_cellcount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5170.673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r_max_m_cellcount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63.336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Fr_d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24.308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n_ensemble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max_exceedance_prob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nf_rise_m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6.417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nf_rise_ratio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2.200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nf_return_dist_m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7.001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nf_return_dilution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37.879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nf_merge_factor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0.974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nf_n_ports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72.000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near_field_coupling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divergence_final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7.29e-16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divergence_max_over_run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2.69e-15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divergence_drift_ratio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0.271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nut_cap_fraction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k_cap_fraction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mass_imbalance_final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1.47e-16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eta_min_m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eta_absmax_m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exceedance_is_probability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True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S_std_max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0.411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excess_p95_max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0.997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ensemble_meanmax_drift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vprofile_x_m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54.808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vprofile_y_m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58.125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/>
          <w:color w:val="0B3D5C"/>
        </w:rPr>
        <w:t>8.  Input deck (sydney_case_input.json)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7"/>
              </w:rPr>
              <w:t>value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67.000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T_b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22.000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Q_d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0.045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d_p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0.120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theta_deg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60.000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n_ports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72.000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port_spacing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S_amb_surf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35.400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S_amb_bot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35.600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T_amb_surf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21.000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T_amb_bot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18.000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U_current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0.120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tide_amp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0.040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Hs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1.500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Tw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8.000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wind10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7.000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latitude_deg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-34.000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depth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25.000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Lx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300.000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Ly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120.000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nx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52.000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ny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32.000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nz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26.000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t_end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200.000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ensemble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2.000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dS_crit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0.500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near_field_coupling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free_surface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0.000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stoch_enable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  <w:t>1.000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17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p>
      <w:pPr>
        <w:spacing w:after="120"/>
      </w:pPr>
      <w:r>
        <w:rPr>
          <w:rFonts w:ascii="Calibri" w:hAnsi="Calibri"/>
          <w:b w:val="0"/>
          <w:i/>
          <w:color w:val="0B3D5C"/>
          <w:sz w:val="18"/>
        </w:rPr>
        <w:t>All artifacts (CSVs, line-graph plots plot_*.png, derived graphs, charts, solver figures fig_*.png, metrics_summary.json, fields_final.npz, ensemble_stats.npz, run.log, input deck) reside in folder 6/. Companion documents: 6/case_study.docx (engineering interpretation), 6/model.docx (governing PDEs).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