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i w:val="0"/>
          <w:color w:val="0B3D5C"/>
          <w:sz w:val="44"/>
        </w:rPr>
        <w:t>MARINE OUTFALL DRAWING SET</w:t>
      </w:r>
    </w:p>
    <w:p>
      <w:pPr>
        <w:spacing w:after="40"/>
        <w:jc w:val="center"/>
      </w:pPr>
      <w:r>
        <w:rPr>
          <w:rFonts w:ascii="Calibri" w:hAnsi="Calibri"/>
          <w:b/>
          <w:i w:val="0"/>
          <w:sz w:val="26"/>
        </w:rPr>
        <w:t>Sydney Desalination Plant (Kurnell, NSW) — Offshore Submerged Multiport Brine Diffuser</w:t>
      </w:r>
    </w:p>
    <w:p>
      <w:pPr>
        <w:spacing w:after="40"/>
        <w:jc w:val="center"/>
      </w:pPr>
      <w:r>
        <w:rPr>
          <w:rFonts w:ascii="Calibri" w:hAnsi="Calibri"/>
          <w:b w:val="0"/>
          <w:i/>
          <w:sz w:val="21"/>
        </w:rPr>
        <w:t>Tasman-Shelf Outfall · Derived from the NEREID-B Coupled Stochastic-PDE Brine-Dispersion Simulation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sz w:val="21"/>
        </w:rPr>
        <w:t>A.S. Onyejekwe — Environmental Fluid Mechanics &amp; Computational Modelling</w:t>
      </w:r>
    </w:p>
    <w:p>
      <w:pPr>
        <w:spacing w:after="200"/>
        <w:jc w:val="center"/>
      </w:pPr>
      <w:r>
        <w:rPr>
          <w:rFonts w:ascii="Calibri" w:hAnsi="Calibri"/>
          <w:b w:val="0"/>
          <w:i w:val="0"/>
          <w:color w:val="444444"/>
          <w:sz w:val="20"/>
        </w:rPr>
        <w:t>Issued for Design · Rev 0 · 2026-06-18</w:t>
      </w:r>
    </w:p>
    <w:p>
      <w:pPr>
        <w:pStyle w:val="Heading2"/>
      </w:pPr>
      <w:r>
        <w:rPr>
          <w:rFonts w:ascii="Calibri" w:hAnsi="Calibri"/>
          <w:color w:val="0B3D5C"/>
        </w:rPr>
        <w:t>Drawing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rFonts w:ascii="Calibri" w:hAnsi="Calibri"/>
                <w:b/>
                <w:sz w:val="21"/>
              </w:rPr>
              <w:t>Drawing No.</w:t>
            </w:r>
          </w:p>
        </w:tc>
        <w:tc>
          <w:tcPr>
            <w:tcW w:type="dxa" w:w="5227"/>
          </w:tcPr>
          <w:p>
            <w:r>
              <w:rPr>
                <w:rFonts w:ascii="Calibri" w:hAnsi="Calibri"/>
                <w:b/>
                <w:sz w:val="21"/>
              </w:rPr>
              <w:t>Title</w:t>
            </w:r>
          </w:p>
        </w:tc>
        <w:tc>
          <w:tcPr>
            <w:tcW w:type="dxa" w:w="5227"/>
          </w:tcPr>
          <w:p>
            <w:r>
              <w:rPr>
                <w:rFonts w:ascii="Calibri" w:hAnsi="Calibri"/>
                <w:b/>
                <w:sz w:val="21"/>
              </w:rPr>
              <w:t>Scale (A3)</w:t>
            </w:r>
          </w:p>
        </w:tc>
      </w:tr>
      <w:tr>
        <w:tc>
          <w:tcPr>
            <w:tcW w:type="dxa" w:w="5227"/>
          </w:tcPr>
          <w:p>
            <w:r>
              <w:rPr>
                <w:rFonts w:ascii="Calibri" w:hAnsi="Calibri"/>
                <w:sz w:val="20"/>
              </w:rPr>
              <w:t>SDP-MO-001</w:t>
            </w:r>
          </w:p>
        </w:tc>
        <w:tc>
          <w:tcPr>
            <w:tcW w:type="dxa" w:w="5227"/>
          </w:tcPr>
          <w:p>
            <w:r>
              <w:rPr>
                <w:rFonts w:ascii="Calibri" w:hAnsi="Calibri"/>
                <w:sz w:val="20"/>
              </w:rPr>
              <w:t>Marine Outfall — General Layout (schematic long-section)</w:t>
            </w:r>
          </w:p>
        </w:tc>
        <w:tc>
          <w:tcPr>
            <w:tcW w:type="dxa" w:w="5227"/>
          </w:tcPr>
          <w:p>
            <w:r>
              <w:rPr>
                <w:rFonts w:ascii="Calibri" w:hAnsi="Calibri"/>
                <w:sz w:val="20"/>
              </w:rPr>
              <w:t>NTS</w:t>
            </w:r>
          </w:p>
        </w:tc>
      </w:tr>
      <w:tr>
        <w:tc>
          <w:tcPr>
            <w:tcW w:type="dxa" w:w="5227"/>
          </w:tcPr>
          <w:p>
            <w:r>
              <w:rPr>
                <w:rFonts w:ascii="Calibri" w:hAnsi="Calibri"/>
                <w:sz w:val="20"/>
              </w:rPr>
              <w:t>SDP-MO-002</w:t>
            </w:r>
          </w:p>
        </w:tc>
        <w:tc>
          <w:tcPr>
            <w:tcW w:type="dxa" w:w="5227"/>
          </w:tcPr>
          <w:p>
            <w:r>
              <w:rPr>
                <w:rFonts w:ascii="Calibri" w:hAnsi="Calibri"/>
                <w:sz w:val="20"/>
              </w:rPr>
              <w:t>Outfall Pipeline Layout — plan &amp; longitudinal profile</w:t>
            </w:r>
          </w:p>
        </w:tc>
        <w:tc>
          <w:tcPr>
            <w:tcW w:type="dxa" w:w="5227"/>
          </w:tcPr>
          <w:p>
            <w:r>
              <w:rPr>
                <w:rFonts w:ascii="Calibri" w:hAnsi="Calibri"/>
                <w:sz w:val="20"/>
              </w:rPr>
              <w:t>As shown</w:t>
            </w:r>
          </w:p>
        </w:tc>
      </w:tr>
      <w:tr>
        <w:tc>
          <w:tcPr>
            <w:tcW w:type="dxa" w:w="5227"/>
          </w:tcPr>
          <w:p>
            <w:r>
              <w:rPr>
                <w:rFonts w:ascii="Calibri" w:hAnsi="Calibri"/>
                <w:sz w:val="20"/>
              </w:rPr>
              <w:t>SDP-MO-003</w:t>
            </w:r>
          </w:p>
        </w:tc>
        <w:tc>
          <w:tcPr>
            <w:tcW w:type="dxa" w:w="5227"/>
          </w:tcPr>
          <w:p>
            <w:r>
              <w:rPr>
                <w:rFonts w:ascii="Calibri" w:hAnsi="Calibri"/>
                <w:sz w:val="20"/>
              </w:rPr>
              <w:t>Outfall Diffuser — general details (plan, section, nozzle)</w:t>
            </w:r>
          </w:p>
        </w:tc>
        <w:tc>
          <w:tcPr>
            <w:tcW w:type="dxa" w:w="5227"/>
          </w:tcPr>
          <w:p>
            <w:r>
              <w:rPr>
                <w:rFonts w:ascii="Calibri" w:hAnsi="Calibri"/>
                <w:sz w:val="20"/>
              </w:rPr>
              <w:t>As shown</w:t>
            </w:r>
          </w:p>
        </w:tc>
      </w:tr>
      <w:tr>
        <w:tc>
          <w:tcPr>
            <w:tcW w:type="dxa" w:w="5227"/>
          </w:tcPr>
          <w:p>
            <w:r>
              <w:rPr>
                <w:rFonts w:ascii="Calibri" w:hAnsi="Calibri"/>
                <w:sz w:val="20"/>
              </w:rPr>
              <w:t>SDP-MO-004</w:t>
            </w:r>
          </w:p>
        </w:tc>
        <w:tc>
          <w:tcPr>
            <w:tcW w:type="dxa" w:w="5227"/>
          </w:tcPr>
          <w:p>
            <w:r>
              <w:rPr>
                <w:rFonts w:ascii="Calibri" w:hAnsi="Calibri"/>
                <w:sz w:val="20"/>
              </w:rPr>
              <w:t>Brine Dispersion Diagram — environmental assessment</w:t>
            </w:r>
          </w:p>
        </w:tc>
        <w:tc>
          <w:tcPr>
            <w:tcW w:type="dxa" w:w="5227"/>
          </w:tcPr>
          <w:p>
            <w:r>
              <w:rPr>
                <w:rFonts w:ascii="Calibri" w:hAnsi="Calibri"/>
                <w:sz w:val="20"/>
              </w:rPr>
              <w:t>As shown</w:t>
            </w:r>
          </w:p>
        </w:tc>
      </w:tr>
      <w:tr>
        <w:tc>
          <w:tcPr>
            <w:tcW w:type="dxa" w:w="5227"/>
          </w:tcPr>
          <w:p>
            <w:r>
              <w:rPr>
                <w:rFonts w:ascii="Calibri" w:hAnsi="Calibri"/>
                <w:sz w:val="20"/>
              </w:rPr>
              <w:t>SDP-MO-005</w:t>
            </w:r>
          </w:p>
        </w:tc>
        <w:tc>
          <w:tcPr>
            <w:tcW w:type="dxa" w:w="5227"/>
          </w:tcPr>
          <w:p>
            <w:r>
              <w:rPr>
                <w:rFonts w:ascii="Calibri" w:hAnsi="Calibri"/>
                <w:sz w:val="20"/>
              </w:rPr>
              <w:t>Marine Outfall — General Arrangement (GA)</w:t>
            </w:r>
          </w:p>
        </w:tc>
        <w:tc>
          <w:tcPr>
            <w:tcW w:type="dxa" w:w="5227"/>
          </w:tcPr>
          <w:p>
            <w:r>
              <w:rPr>
                <w:rFonts w:ascii="Calibri" w:hAnsi="Calibri"/>
                <w:sz w:val="20"/>
              </w:rPr>
              <w:t>As shown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sz w:val="22"/>
        </w:rPr>
      </w:r>
    </w:p>
    <w:p>
      <w:pPr>
        <w:pStyle w:val="Heading2"/>
      </w:pPr>
      <w:r>
        <w:rPr>
          <w:rFonts w:ascii="Calibri" w:hAnsi="Calibri"/>
          <w:color w:val="0B3D5C"/>
        </w:rPr>
        <w:t>Design Basis &amp; Notes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Source: dimensions and predicted dispersion metrics are taken from the project report (6/report.docx) and the NEREID-B simulation outputs (6/metrics_summary.json, 6/sydney_case_input.json) for the Sydney Desalination Plant offshore diffuser.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Discharge: SWRO product 250 ML/d (expandable to 500 ML/d), recovery ≈47%; concentrate ≈3.26 m³/s at S₀=67 g/kg and 22 °C into a 35.4–35.6 g/kg ambient.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Diffuser: 72 circular ports of 120 mm diameter at 5.0 m centres (deployed length ≈355 m), nozzle invert 1.0 m above seabed at 60° elevation, per-port flow 0.0453 m³/s, exit velocity ≈4.01 m/s, densimetric Froude number ≈24.3, in 25 m water.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Predicted performance: near-field return dilution ≈38:1, terminal rise 6.4 m, peak excess ΔS_max 0.99 g/kg, horizontal reach (ΔS&gt;0.5 g/kg) ≈65 m, seabed footprint ≈5127 m², affected volume ≈55085 m³.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Status: the per-port nozzle geometry is a representative deep-diffuser configuration consistent with the public design basis (60° inclined dense jet); figures are indicative and conservative. NOT FOR CONSTRUCTION — a site CTD/ADCP survey is required to calibrate absolute values.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Convention: levels in metres relative to Mean Sea Level (RL 0.000); dimensions in metres unless noted otherwise; drawings sized for ISO A3.</w:t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53070" cy="63286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wg_01_gen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53070" cy="6328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/>
        <w:jc w:val="center"/>
      </w:pPr>
      <w:r>
        <w:rPr>
          <w:rFonts w:ascii="Calibri" w:hAnsi="Calibri"/>
          <w:i/>
          <w:color w:val="444444"/>
          <w:sz w:val="19"/>
        </w:rPr>
        <w:t>Drawing SDP-MO-001 — Marine Outfall General Layout.</w:t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53070" cy="63286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wg_02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53070" cy="6328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/>
        <w:jc w:val="center"/>
      </w:pPr>
      <w:r>
        <w:rPr>
          <w:rFonts w:ascii="Calibri" w:hAnsi="Calibri"/>
          <w:i/>
          <w:color w:val="444444"/>
          <w:sz w:val="19"/>
        </w:rPr>
        <w:t>Drawing SDP-MO-002 — Outfall Pipeline Layout (plan and longitudinal profile).</w:t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53070" cy="63286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wg_03_diffus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53070" cy="6328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/>
        <w:jc w:val="center"/>
      </w:pPr>
      <w:r>
        <w:rPr>
          <w:rFonts w:ascii="Calibri" w:hAnsi="Calibri"/>
          <w:i/>
          <w:color w:val="444444"/>
          <w:sz w:val="19"/>
        </w:rPr>
        <w:t>Drawing SDP-MO-003 — Outfall Diffuser General Details.</w:t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53070" cy="63286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wg_04_disper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53070" cy="6328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/>
        <w:jc w:val="center"/>
      </w:pPr>
      <w:r>
        <w:rPr>
          <w:rFonts w:ascii="Calibri" w:hAnsi="Calibri"/>
          <w:i/>
          <w:color w:val="444444"/>
          <w:sz w:val="19"/>
        </w:rPr>
        <w:t>Drawing SDP-MO-004 — Brine Dispersion Diagram (environmental assessment).</w:t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53070" cy="63286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wg_05_g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53070" cy="6328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/>
        <w:jc w:val="center"/>
      </w:pPr>
      <w:r>
        <w:rPr>
          <w:rFonts w:ascii="Calibri" w:hAnsi="Calibri"/>
          <w:i/>
          <w:color w:val="444444"/>
          <w:sz w:val="19"/>
        </w:rPr>
        <w:t>Drawing SDP-MO-005 — Marine Outfall General Arrangement.</w:t>
      </w:r>
    </w:p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