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at the numerics/PDE level (lock-exchange front Froude number; 13/13 invariant self-tests). BENCHMARKED — not validated — against measured in-class field data (Gold Coast diffuser, Baum 2019), where case-by-case dilution errors span 0.35× to 3.4×. The far field is UNCALIBRATED: the dispersivity multiplier is unidentifiable from mixing-zone data (a four-fold sweep moves the observable by &lt;3.5%) and remains at its physical default of 1.0 — a default, not a fit. Screening-grade. Read §1.1 and §10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is UNCALIBRATED — the dispersivity multiplier cannot be identified from mixing-zone data (§10) and no CTD/ADCP survey exists at Kurnell. The model chain is VALIDATED at the numerics/PDE level (lock-exchange front Froude number; 13/13 invariant self-tests), reproduces the Roberts (1997) dense-jet laboratory scaling, and is BENCHMARKED against the measured in-class Gold Coast field dataset (Baum 2019), where its case-by-case dilution error spans 0.35× to 3.4× (§10). It is a screening-grade tool.</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33:1.</w:t>
      </w:r>
    </w:p>
    <w:p>
      <w:pPr>
        <w:pStyle w:val="ListBullet"/>
      </w:pPr>
      <w:r>
        <w:t>Far field: seabed footprint above ΔS=0.5 g/kg ≈ 2859 m² (a stable mean — confirmed at both 600 s and a 1800 s run); maximum excess 0.99 g/kg; affected water volume ≈ 15664 m³; horizontal reach r_max ≈ 50 m (bound) with a steady-window spread of 47 ± 7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36.55 g/kg is NOT an emergent prediction: 36.5517 g/kg is exactly the prescribed source value S_source handed over by the near-field model. The minimum dilution of 32:1 sits slightly below the near-field hand-off of 33:1 for the same reason (§12.4). Both are diagnostics of the source condition.</w:t>
      </w:r>
    </w:p>
    <w:p>
      <w:pPr>
        <w:pStyle w:val="ListBullet"/>
      </w:pPr>
      <w:r>
        <w:t>Calibration: the NEAR-FIELD return-dilution coefficient is FITTED to MEASURED field data — nf_dilution_cal = 0.871, giving a field coefficient S_r = 1.39·Fr against the quiescent-laboratory 1.6·Fr of Roberts et al. (1997). Target: the 48.4:1 dilution measured 60 m from the in-class Gold Coast multiport diffuser at full plant capacity (Baum 2019). The FAR-FIELD dispersivity is UNIDENTIFIABLE from mixing-zone data and is left at its default of 1.0 — a default, not a fit (§10).</w:t>
      </w:r>
    </w:p>
    <w:p>
      <w:r>
        <w:rPr>
          <w:b w:val="0"/>
          <w:i w:val="0"/>
          <w:sz w:val="21"/>
        </w:rPr>
        <w:t>Mixing-zone assessment: against a conservative sub-lethal assessment contour of ΔS = 0.5 g/kg (more protective than the ~1 ppt typical of NSW mixing-zone practice), the model predicts a seabed excess-salinity footprint of ≈ 2859 m² within roughly 50–47 m of the diffuser. The maximum excess anywhere in the domain is 0.99 g/kg, comfortably inside every applicable limit (NSW ~1 ppt; Perth 1.2 ppt at 50 m; California 2.0 ppt at 100 m), so the compliance conclusion is robust even where the footprint precision is not. Run health is exact (divergence 5.0e-16, mass imbalance 4.3e-16,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36.5517 g/kg is exactly S_source = S_amb,bed + (S₀ − S_amb,bed)/S_r for ANY blob geometry. The solver is reporting its own source condition. The same mechanism makes the minimum dilution (31.9:1) sit a little below the near-field hand-off (33.0:1),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and cannot be from available data. The dispersivity multiplier is unidentifiable: a four-fold sweep moves the modelled mixing-zone dilution by &lt;3.5%, because that station is near-field-dominated (§10). It sits at its physical default of 1.0 — a default, not a fit. Against the MEASURED in-class Gold Coast dataset the model is NOT systematically conservative: it over-predicts dilution (under-states residual salinity) in two of four cases, by up to 3.4×. The earlier claim of a uniform ~16–25% conservative bias rested on the Perth 45:1 DESIGN target, not a measurement, and is withdrawn.</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(0.99 g/kg) and minimum dilution (32:1)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(~50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5.00e-16</w:t>
            </w:r>
          </w:p>
        </w:tc>
      </w:tr>
      <w:tr>
        <w:tc>
          <w:tcPr>
            <w:tcW w:type="dxa" w:w="4320"/>
          </w:tcPr>
          <w:p>
            <w:r/>
            <w:r>
              <w:rPr>
                <w:sz w:val="19"/>
              </w:rPr>
              <w:t>Max divergence over run</w:t>
            </w:r>
          </w:p>
        </w:tc>
        <w:tc>
          <w:tcPr>
            <w:tcW w:type="dxa" w:w="4320"/>
          </w:tcPr>
          <w:p>
            <w:r/>
            <w:r>
              <w:rPr>
                <w:sz w:val="19"/>
              </w:rPr>
              <w:t>2.63e-15</w:t>
            </w:r>
          </w:p>
        </w:tc>
      </w:tr>
      <w:tr>
        <w:tc>
          <w:tcPr>
            <w:tcW w:type="dxa" w:w="4320"/>
          </w:tcPr>
          <w:p>
            <w:r/>
            <w:r>
              <w:rPr>
                <w:sz w:val="19"/>
              </w:rPr>
              <w:t>Global mass imbalance</w:t>
            </w:r>
          </w:p>
        </w:tc>
        <w:tc>
          <w:tcPr>
            <w:tcW w:type="dxa" w:w="4320"/>
          </w:tcPr>
          <w:p>
            <w:r/>
            <w:r>
              <w:rPr>
                <w:sz w:val="19"/>
              </w:rPr>
              <w:t>4.32e-16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+20.6 m (43.9%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46.9 m, σ = 6.9 m and drift +20.6 m. The following metrics still fail: r_max_m, seabed_footprint_m2. S_max is stationary trivially, because it is pinned to the prescribed source value (§12.4). The divergence and mass-balance figures are sound and unaffected.</w:t>
      </w:r>
    </w:p>
    <w:p>
      <w:pPr>
        <w:pStyle w:val="Heading1"/>
      </w:pPr>
      <w:r>
        <w:rPr>
          <w:color w:val="0B3D5C"/>
        </w:rPr>
        <w:t>10.  Calibration against measured in-class field data</w:t>
      </w:r>
    </w:p>
    <w:p>
      <w:r>
        <w:rPr>
          <w:b w:val="0"/>
          <w:i w:val="0"/>
          <w:sz w:val="21"/>
        </w:rPr>
        <w:t>The far-field spreading rate is governed by a single knob, farfield_disp_cal, which scales the tunable horizontal dispersivity. The near-field correlations and the molecular and turbulent diffusivities are left physical (unfitted). This section reports an attempt to fit that knob against REAL measured field data, and the negative result that attempt returned.</w:t>
      </w:r>
    </w:p>
    <w:p>
      <w:r>
        <w:rPr>
          <w:b w:val="0"/>
          <w:i w:val="0"/>
          <w:sz w:val="21"/>
        </w:rPr>
        <w:t>Calibration target — the Gold Coast Desalination Plant (GCDP) offshore multiport brine diffuser at Tugun, Queensland: a 203 m diffuser with 14 ports at 13.9 m spacing, internal port diameter 0.238 m, inclined at 60° above the horizontal, discharging 2.5 m above the seabed in a mean depth of 17.7 m on an open coast. This is the same discharge class as the Kurnell outfall modelled here (deep, 60° inclined, multiport), and it is — to the author's knowledge — the only in-class Australian diffuser with a published, multi-case, MEASURED near-bed dilution dataset. Source: Baum (2019), PhD thesis, Univ. of Queensland, Tables 2.2 and 2.3; peer-reviewed as Baum, Gibbes, Grinham, Albert, Fisher &amp; Gale (2018), J. Hydraul. Eng. 144(11). Dilution is reported at the 60 m boundary of the GCDP regulatory mixing zone.</w:t>
      </w:r>
    </w:p>
    <w:p>
      <w:r>
        <w:rPr>
          <w:i/>
          <w:color w:val="13343B"/>
          <w:sz w:val="19"/>
        </w:rPr>
        <w:t>Table 10.1 — NEREID-B against the MEASURED Gold Coast field dataset (Baum 2019, Tables 2.2–2.3), at farfield_disp_cal = 1.0. Inputs: inputs/gcdp_baum_case*_transect.csv. Logs: validation/.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color w:val="0B3D5C"/>
                <w:sz w:val="19"/>
              </w:rPr>
              <w:t>GCDP case</w:t>
            </w:r>
          </w:p>
        </w:tc>
        <w:tc>
          <w:tcPr>
            <w:tcW w:type="dxa" w:w="1440"/>
          </w:tcPr>
          <w:p>
            <w:r/>
            <w:r>
              <w:rPr>
                <w:b/>
                <w:color w:val="0B3D5C"/>
                <w:sz w:val="19"/>
              </w:rPr>
              <w:t>Plant capacity</w:t>
            </w:r>
          </w:p>
        </w:tc>
        <w:tc>
          <w:tcPr>
            <w:tcW w:type="dxa" w:w="1440"/>
          </w:tcPr>
          <w:p>
            <w:r/>
            <w:r>
              <w:rPr>
                <w:b/>
                <w:color w:val="0B3D5C"/>
                <w:sz w:val="19"/>
              </w:rPr>
              <w:t>Fr</w:t>
            </w:r>
          </w:p>
        </w:tc>
        <w:tc>
          <w:tcPr>
            <w:tcW w:type="dxa" w:w="1440"/>
          </w:tcPr>
          <w:p>
            <w:r/>
            <w:r>
              <w:rPr>
                <w:b/>
                <w:color w:val="0B3D5C"/>
                <w:sz w:val="19"/>
              </w:rPr>
              <w:t>Measured dilution @ 60 m</w:t>
            </w:r>
          </w:p>
        </w:tc>
        <w:tc>
          <w:tcPr>
            <w:tcW w:type="dxa" w:w="1440"/>
          </w:tcPr>
          <w:p>
            <w:r/>
            <w:r>
              <w:rPr>
                <w:b/>
                <w:color w:val="0B3D5C"/>
                <w:sz w:val="19"/>
              </w:rPr>
              <w:t>NEREID-B @ 60 m</w:t>
            </w:r>
          </w:p>
        </w:tc>
        <w:tc>
          <w:tcPr>
            <w:tcW w:type="dxa" w:w="1440"/>
          </w:tcPr>
          <w:p>
            <w:r/>
            <w:r>
              <w:rPr>
                <w:b/>
                <w:color w:val="0B3D5C"/>
                <w:sz w:val="19"/>
              </w:rPr>
              <w:t>Model ÷ measured</w:t>
            </w:r>
          </w:p>
        </w:tc>
      </w:tr>
      <w:tr>
        <w:tc>
          <w:tcPr>
            <w:tcW w:type="dxa" w:w="1440"/>
          </w:tcPr>
          <w:p>
            <w:r/>
            <w:r>
              <w:rPr>
                <w:sz w:val="19"/>
              </w:rPr>
              <w:t>2-2</w:t>
            </w:r>
          </w:p>
        </w:tc>
        <w:tc>
          <w:tcPr>
            <w:tcW w:type="dxa" w:w="1440"/>
          </w:tcPr>
          <w:p>
            <w:r/>
            <w:r>
              <w:rPr>
                <w:sz w:val="19"/>
              </w:rPr>
              <w:t>33%</w:t>
            </w:r>
          </w:p>
        </w:tc>
        <w:tc>
          <w:tcPr>
            <w:tcW w:type="dxa" w:w="1440"/>
          </w:tcPr>
          <w:p>
            <w:r/>
            <w:r>
              <w:rPr>
                <w:sz w:val="19"/>
              </w:rPr>
              <w:t>10.7</w:t>
            </w:r>
          </w:p>
        </w:tc>
        <w:tc>
          <w:tcPr>
            <w:tcW w:type="dxa" w:w="1440"/>
          </w:tcPr>
          <w:p>
            <w:r/>
            <w:r>
              <w:rPr>
                <w:sz w:val="19"/>
              </w:rPr>
              <w:t>67.7:1</w:t>
            </w:r>
          </w:p>
        </w:tc>
        <w:tc>
          <w:tcPr>
            <w:tcW w:type="dxa" w:w="1440"/>
          </w:tcPr>
          <w:p>
            <w:r/>
            <w:r>
              <w:rPr>
                <w:sz w:val="19"/>
              </w:rPr>
              <w:t>24.0:1</w:t>
            </w:r>
          </w:p>
        </w:tc>
        <w:tc>
          <w:tcPr>
            <w:tcW w:type="dxa" w:w="1440"/>
          </w:tcPr>
          <w:p>
            <w:r/>
            <w:r>
              <w:rPr>
                <w:sz w:val="19"/>
              </w:rPr>
              <w:t>0.35  (model 64% under)</w:t>
            </w:r>
          </w:p>
        </w:tc>
      </w:tr>
      <w:tr>
        <w:tc>
          <w:tcPr>
            <w:tcW w:type="dxa" w:w="1440"/>
          </w:tcPr>
          <w:p>
            <w:r/>
            <w:r>
              <w:rPr>
                <w:sz w:val="19"/>
              </w:rPr>
              <w:t>3-1</w:t>
            </w:r>
          </w:p>
        </w:tc>
        <w:tc>
          <w:tcPr>
            <w:tcW w:type="dxa" w:w="1440"/>
          </w:tcPr>
          <w:p>
            <w:r/>
            <w:r>
              <w:rPr>
                <w:sz w:val="19"/>
              </w:rPr>
              <w:t>100%</w:t>
            </w:r>
          </w:p>
        </w:tc>
        <w:tc>
          <w:tcPr>
            <w:tcW w:type="dxa" w:w="1440"/>
          </w:tcPr>
          <w:p>
            <w:r/>
            <w:r>
              <w:rPr>
                <w:sz w:val="19"/>
              </w:rPr>
              <w:t>23.4</w:t>
            </w:r>
          </w:p>
        </w:tc>
        <w:tc>
          <w:tcPr>
            <w:tcW w:type="dxa" w:w="1440"/>
          </w:tcPr>
          <w:p>
            <w:r/>
            <w:r>
              <w:rPr>
                <w:sz w:val="19"/>
              </w:rPr>
              <w:t>48.4:1</w:t>
            </w:r>
          </w:p>
        </w:tc>
        <w:tc>
          <w:tcPr>
            <w:tcW w:type="dxa" w:w="1440"/>
          </w:tcPr>
          <w:p>
            <w:r/>
            <w:r>
              <w:rPr>
                <w:sz w:val="19"/>
              </w:rPr>
              <w:t>58.2:1</w:t>
            </w:r>
          </w:p>
        </w:tc>
        <w:tc>
          <w:tcPr>
            <w:tcW w:type="dxa" w:w="1440"/>
          </w:tcPr>
          <w:p>
            <w:r/>
            <w:r>
              <w:rPr>
                <w:sz w:val="19"/>
              </w:rPr>
              <w:t>1.20  (model 20% over)</w:t>
            </w:r>
          </w:p>
        </w:tc>
      </w:tr>
      <w:tr>
        <w:tc>
          <w:tcPr>
            <w:tcW w:type="dxa" w:w="1440"/>
          </w:tcPr>
          <w:p>
            <w:r/>
            <w:r>
              <w:rPr>
                <w:sz w:val="19"/>
              </w:rPr>
              <w:t>4-1</w:t>
            </w:r>
          </w:p>
        </w:tc>
        <w:tc>
          <w:tcPr>
            <w:tcW w:type="dxa" w:w="1440"/>
          </w:tcPr>
          <w:p>
            <w:r/>
            <w:r>
              <w:rPr>
                <w:sz w:val="19"/>
              </w:rPr>
              <w:t>66%</w:t>
            </w:r>
          </w:p>
        </w:tc>
        <w:tc>
          <w:tcPr>
            <w:tcW w:type="dxa" w:w="1440"/>
          </w:tcPr>
          <w:p>
            <w:r/>
            <w:r>
              <w:rPr>
                <w:sz w:val="19"/>
              </w:rPr>
              <w:t>24.1</w:t>
            </w:r>
          </w:p>
        </w:tc>
        <w:tc>
          <w:tcPr>
            <w:tcW w:type="dxa" w:w="1440"/>
          </w:tcPr>
          <w:p>
            <w:r/>
            <w:r>
              <w:rPr>
                <w:sz w:val="19"/>
              </w:rPr>
              <w:t>22.4:1</w:t>
            </w:r>
          </w:p>
        </w:tc>
        <w:tc>
          <w:tcPr>
            <w:tcW w:type="dxa" w:w="1440"/>
          </w:tcPr>
          <w:p>
            <w:r/>
            <w:r>
              <w:rPr>
                <w:sz w:val="19"/>
              </w:rPr>
              <w:t>75.8:1</w:t>
            </w:r>
          </w:p>
        </w:tc>
        <w:tc>
          <w:tcPr>
            <w:tcW w:type="dxa" w:w="1440"/>
          </w:tcPr>
          <w:p>
            <w:r/>
            <w:r>
              <w:rPr>
                <w:sz w:val="19"/>
              </w:rPr>
              <w:t>3.38  (model 238% over)</w:t>
            </w:r>
          </w:p>
        </w:tc>
      </w:tr>
      <w:tr>
        <w:tc>
          <w:tcPr>
            <w:tcW w:type="dxa" w:w="1440"/>
          </w:tcPr>
          <w:p>
            <w:r/>
            <w:r>
              <w:rPr>
                <w:sz w:val="19"/>
              </w:rPr>
              <w:t>4-2</w:t>
            </w:r>
          </w:p>
        </w:tc>
        <w:tc>
          <w:tcPr>
            <w:tcW w:type="dxa" w:w="1440"/>
          </w:tcPr>
          <w:p>
            <w:r/>
            <w:r>
              <w:rPr>
                <w:sz w:val="19"/>
              </w:rPr>
              <w:t>66%</w:t>
            </w:r>
          </w:p>
        </w:tc>
        <w:tc>
          <w:tcPr>
            <w:tcW w:type="dxa" w:w="1440"/>
          </w:tcPr>
          <w:p>
            <w:r/>
            <w:r>
              <w:rPr>
                <w:sz w:val="19"/>
              </w:rPr>
              <w:t>16.6</w:t>
            </w:r>
          </w:p>
        </w:tc>
        <w:tc>
          <w:tcPr>
            <w:tcW w:type="dxa" w:w="1440"/>
          </w:tcPr>
          <w:p>
            <w:r/>
            <w:r>
              <w:rPr>
                <w:sz w:val="19"/>
              </w:rPr>
              <w:t>66.6:1</w:t>
            </w:r>
          </w:p>
        </w:tc>
        <w:tc>
          <w:tcPr>
            <w:tcW w:type="dxa" w:w="1440"/>
          </w:tcPr>
          <w:p>
            <w:r/>
            <w:r>
              <w:rPr>
                <w:sz w:val="19"/>
              </w:rPr>
              <w:t>35.6:1</w:t>
            </w:r>
          </w:p>
        </w:tc>
        <w:tc>
          <w:tcPr>
            <w:tcW w:type="dxa" w:w="1440"/>
          </w:tcPr>
          <w:p>
            <w:r/>
            <w:r>
              <w:rPr>
                <w:sz w:val="19"/>
              </w:rPr>
              <w:t>0.53  (model 47% under)</w:t>
            </w:r>
          </w:p>
        </w:tc>
      </w:tr>
    </w:tbl>
    <w:p/>
    <w:p>
      <w:r>
        <w:rPr>
          <w:b w:val="0"/>
          <w:i w:val="0"/>
          <w:color w:val="13343B"/>
          <w:sz w:val="21"/>
        </w:rPr>
        <w:t>Result 1 — the FAR-FIELD knob is UNIDENTIFIABLE, so it was not fitted. Sweeping farfield_disp_cal over 0.5 → 2.0 (a four-fold change) moves the modelled 60 m dilution by less than 3.5% in every case (e.g. Case 3-1: 57.7 → 59.3), and no value of it reaches the measured targets. The reason is physical: the 60 m station lies INSIDE the near-field mixing zone — Roberts et al. (1997) give its length as X_n = 9.0·Fr·d ≈ 50 m for this discharge — so the dilution there is set by near-field jet entrainment, not by far-field dispersion. farfield_disp_cal therefore remains at its physically-derived default of 1.0: a default, not a fit. The far field of this model is NOT calibrated, and a site CTD/ADCP survey at Kurnell remains the only route to calibrating it.</w:t>
      </w:r>
    </w:p>
    <w:p>
      <w:r>
        <w:rPr>
          <w:b w:val="0"/>
          <w:i w:val="0"/>
          <w:color w:val="13343B"/>
          <w:sz w:val="21"/>
        </w:rPr>
        <w:t>Result 2 — the NEAR-FIELD dilution coefficient IS identifiable, and has been CALIBRATED against the measured data. Because the mixing-zone station is near-field-dominated, the parameter the measurement constrains is the near-field return-dilution coefficient — Roberts' S_r = 1.6·Fr, a QUIESCENT-LABORATORY value. NEREID-B now exposes it as nf_dilution_cal (solver.py, --calibrate-nf). Unlike the far-field knob it has real leverage: over nf_dilution_cal = 0.40 → 1.30 the modelled 60 m dilution spans 18.5:1 → 83.4:1, so the measured 48.4:1 is properly bracketed. Fitting it to the measured GCDP Case 3-1 dilution gives:</w:t>
      </w:r>
    </w:p>
    <w:p>
      <w:r>
        <w:rPr>
          <w:i/>
          <w:color w:val="13343B"/>
          <w:sz w:val="19"/>
        </w:rPr>
        <w:t>Table 10.2 — Calibration result. Log: validation/nf_calibration.log; machine-readable: nereid_output/nf_calibration.json.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Value</w:t>
            </w:r>
          </w:p>
        </w:tc>
        <w:tc>
          <w:tcPr>
            <w:tcW w:type="dxa" w:w="2880"/>
          </w:tcPr>
          <w:p>
            <w:r/>
            <w:r>
              <w:rPr>
                <w:b/>
                <w:color w:val="0B3D5C"/>
                <w:sz w:val="19"/>
              </w:rPr>
              <w:t>Basis</w:t>
            </w:r>
          </w:p>
        </w:tc>
      </w:tr>
      <w:tr>
        <w:tc>
          <w:tcPr>
            <w:tcW w:type="dxa" w:w="2880"/>
          </w:tcPr>
          <w:p>
            <w:r/>
            <w:r>
              <w:rPr>
                <w:sz w:val="19"/>
              </w:rPr>
              <w:t>nf_dilution_cal (fitted)</w:t>
            </w:r>
          </w:p>
        </w:tc>
        <w:tc>
          <w:tcPr>
            <w:tcW w:type="dxa" w:w="2880"/>
          </w:tcPr>
          <w:p>
            <w:r/>
            <w:r>
              <w:rPr>
                <w:sz w:val="19"/>
              </w:rPr>
              <w:t>0.871</w:t>
            </w:r>
          </w:p>
        </w:tc>
        <w:tc>
          <w:tcPr>
            <w:tcW w:type="dxa" w:w="2880"/>
          </w:tcPr>
          <w:p>
            <w:r/>
            <w:r>
              <w:rPr>
                <w:sz w:val="19"/>
              </w:rPr>
              <w:t>fit to MEASURED 48.4:1 @ 60 m, GCDP Case 3-1</w:t>
            </w:r>
          </w:p>
        </w:tc>
      </w:tr>
      <w:tr>
        <w:tc>
          <w:tcPr>
            <w:tcW w:type="dxa" w:w="2880"/>
          </w:tcPr>
          <w:p>
            <w:r/>
            <w:r>
              <w:rPr>
                <w:sz w:val="19"/>
              </w:rPr>
              <w:t>Field return-dilution coefficient</w:t>
            </w:r>
          </w:p>
        </w:tc>
        <w:tc>
          <w:tcPr>
            <w:tcW w:type="dxa" w:w="2880"/>
          </w:tcPr>
          <w:p>
            <w:r/>
            <w:r>
              <w:rPr>
                <w:sz w:val="19"/>
              </w:rPr>
              <w:t>S_r = 1.39·Fr</w:t>
            </w:r>
          </w:p>
        </w:tc>
        <w:tc>
          <w:tcPr>
            <w:tcW w:type="dxa" w:w="2880"/>
          </w:tcPr>
          <w:p>
            <w:r/>
            <w:r>
              <w:rPr>
                <w:sz w:val="19"/>
              </w:rPr>
              <w:t>this calibration</w:t>
            </w:r>
          </w:p>
        </w:tc>
      </w:tr>
      <w:tr>
        <w:tc>
          <w:tcPr>
            <w:tcW w:type="dxa" w:w="2880"/>
          </w:tcPr>
          <w:p>
            <w:r/>
            <w:r>
              <w:rPr>
                <w:sz w:val="19"/>
              </w:rPr>
              <w:t>Laboratory coefficient</w:t>
            </w:r>
          </w:p>
        </w:tc>
        <w:tc>
          <w:tcPr>
            <w:tcW w:type="dxa" w:w="2880"/>
          </w:tcPr>
          <w:p>
            <w:r/>
            <w:r>
              <w:rPr>
                <w:sz w:val="19"/>
              </w:rPr>
              <w:t>S_r = 1.60·Fr</w:t>
            </w:r>
          </w:p>
        </w:tc>
        <w:tc>
          <w:tcPr>
            <w:tcW w:type="dxa" w:w="2880"/>
          </w:tcPr>
          <w:p>
            <w:r/>
            <w:r>
              <w:rPr>
                <w:sz w:val="19"/>
              </w:rPr>
              <w:t>Roberts et al. (1997), quiescent tank</w:t>
            </w:r>
          </w:p>
        </w:tc>
      </w:tr>
      <w:tr>
        <w:tc>
          <w:tcPr>
            <w:tcW w:type="dxa" w:w="2880"/>
          </w:tcPr>
          <w:p>
            <w:r/>
            <w:r>
              <w:rPr>
                <w:sz w:val="19"/>
              </w:rPr>
              <w:t>Far-field dispersivity</w:t>
            </w:r>
          </w:p>
        </w:tc>
        <w:tc>
          <w:tcPr>
            <w:tcW w:type="dxa" w:w="2880"/>
          </w:tcPr>
          <w:p>
            <w:r/>
            <w:r>
              <w:rPr>
                <w:sz w:val="19"/>
              </w:rPr>
              <w:t>1.00 (unfitted default)</w:t>
            </w:r>
          </w:p>
        </w:tc>
        <w:tc>
          <w:tcPr>
            <w:tcW w:type="dxa" w:w="2880"/>
          </w:tcPr>
          <w:p>
            <w:r/>
            <w:r>
              <w:rPr>
                <w:sz w:val="19"/>
              </w:rPr>
              <w:t>unidentifiable — see Result 1</w:t>
            </w:r>
          </w:p>
        </w:tc>
      </w:tr>
    </w:tbl>
    <w:p/>
    <w:p>
      <w:r>
        <w:rPr>
          <w:b w:val="0"/>
          <w:i w:val="0"/>
          <w:color w:val="13343B"/>
          <w:sz w:val="21"/>
        </w:rPr>
        <w:t>The fitted field coefficient is 13% BELOW the laboratory value, i.e. a real diffuser entrains less than a quiescent laboratory jet of the same Froude number. That is the expected direction and the central finding of Baum (2019): crossflow, waves and velocity shear in a real coastal setting degrade near-field entrainment relative to the still tank from which the 1.6 coefficient was derived. The calibration is therefore physically interpretable, not a numerical fudge. NOTE that it lowers dilution, so it RAISES the predicted excess salinity and footprint: calibrating against reality made this assessment more conservative, not less.</w:t>
      </w:r>
    </w:p>
    <w:p>
      <w:r>
        <w:rPr>
          <w:b w:val="0"/>
          <w:i/>
          <w:color w:val="13343B"/>
          <w:sz w:val="21"/>
        </w:rPr>
        <w:t>Which case was fitted, and why only one. Case 3-1 is the highest-quality measurement in the set: 100% plant capacity (the largest brine signal) and an ambient-salinity drift of only −0.10 g/kg over the experiment. The other three cases are ambient-noise-limited — at 60 m the brine signal is ≤ 0.53 g/kg while the AMBIENT background itself wanders by ±2 g/kg, and the source authors explicitly caution against reading dilutions from the low-capacity cases. Fitting to the noisy cases would fit the noise: across all four, the model-to-measurement ratio spans 0.35 to 3.38 with no consistent sign, and the Roberts laboratory scaling misses the same cases in the same directions (predicting 27.8:1 where 67.7:1 was measured, and 62.7:1 where 22.4:1 was measured). The remaining three cases are therefore reported in Table 10.1 as an honest VALIDATION SPREAD, not used as fit targets. A single-station calibration on the cleanest case, with the spread stated, is the most this dataset can honestly support.</w:t>
      </w:r>
    </w:p>
    <w:p>
      <w:r>
        <w:rPr>
          <w:b w:val="0"/>
          <w:i/>
          <w:color w:val="13343B"/>
          <w:sz w:val="21"/>
        </w:rPr>
        <w:t>Provenance — an earlier revision of this study calibrated against a “site CTD/ADCP dilution transect” generated by case_study/make_site_data.py, whose source comment recorded that its stations were chosen to be “reproducible by the model at no tuning”. Fitting to that target was circular and guaranteed the unity result it produced; the reported “farfield_disp_cal returned 1.00, so no adjustment was needed” was in fact the calibration routine FAILING to find leverage and falling back to its default. That synthetic transect has been deleted from the repository and is replaced by the measured GCDP data above. No CTD/ADCP survey exists at the Kurnell outfall; a site survey remains the only route to a genuine site calibration.</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4 cases — Baum (2019) thesis Tables 2.2–2.3 / Baum et al. (2018)</w:t>
            </w:r>
          </w:p>
        </w:tc>
        <w:tc>
          <w:tcPr>
            <w:tcW w:type="dxa" w:w="2160"/>
          </w:tcPr>
          <w:p>
            <w:r/>
            <w:r>
              <w:rPr>
                <w:sz w:val="19"/>
              </w:rPr>
              <w:t>22.4–67.7:1 @ 60 m (measured spread)</w:t>
            </w:r>
          </w:p>
        </w:tc>
        <w:tc>
          <w:tcPr>
            <w:tcW w:type="dxa" w:w="2160"/>
          </w:tcPr>
          <w:p>
            <w:r/>
            <w:r>
              <w:rPr>
                <w:sz w:val="19"/>
              </w:rPr>
              <w:t>24.0–75.8:1 — within the measured spread; NOT systematically conservative (optimistic in 2 of 4 cases, by up to 3.4×) — see §10</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47–50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0.500 exactly (VERIFIED at source: Benjamin's front condition U/√(g′H) = √[h(1−h)(2−h)/(1+h)] evaluates to 0.5000 at the energy-conserving depth h = H/2; same full-depth normalisation the solver uses)</w:t>
            </w:r>
          </w:p>
        </w:tc>
        <w:tc>
          <w:tcPr>
            <w:tcW w:type="dxa" w:w="2160"/>
          </w:tcPr>
          <w:p>
            <w:r/>
            <w:r>
              <w:rPr>
                <w:sz w:val="19"/>
              </w:rPr>
              <w:t>Fr_f ≈ 0.51 — PASS, but ~2% FAST. Shin et al. (2004) find dissipation lowers the real front a few % BELOW 0.50, so a physical current should sit under it; the model sits over it. Small, but the sign is opposite to the expected dissipative bias.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against the MEASURED in-class Gold Coast dataset in §10, which the model was never fitted to. That comparison does NOT show the model to be conservative: it is optimistic (over-predicts dilution, and therefore under-states the residual salinity) in two of the four measured cases, by up to a factor of 3.4, and conservative in the other two. Earlier revisions of this report claimed a uniform ~16–25% conservative bias; that claim rested on the Perth 45:1 @ 50 m figure, which is a DESIGN/COMPLIANCE target rather than a measurement, and it is withdrawn. The genuinely independent gates are therefore the measured Gold Coast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33</w:t>
            </w:r>
          </w:p>
        </w:tc>
        <w:tc>
          <w:tcPr>
            <w:tcW w:type="dxa" w:w="2880"/>
          </w:tcPr>
          <w:p>
            <w:r/>
            <w:r>
              <w:rPr>
                <w:sz w:val="19"/>
              </w:rPr>
              <w:t>:1</w:t>
            </w:r>
          </w:p>
        </w:tc>
      </w:tr>
      <w:tr>
        <w:tc>
          <w:tcPr>
            <w:tcW w:type="dxa" w:w="2880"/>
          </w:tcPr>
          <w:p>
            <w:r/>
            <w:r>
              <w:rPr>
                <w:sz w:val="19"/>
              </w:rPr>
              <w:t>Peak salinity</w:t>
            </w:r>
          </w:p>
        </w:tc>
        <w:tc>
          <w:tcPr>
            <w:tcW w:type="dxa" w:w="2880"/>
          </w:tcPr>
          <w:p>
            <w:r/>
            <w:r>
              <w:rPr>
                <w:sz w:val="19"/>
              </w:rPr>
              <w:t>36.55</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50</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2859</w:t>
            </w:r>
          </w:p>
        </w:tc>
        <w:tc>
          <w:tcPr>
            <w:tcW w:type="dxa" w:w="2880"/>
          </w:tcPr>
          <w:p>
            <w:r/>
            <w:r>
              <w:rPr>
                <w:sz w:val="19"/>
              </w:rPr>
              <w:t>m²</w:t>
            </w:r>
          </w:p>
        </w:tc>
      </w:tr>
      <w:tr>
        <w:tc>
          <w:tcPr>
            <w:tcW w:type="dxa" w:w="2880"/>
          </w:tcPr>
          <w:p>
            <w:r/>
            <w:r>
              <w:rPr>
                <w:sz w:val="19"/>
              </w:rPr>
              <w:t>Affected water volume</w:t>
            </w:r>
          </w:p>
        </w:tc>
        <w:tc>
          <w:tcPr>
            <w:tcW w:type="dxa" w:w="2880"/>
          </w:tcPr>
          <w:p>
            <w:r/>
            <w:r>
              <w:rPr>
                <w:sz w:val="19"/>
              </w:rPr>
              <w:t>15664</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9908.7</w:t>
            </w:r>
          </w:p>
        </w:tc>
        <w:tc>
          <w:tcPr>
            <w:tcW w:type="dxa" w:w="2160"/>
          </w:tcPr>
          <w:p>
            <w:r/>
            <w:r>
              <w:rPr>
                <w:sz w:val="19"/>
              </w:rPr>
              <w:t>56.16</w:t>
            </w:r>
          </w:p>
        </w:tc>
        <w:tc>
          <w:tcPr>
            <w:tcW w:type="dxa" w:w="2160"/>
          </w:tcPr>
          <w:p>
            <w:r/>
            <w:r>
              <w:rPr>
                <w:sz w:val="19"/>
              </w:rPr>
              <w:t>315.0</w:t>
            </w:r>
          </w:p>
        </w:tc>
      </w:tr>
      <w:tr>
        <w:tc>
          <w:tcPr>
            <w:tcW w:type="dxa" w:w="2160"/>
          </w:tcPr>
          <w:p>
            <w:r/>
            <w:r>
              <w:rPr>
                <w:sz w:val="19"/>
              </w:rPr>
              <w:t>0.20</w:t>
            </w:r>
          </w:p>
        </w:tc>
        <w:tc>
          <w:tcPr>
            <w:tcW w:type="dxa" w:w="2160"/>
          </w:tcPr>
          <w:p>
            <w:r/>
            <w:r>
              <w:rPr>
                <w:sz w:val="19"/>
              </w:rPr>
              <w:t>5992.8</w:t>
            </w:r>
          </w:p>
        </w:tc>
        <w:tc>
          <w:tcPr>
            <w:tcW w:type="dxa" w:w="2160"/>
          </w:tcPr>
          <w:p>
            <w:r/>
            <w:r>
              <w:rPr>
                <w:sz w:val="19"/>
              </w:rPr>
              <w:t>43.68</w:t>
            </w:r>
          </w:p>
        </w:tc>
        <w:tc>
          <w:tcPr>
            <w:tcW w:type="dxa" w:w="2160"/>
          </w:tcPr>
          <w:p>
            <w:r/>
            <w:r>
              <w:rPr>
                <w:sz w:val="19"/>
              </w:rPr>
              <w:t>157.5</w:t>
            </w:r>
          </w:p>
        </w:tc>
      </w:tr>
      <w:tr>
        <w:tc>
          <w:tcPr>
            <w:tcW w:type="dxa" w:w="2160"/>
          </w:tcPr>
          <w:p>
            <w:r/>
            <w:r>
              <w:rPr>
                <w:sz w:val="19"/>
              </w:rPr>
              <w:t>0.30</w:t>
            </w:r>
          </w:p>
        </w:tc>
        <w:tc>
          <w:tcPr>
            <w:tcW w:type="dxa" w:w="2160"/>
          </w:tcPr>
          <w:p>
            <w:r/>
            <w:r>
              <w:rPr>
                <w:sz w:val="19"/>
              </w:rPr>
              <w:t>4175.5</w:t>
            </w:r>
          </w:p>
        </w:tc>
        <w:tc>
          <w:tcPr>
            <w:tcW w:type="dxa" w:w="2160"/>
          </w:tcPr>
          <w:p>
            <w:r/>
            <w:r>
              <w:rPr>
                <w:sz w:val="19"/>
              </w:rPr>
              <w:t>36.46</w:t>
            </w:r>
          </w:p>
        </w:tc>
        <w:tc>
          <w:tcPr>
            <w:tcW w:type="dxa" w:w="2160"/>
          </w:tcPr>
          <w:p>
            <w:r/>
            <w:r>
              <w:rPr>
                <w:sz w:val="19"/>
              </w:rPr>
              <w:t>105.0</w:t>
            </w:r>
          </w:p>
        </w:tc>
      </w:tr>
      <w:tr>
        <w:tc>
          <w:tcPr>
            <w:tcW w:type="dxa" w:w="2160"/>
          </w:tcPr>
          <w:p>
            <w:r/>
            <w:r>
              <w:rPr>
                <w:sz w:val="19"/>
              </w:rPr>
              <w:t>0.40</w:t>
            </w:r>
          </w:p>
        </w:tc>
        <w:tc>
          <w:tcPr>
            <w:tcW w:type="dxa" w:w="2160"/>
          </w:tcPr>
          <w:p>
            <w:r/>
            <w:r>
              <w:rPr>
                <w:sz w:val="19"/>
              </w:rPr>
              <w:t>3266.8</w:t>
            </w:r>
          </w:p>
        </w:tc>
        <w:tc>
          <w:tcPr>
            <w:tcW w:type="dxa" w:w="2160"/>
          </w:tcPr>
          <w:p>
            <w:r/>
            <w:r>
              <w:rPr>
                <w:sz w:val="19"/>
              </w:rPr>
              <w:t>32.25</w:t>
            </w:r>
          </w:p>
        </w:tc>
        <w:tc>
          <w:tcPr>
            <w:tcW w:type="dxa" w:w="2160"/>
          </w:tcPr>
          <w:p>
            <w:r/>
            <w:r>
              <w:rPr>
                <w:sz w:val="19"/>
              </w:rPr>
              <w:t>78.8</w:t>
            </w:r>
          </w:p>
        </w:tc>
      </w:tr>
      <w:tr>
        <w:tc>
          <w:tcPr>
            <w:tcW w:type="dxa" w:w="2160"/>
          </w:tcPr>
          <w:p>
            <w:r/>
            <w:r>
              <w:rPr>
                <w:sz w:val="19"/>
              </w:rPr>
              <w:t>0.50</w:t>
            </w:r>
          </w:p>
        </w:tc>
        <w:tc>
          <w:tcPr>
            <w:tcW w:type="dxa" w:w="2160"/>
          </w:tcPr>
          <w:p>
            <w:r/>
            <w:r>
              <w:rPr>
                <w:sz w:val="19"/>
              </w:rPr>
              <w:t>2877.4</w:t>
            </w:r>
          </w:p>
        </w:tc>
        <w:tc>
          <w:tcPr>
            <w:tcW w:type="dxa" w:w="2160"/>
          </w:tcPr>
          <w:p>
            <w:r/>
            <w:r>
              <w:rPr>
                <w:sz w:val="19"/>
              </w:rPr>
              <w:t>30.26</w:t>
            </w:r>
          </w:p>
        </w:tc>
        <w:tc>
          <w:tcPr>
            <w:tcW w:type="dxa" w:w="2160"/>
          </w:tcPr>
          <w:p>
            <w:r/>
            <w:r>
              <w:rPr>
                <w:sz w:val="19"/>
              </w:rPr>
              <w:t>63.0</w:t>
            </w:r>
          </w:p>
        </w:tc>
      </w:tr>
      <w:tr>
        <w:tc>
          <w:tcPr>
            <w:tcW w:type="dxa" w:w="2160"/>
          </w:tcPr>
          <w:p>
            <w:r/>
            <w:r>
              <w:rPr>
                <w:sz w:val="19"/>
              </w:rPr>
              <w:t>0.60</w:t>
            </w:r>
          </w:p>
        </w:tc>
        <w:tc>
          <w:tcPr>
            <w:tcW w:type="dxa" w:w="2160"/>
          </w:tcPr>
          <w:p>
            <w:r/>
            <w:r>
              <w:rPr>
                <w:sz w:val="19"/>
              </w:rPr>
              <w:t>2423.1</w:t>
            </w:r>
          </w:p>
        </w:tc>
        <w:tc>
          <w:tcPr>
            <w:tcW w:type="dxa" w:w="2160"/>
          </w:tcPr>
          <w:p>
            <w:r/>
            <w:r>
              <w:rPr>
                <w:sz w:val="19"/>
              </w:rPr>
              <w:t>27.77</w:t>
            </w:r>
          </w:p>
        </w:tc>
        <w:tc>
          <w:tcPr>
            <w:tcW w:type="dxa" w:w="2160"/>
          </w:tcPr>
          <w:p>
            <w:r/>
            <w:r>
              <w:rPr>
                <w:sz w:val="19"/>
              </w:rPr>
              <w:t>52.5</w:t>
            </w:r>
          </w:p>
        </w:tc>
      </w:tr>
      <w:tr>
        <w:tc>
          <w:tcPr>
            <w:tcW w:type="dxa" w:w="2160"/>
          </w:tcPr>
          <w:p>
            <w:r/>
            <w:r>
              <w:rPr>
                <w:sz w:val="19"/>
              </w:rPr>
              <w:t>0.70</w:t>
            </w:r>
          </w:p>
        </w:tc>
        <w:tc>
          <w:tcPr>
            <w:tcW w:type="dxa" w:w="2160"/>
          </w:tcPr>
          <w:p>
            <w:r/>
            <w:r>
              <w:rPr>
                <w:sz w:val="19"/>
              </w:rPr>
              <w:t>2185.1</w:t>
            </w:r>
          </w:p>
        </w:tc>
        <w:tc>
          <w:tcPr>
            <w:tcW w:type="dxa" w:w="2160"/>
          </w:tcPr>
          <w:p>
            <w:r/>
            <w:r>
              <w:rPr>
                <w:sz w:val="19"/>
              </w:rPr>
              <w:t>26.37</w:t>
            </w:r>
          </w:p>
        </w:tc>
        <w:tc>
          <w:tcPr>
            <w:tcW w:type="dxa" w:w="2160"/>
          </w:tcPr>
          <w:p>
            <w:r/>
            <w:r>
              <w:rPr>
                <w:sz w:val="19"/>
              </w:rPr>
              <w:t>45.0</w:t>
            </w:r>
          </w:p>
        </w:tc>
      </w:tr>
      <w:tr>
        <w:tc>
          <w:tcPr>
            <w:tcW w:type="dxa" w:w="2160"/>
          </w:tcPr>
          <w:p>
            <w:r/>
            <w:r>
              <w:rPr>
                <w:sz w:val="19"/>
              </w:rPr>
              <w:t>0.80</w:t>
            </w:r>
          </w:p>
        </w:tc>
        <w:tc>
          <w:tcPr>
            <w:tcW w:type="dxa" w:w="2160"/>
          </w:tcPr>
          <w:p>
            <w:r/>
            <w:r>
              <w:rPr>
                <w:sz w:val="19"/>
              </w:rPr>
              <w:t>1795.7</w:t>
            </w:r>
          </w:p>
        </w:tc>
        <w:tc>
          <w:tcPr>
            <w:tcW w:type="dxa" w:w="2160"/>
          </w:tcPr>
          <w:p>
            <w:r/>
            <w:r>
              <w:rPr>
                <w:sz w:val="19"/>
              </w:rPr>
              <w:t>23.91</w:t>
            </w:r>
          </w:p>
        </w:tc>
        <w:tc>
          <w:tcPr>
            <w:tcW w:type="dxa" w:w="2160"/>
          </w:tcPr>
          <w:p>
            <w:r/>
            <w:r>
              <w:rPr>
                <w:sz w:val="19"/>
              </w:rPr>
              <w:t>39.4</w:t>
            </w:r>
          </w:p>
        </w:tc>
      </w:tr>
      <w:tr>
        <w:tc>
          <w:tcPr>
            <w:tcW w:type="dxa" w:w="2160"/>
          </w:tcPr>
          <w:p>
            <w:r/>
            <w:r>
              <w:rPr>
                <w:sz w:val="19"/>
              </w:rPr>
              <w:t>0.90</w:t>
            </w:r>
          </w:p>
        </w:tc>
        <w:tc>
          <w:tcPr>
            <w:tcW w:type="dxa" w:w="2160"/>
          </w:tcPr>
          <w:p>
            <w:r/>
            <w:r>
              <w:rPr>
                <w:sz w:val="19"/>
              </w:rPr>
              <w:t>1514.4</w:t>
            </w:r>
          </w:p>
        </w:tc>
        <w:tc>
          <w:tcPr>
            <w:tcW w:type="dxa" w:w="2160"/>
          </w:tcPr>
          <w:p>
            <w:r/>
            <w:r>
              <w:rPr>
                <w:sz w:val="19"/>
              </w:rPr>
              <w:t>21.96</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0.357 g/kg and the nominal 95th-percentile excess reaches 0.99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36.5517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31.9:1 rather than the 33.0:1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2859 m², within roughly 47–50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0.99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0.51 against Benjamin's 0.50, which exercises the PDE core with the brine physics switched off; and the MEASURED in-class Gold Coast dataset (§10), against which the model was never fitted. That second gate is a benchmark, not a pass: the model reproduces the measured spread but errs by 0.35× to 3.4× case-by-case, and it is NOT systematically conservative — in two of the four measured cases it over-predicts dilution and therefore under-states the residual salinity. The far field is NOT calibrated to measured data and cannot be from what is available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2859 m² within roughly 47–50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solver's numerics are sound: 13/13 self-tests, machine-precision continuity, conserved mass and no eddy-viscosity railing, with the lock-exchange front Froude number reproduced to ~2%. Numerical soundness is not physical correctness — a perfectly-converged solution of the wrong problem carries identical diagnostics.</w:t>
      </w:r>
    </w:p>
    <w:p>
      <w:pPr>
        <w:pStyle w:val="ListBullet"/>
      </w:pPr>
      <w:r>
        <w:t>The NEAR FIELD is CALIBRATED to measured in-class field data: nf_dilution_cal = 0.871, fitted to the 48.4:1 dilution measured 60 m from the Gold Coast diffuser at full plant capacity (Baum 2019). The fitted field return-dilution coefficient, S_r = 1.39·Fr, is 13% below the quiescent-laboratory 1.6·Fr of Roberts et al. (1997) — a real diffuser in crossflow, waves and shear entrains less than a still tank. This LOWERS dilution and therefore RAISES the predicted footprint: calibrating against measured reality made this assessment more conservative.</w:t>
      </w:r>
    </w:p>
    <w:p>
      <w:pPr>
        <w:pStyle w:val="ListBullet"/>
      </w:pPr>
      <w:r>
        <w:t>The FAR FIELD is NOT calibrated and cannot be from the available data. farfield_disp_cal is unidentifiable — a four-fold sweep moves the modelled mixing-zone dilution by &lt;3.5%, because that station is near-field-dominated — so it remains at its physical default of 1.0: a default, not a fit. A prior revision reported that same 1.00 as a successful calibration against a transect constructed to be reproducible without tuning; that was circular, the transect has been deleted, and the claim is withdrawn.</w:t>
      </w:r>
    </w:p>
    <w:p>
      <w:pPr>
        <w:pStyle w:val="ListBullet"/>
      </w:pPr>
      <w:r>
        <w:t>The model is NOT demonstrably conservative. Against the four MEASURED Gold Coast cases its dilution error spans 0.35×–3.4×, over-predicting dilution (and so under-stating residual salinity) in two of them. The earlier claim of a uniform ~16–25% conservative bias rested on Perth's 45:1 @ 50 m DESIGN target rather than a measurement, and is withdrawn.</w:t>
      </w:r>
    </w:p>
    <w:p>
      <w:pPr>
        <w:pStyle w:val="ListBullet"/>
      </w:pPr>
      <w:r>
        <w:t>Peak salinity (36.55 g/kg) and, to a lesser degree, minimum dilution (31.9:1) are diagnostics of the prescribed source condition rather than predictions, and no change of source-blob geometry can alter that (§12.4).</w:t>
      </w:r>
    </w:p>
    <w:p>
      <w:pPr>
        <w:pStyle w:val="ListBullet"/>
      </w:pPr>
      <w:r>
        <w:t>Steady state for the source-condition metrics; the spatial metrics (r_max_m, seabed_footprint_m2)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Kurnell outfall. The near field is now calibrated to measured in-class data (Gold Coast), which is the best available substitute, but it is ANOTHER SITE — its crossflow, wave climate and diffuser geometry are not Kurnell's. Only a site survey can calibrate the far field, and it must include stations far enough beyond the mixing zone for far-field spreading to dominate, or the dispersivity will remain unidentifiable no matter how good the data.</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CALIBRATION SOURCE (near field) — Baum, M.J. (2019). Dense Jet Behaviour in Dynamic Receiving Environments. PhD thesis, School of Civil Engineering, University of Queensland, Brisbane. Chapter 2, Tables 2.2–2.3: measured discharge/ambient properties and measured plume dilution for the Gold Coast Desalination Plant offshore multiport diffuser (203 m diffuser, 14 ports at 13.9 m spacing, internal port diameter 0.238 m, inclined 60°, discharge elevation 2.5 m above the seabed, mean site depth 17.7 m). The measured boundary dilution at the 60 m mixing-zone limit, Case 3-1 (100% plant capacity, Fr = 23.4), is 48.4:1 — the target to which nf_dilution_cal = 0.871 is fitted. Read directly from the thesis; the case configuration independently reproduces the published Fr = 23.4 to within 2%.</w:t>
      </w:r>
    </w:p>
    <w:p>
      <w:pPr>
        <w:pStyle w:val="ListNumber"/>
      </w:pPr>
      <w:r>
        <w:t>CALIBRATION SOURCE (peer-reviewed version of the above) — Baum, M.J., Gibbes, B., Grinham, A., Albert, S., Fisher, P. &amp; Gale, D. (2018). Near-Field Observations of an Offshore Multiport Brine Diffuser under Various Operating Conditions. Journal of Hydraulic Engineering 144(11). doi:10.1061/(ASCE)HY.1943-7900.0001524.</w:t>
      </w:r>
    </w:p>
    <w:p>
      <w:pPr>
        <w:pStyle w:val="ListNumber"/>
      </w:pPr>
      <w:r>
        <w:t>Baum, M.J., Albert, S., Grinham, A. &amp; Gibbes, B. (2019). Spatiotemporal Influences of Open-Coastal Forcing Dynamics on a Dense Multiport Diffuser Outfall. Journal of Hydraulic Engineering 145(10). doi:10.1061/(ASCE)HY.1943-7900.0001622. (Article number not quoted: it could not be verified against the publisher's record.)</w:t>
      </w:r>
    </w:p>
    <w:p>
      <w:pPr>
        <w:pStyle w:val="ListNumber"/>
      </w:pPr>
      <w:r>
        <w:t>Baum, M.J., Gibbes, B., Grinham, A., Albert, S., Gale, D. &amp; Fisher, P. (2017). Performance Assessment of the Gold Coast Desalination Plant Offshore Multiport Brine Diffuser during 'Hot Standby' Operation. Int. J. Civil &amp; Environmental Engineering 11(6): 711–717. (Independent corroboration of the diffuser configuration used above.)</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