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Adaptive Monetization Frameworks: The Strategic Realignment of AI SaaS Pricing for the Small Business Sector (2025-2026)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Macro-Economic Architecture of AI-Driven Software Costs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into 2026 marks a decisive end to the era of predictable, seat-based SaaS economics. For over a decade, the subscription model relied on a near-zero marginal cost of service, allowing software vendors to focus almost exclusively on user acquisition and retention. However, the integration of generative artificial intelligence has reintroduced the concept of Cost of Goods Sold (COGS) to the software industry with unprecedented intensity.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shift is particularly acute in the small and medium-sized business (SMB) segment, where software spending is undergoing a radical decoupling from portfolio size. Organizations are currently maintaining flat application counts—dipping by a marginal 0.07%—while experiencing an 8% surge in annual spend, now averaging $55.7 million for companies at the upper end of the SMB-to-mid-market spectrum.</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financial volatility is primarily fueled by the emergence of the "AI Tax," a phenomenon where AI-driven price increases range from 20% to 37%, dwarfing the traditional 3% to 9% annual uplifts of the previous decade.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For the SMB, these costs are often "invisible workers" that quietly shift expenses from payroll to software budgets, masking a growing pool of usage-based spend that lacks clear ownership or governance.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market has divided into three distinct categories: AI-native applications, which have seen a 108% year-over-year growth in spend; hybrid SaaS tools, which have grown by 30%; and primarily legacy SaaS, which is currently experiencing a decline of 8.4% in the SMB segment.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data indicates that smaller firms are aggressively rationalizing their stacks, discarding traditional tools that lack AI-enhanced productivity gains in favor of high-leverage, consumption-based alternatives.</w:t>
      </w:r>
      <w:r w:rsidDel="00000000" w:rsidR="00000000" w:rsidRPr="00000000">
        <w:rPr>
          <w:rFonts w:ascii="Google Sans" w:cs="Google Sans" w:eastAsia="Google Sans" w:hAnsi="Google Sans"/>
          <w:color w:val="444746"/>
          <w:sz w:val="24"/>
          <w:szCs w:val="24"/>
          <w:vertAlign w:val="superscript"/>
          <w:rtl w:val="0"/>
        </w:rPr>
        <w:t xml:space="preserve">5</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Spending Metric (2025-2026)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AI-Native Tools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Hybrid SaaS + AI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Primarily Legacy SaaS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YoY Spend Growth (SMB)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+23.52%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+29.71%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Typical Price Increase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- 37%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- 15%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- 9%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Average Contract Term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22.4 Months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20.3 Months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18.7 Months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Predominant Model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Credit/Usage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Hybrid/Tiered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Seat-Based</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underlying mechanism of this shift is the volatility of inference costs. Unlike traditional database queries, AI model calls consume significant compute time, bandwidth, and high-cost GPU cycles. Every interaction with a large language model (LLM) represents a direct variable cost that fluctuates based on token length, model complexity, and retrieval-augmented generation (RAG) depth.</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As a result, 84% of vendors report that AI costs are eroding gross margins by at least 6%, with a quarter of the market seeing hits of 16% or more.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has necessitated the development of adaptive monetization frameworks that can protect vendor margins while providing the budget predictability required by SMB finance departments.</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Deconstruction of Prevailing AI Pricing Models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selection of a pricing model for the SMB market is a balancing act between the vendor’s need for margin protection and the buyer’s demand for risk mitigation. Four primary models have achieved dominance in the 2025-2026 landscape: Hybrid Consumption, Credit-Based Systems, Outcome-Based Monetization, and Feature-Gated Tiered Subscriptions.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Hybrid Consumption Paradigm</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hybrid model has emerged as the most resilient structure for B2B SaaS teams. It functions by combining a predictable base subscription fee—which covers fixed platform costs and basic access—with a variable tail for high-cost AI actions.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model effectively addresses the "unit economics" problem: a customer paying $99 per month for unlimited access could easily consume $500 in compute costs if they are a power user, turning a profitable account into a loss leader overnight.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By implementing a base fee plus usage overages, vendors ensure that revenue scales in direct proportion to the computational burden placed on their infrastructure.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Companies utilizing this hybrid approach report median growth rates of 21%, significantly outperforming pure subscription or pure usage models.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mechanism of value capture here is the "allocation and overage" logic. For instance, a starter tier might include 10,000 tokens or 50 "agentic tasks" per month, with additional usage billed at a per-unit rate.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provides the SMB with a "revenue floor" for the vendor and a "budget ceiling" for the customer, provided that overage alerts and spend caps are properly implemented.</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Credit-Based Systems as "Platform Currency"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Credit systems have become the preferred architecture for AI-native tools that orchestrate multiple data providers or models, such as Clay and Cursor. In these systems, credits serve as a prepaid currency that abstracts the complexity of varying API costs from different providers into a single, user-friendly metric.</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"Pricing 3.0" approach addresses major user pain points by introducing credit rollovers and automated top-ups, which prevent the "use-it-or-lose-it" pressure that previously characterized consumption-based models.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strategic advantage of credits lies in their flexibility. A vendor can price a simple email verification at 1 credit while pricing a deep AI research task (which might call multiple models like GPT-4o and Claude 3.5 Sonnet) at 25 credits.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allows for a granular alignment of price to cost without forcing the user to understand the underlying technical nuances. Furthermore, the cost per credit typically drops sharply as the SMB scales through higher tiers. In the case of GTM platforms, the cost per 1,000 credits can drop from $75 on a starter plan to just $16 on a professional plan—a 78% reduction in unit cost that incentivizes volume and creates a powerful "lock-in" effect.</w:t>
      </w:r>
      <w:r w:rsidDel="00000000" w:rsidR="00000000" w:rsidRPr="00000000">
        <w:rPr>
          <w:rFonts w:ascii="Google Sans" w:cs="Google Sans" w:eastAsia="Google Sans" w:hAnsi="Google Sans"/>
          <w:color w:val="444746"/>
          <w:sz w:val="24"/>
          <w:szCs w:val="24"/>
          <w:vertAlign w:val="superscript"/>
          <w:rtl w:val="0"/>
        </w:rPr>
        <w:t xml:space="preserve">12</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Platform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Credit Allocation (Starter)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Credit Allocation (Pro)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Unit Cost Delta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Gating Mechanic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Cursor IDE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Fast Requests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 Fast Requests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10x Included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Admin/SSO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Clay GTM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 Credits/mo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50,000 Credits/mo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5x Cheaper/Unit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CRM Integration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Canva Studio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Uses/mo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 Uses/mo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10x Included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Brand Kits/Teams</w:t>
            </w:r>
          </w:p>
        </w:tc>
      </w:tr>
    </w:tbl>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Outcome-Based and Agentic Pricing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AI transitions from a "copilot" that assists humans to an "agent" that executes work autonomously, pricing is shifting toward the value of the completed action. Outcome-based pricing captures revenue by tying it directly to the metrics the customer uses to define success, such as "invoices collected," "meetings booked," or "tickets resolved".</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model is particularly attractive to SMBs because it eliminates the "ROI risk"—the business only pays when the tool delivers a tangible result.</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outcome-based models introduce a "three-body problem" for monetization: the price must respond to changes in the product, user interaction patterns, and underlying infrastructure costs.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If an agent requires 10 iterations to solve a problem, the vendor’s cost increases while the customer’s perceived value (one resolution) remains the same. To manage this, many agentic platforms are adopting a hybrid approach where a platform fee covers the infrastructure "overhead," while credits or success fees monetize the actual outcomes.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Implementation and API Architecture for AI Billing</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complexity of managing these models requires a robust technical stack capable of real-time usage metering and high-throughput event processing. Traditional billing systems are often insufficient because they cannot handle the latency requirements or the sheer volume of events generated by AI agents.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Stripe Billing API and Metering Logic</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Stripe has evolved its billing infrastructure to support "API v2" meter event streams, which can handle up to 10,000 events per second.</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For an AI SaaS targeting SMBs, the implementation logic typically involves recording usage as it occurs or in batches. The standard integration flow requires the creation of a Meter Event, which must include an event_name, customer_id, and value.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technical challenge in this environment is maintaining idempotency. Because network latency can cause duplicate event reports, developers must use idempotency keys to ensure that a customer is not double-billed for a single AI inference.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Furthermore, Stripe's transform_quantity option allows vendors to package raw usage into billable units—for instance, dividing total tokens by 1,000 and rounding up to apply a price to "k-tokens".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Example cURL for reporting AI token usage to Stripe</w:t>
      </w:r>
      <w:r w:rsidDel="00000000" w:rsidR="00000000" w:rsidRPr="00000000">
        <w:rPr>
          <w:rFonts w:ascii="Google Sans" w:cs="Google Sans" w:eastAsia="Google Sans" w:hAnsi="Google Sans"/>
          <w:color w:val="1f1f1f"/>
          <w:shd w:fill="f0f4f9" w:val="clear"/>
          <w:rtl w:val="0"/>
        </w:rPr>
        <w:br w:type="textWrapping"/>
        <w:t xml:space="preserve">curl https://api.stripe.com/v1/billing/meter_events \</w:t>
        <w:br w:type="textWrapping"/>
        <w:t xml:space="preserve">  -u </w:t>
      </w:r>
      <w:r w:rsidDel="00000000" w:rsidR="00000000" w:rsidRPr="00000000">
        <w:rPr>
          <w:rFonts w:ascii="Google Sans" w:cs="Google Sans" w:eastAsia="Google Sans" w:hAnsi="Google Sans"/>
          <w:i w:val="0"/>
          <w:iCs w:val="0"/>
          <w:color w:val="188038"/>
          <w:sz w:val="20"/>
          <w:szCs w:val="20"/>
          <w:shd w:fill="f0f4f9" w:val="clear"/>
          <w:rtl w:val="0"/>
        </w:rPr>
        <w:t xml:space="preserve">"sk_test_..."</w:t>
      </w:r>
      <w:r w:rsidDel="00000000" w:rsidR="00000000" w:rsidRPr="00000000">
        <w:rPr>
          <w:rFonts w:ascii="Google Sans" w:cs="Google Sans" w:eastAsia="Google Sans" w:hAnsi="Google Sans"/>
          <w:color w:val="1f1f1f"/>
          <w:shd w:fill="f0f4f9" w:val="clear"/>
          <w:rtl w:val="0"/>
        </w:rPr>
        <w:t xml:space="preserve"> \</w:t>
        <w:br w:type="textWrapping"/>
        <w:t xml:space="preserve">  -d event_name=ai_inference_tokens \</w:t>
        <w:br w:type="textWrapping"/>
        <w:t xml:space="preserve">  -d </w:t>
      </w:r>
      <w:r w:rsidDel="00000000" w:rsidR="00000000" w:rsidRPr="00000000">
        <w:rPr>
          <w:rFonts w:ascii="Google Sans" w:cs="Google Sans" w:eastAsia="Google Sans" w:hAnsi="Google Sans"/>
          <w:i w:val="0"/>
          <w:iCs w:val="0"/>
          <w:color w:val="188038"/>
          <w:sz w:val="20"/>
          <w:szCs w:val="20"/>
          <w:shd w:fill="f0f4f9" w:val="clear"/>
          <w:rtl w:val="0"/>
        </w:rPr>
        <w:t xml:space="preserve">"payload[value]"</w:t>
      </w:r>
      <w:r w:rsidDel="00000000" w:rsidR="00000000" w:rsidRPr="00000000">
        <w:rPr>
          <w:rFonts w:ascii="Google Sans" w:cs="Google Sans" w:eastAsia="Google Sans" w:hAnsi="Google Sans"/>
          <w:color w:val="1f1f1f"/>
          <w:shd w:fill="f0f4f9" w:val="clear"/>
          <w:rtl w:val="0"/>
        </w:rPr>
        <w:t xml:space="preserve">=1250 \</w:t>
        <w:br w:type="textWrapping"/>
        <w:t xml:space="preserve">  -d </w:t>
      </w:r>
      <w:r w:rsidDel="00000000" w:rsidR="00000000" w:rsidRPr="00000000">
        <w:rPr>
          <w:rFonts w:ascii="Google Sans" w:cs="Google Sans" w:eastAsia="Google Sans" w:hAnsi="Google Sans"/>
          <w:i w:val="0"/>
          <w:iCs w:val="0"/>
          <w:color w:val="188038"/>
          <w:sz w:val="20"/>
          <w:szCs w:val="20"/>
          <w:shd w:fill="f0f4f9" w:val="clear"/>
          <w:rtl w:val="0"/>
        </w:rPr>
        <w:t xml:space="preserve">"payload[stripe_customer_id]"</w:t>
      </w:r>
      <w:r w:rsidDel="00000000" w:rsidR="00000000" w:rsidRPr="00000000">
        <w:rPr>
          <w:rFonts w:ascii="Google Sans" w:cs="Google Sans" w:eastAsia="Google Sans" w:hAnsi="Google Sans"/>
          <w:color w:val="1f1f1f"/>
          <w:shd w:fill="f0f4f9" w:val="clear"/>
          <w:rtl w:val="0"/>
        </w:rPr>
        <w:t xml:space="preserve">=cus_H76yTR... \</w:t>
        <w:br w:type="textWrapping"/>
        <w:t xml:space="preserve">  -H </w:t>
      </w:r>
      <w:r w:rsidDel="00000000" w:rsidR="00000000" w:rsidRPr="00000000">
        <w:rPr>
          <w:rFonts w:ascii="Google Sans" w:cs="Google Sans" w:eastAsia="Google Sans" w:hAnsi="Google Sans"/>
          <w:i w:val="0"/>
          <w:iCs w:val="0"/>
          <w:color w:val="188038"/>
          <w:sz w:val="20"/>
          <w:szCs w:val="20"/>
          <w:shd w:fill="f0f4f9" w:val="clear"/>
          <w:rtl w:val="0"/>
        </w:rPr>
        <w:t xml:space="preserve">"Idempotency-Key: unique_event_id_123"</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Orb: Real-Time Credit Ledgers and Webhook Management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more complex credit-based models, Orb provides a specialized engine that reflects changes to credit balances in real-time as events are ingested.</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is critical for preventing "revenue leakage" where a user exhausts their credits but continues to consume high-cost resources before the billing system can intercede. Orb’s architecture allows for "backdating" credits to the beginning of a billing period to cover overages that occurred in the seconds between credit depletion and system response.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key technical differentiator for agentic AI is the use of balance alerts. Vendors must configure customer.credit_balance_depleted webhooks to trigger immediate product access restrictions. The messages_blocked_until field in the application data model is often used to manage this state, ensuring that the AI agent ceases operation the millisecond the ledger hits zero.</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Metronome: SQL-Based Billable Metrics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Metronome offers a different approach by separating raw usage events from billable metrics through a streaming ingestion pipeline. This allows product teams to change pricing logic—such as switching from "per token" to "per successful resolution"—without re-instrumenting the entire codebase.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Metronome’s SQL Editor allows for complex aggregations that can account for multi-vendor cost management, such as reconciling different rates for OpenAI, Anthropic, and ElevenLabs within a single customer invoice.</w:t>
      </w:r>
      <w:r w:rsidDel="00000000" w:rsidR="00000000" w:rsidRPr="00000000">
        <w:rPr>
          <w:rFonts w:ascii="Google Sans" w:cs="Google Sans" w:eastAsia="Google Sans" w:hAnsi="Google Sans"/>
          <w:color w:val="444746"/>
          <w:sz w:val="24"/>
          <w:szCs w:val="24"/>
          <w:vertAlign w:val="superscript"/>
          <w:rtl w:val="0"/>
        </w:rPr>
        <w:t xml:space="preserve">17</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Stripe Billing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Metronome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Max Throughput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10k events/sec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High-scale ingestion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Billion-event scale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Logic Layer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Simple Meters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Ledgers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SQL/Streaming Metrics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Best For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Simple Usage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Complex Credit Models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Enterprise/Infra Scale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Edge Case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15-min Session Tokens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Backdated Credit Grants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Separation of Raw Events</w:t>
            </w:r>
          </w:p>
        </w:tc>
      </w:tr>
    </w:tbl>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Economic Impact of AI on Gross Margins and COGS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significant risk facing AI SaaS vendors is the erosion of gross margins. Unlike traditional software, where gross margins of 80-90% were the industry standard, AI-native companies are struggling to maintain 50-60%.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30% gap is the direct result of "hidden COGS"—infrastructure costs that are real but often unaccounted for in traditional profitability models.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Platforms and Unexpected Infrastructure Costs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Research indicates that the #1 source of unexpected AI costs is not actually the LLM tokens themselves, but the data platforms (e.g., Datadog, Snowflake) and network access required to support the AI environment.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Token costs typically rank fifth on the list of cost drivers. This diversity of expenses makes forecasting extremely difficult; only 15% of companies can forecast their AI costs within a ±10% margin of accuracy.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an SMB-focused vendor, this unpredictability is a existential threat. A single inefficiently designed recursive loop in an AI agent can generate thousands of dollars in infrastructure costs in a matter of minutes. This has led to the rise of the "Monetization Operating Model," which treats pricing as a continuous discipline involving research, iteration, and real-time margin monitoring.</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FinOps Imperative for SaaS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protect margins, leading organizations are applying a FinOps-style operating model to their software stacks. This involves:</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Real-Time Margin Visibility</w:t>
      </w:r>
      <w:r w:rsidDel="00000000" w:rsidR="00000000" w:rsidRPr="00000000">
        <w:rPr>
          <w:rFonts w:ascii="Google Sans" w:cs="Google Sans" w:eastAsia="Google Sans" w:hAnsi="Google Sans"/>
          <w:color w:val="1f1f1f"/>
          <w:rtl w:val="0"/>
        </w:rPr>
        <w:t xml:space="preserve">: Tracking cost-per-workflow and cost-per-customer in minutes, not at month-end.</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Token Efficiency Monitoring</w:t>
      </w:r>
      <w:r w:rsidDel="00000000" w:rsidR="00000000" w:rsidRPr="00000000">
        <w:rPr>
          <w:rFonts w:ascii="Google Sans" w:cs="Google Sans" w:eastAsia="Google Sans" w:hAnsi="Google Sans"/>
          <w:color w:val="1f1f1f"/>
          <w:rtl w:val="0"/>
        </w:rPr>
        <w:t xml:space="preserve">: Identifying which users or features are consuming disproportionate resources and adjusting tiers accordingly.</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Unified Visibility</w:t>
      </w:r>
      <w:r w:rsidDel="00000000" w:rsidR="00000000" w:rsidRPr="00000000">
        <w:rPr>
          <w:rFonts w:ascii="Google Sans" w:cs="Google Sans" w:eastAsia="Google Sans" w:hAnsi="Google Sans"/>
          <w:color w:val="1f1f1f"/>
          <w:rtl w:val="0"/>
        </w:rPr>
        <w:t xml:space="preserve">: Integrating on-premise, cloud, and third-party API costs into a single reporting dashboard to eliminate "blind spots" in cost-to-serve calculations.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relationship between revenue (</w:t>
      </w:r>
      <w:r w:rsidDel="00000000" w:rsidR="00000000" w:rsidRPr="00000000">
        <w:rPr>
          <w:rFonts w:ascii="Google Sans" w:cs="Google Sans" w:eastAsia="Google Sans" w:hAnsi="Google Sans"/>
          <w:color w:val="1f1f1f"/>
        </w:rPr>
        <w:drawing>
          <wp:inline distB="19050" distT="19050" distL="19050" distR="19050">
            <wp:extent cx="141387" cy="237788"/>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41387" cy="2377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fixed costs (</w:t>
      </w:r>
      <w:r w:rsidDel="00000000" w:rsidR="00000000" w:rsidRPr="00000000">
        <w:rPr>
          <w:rFonts w:ascii="Google Sans" w:cs="Google Sans" w:eastAsia="Google Sans" w:hAnsi="Google Sans"/>
          <w:color w:val="1f1f1f"/>
        </w:rPr>
        <w:drawing>
          <wp:inline distB="19050" distT="19050" distL="19050" distR="19050">
            <wp:extent cx="218082" cy="237325"/>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18082" cy="2373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variable inference costs (</w:t>
      </w:r>
      <w:r w:rsidDel="00000000" w:rsidR="00000000" w:rsidRPr="00000000">
        <w:rPr>
          <w:rFonts w:ascii="Google Sans" w:cs="Google Sans" w:eastAsia="Google Sans" w:hAnsi="Google Sans"/>
          <w:color w:val="1f1f1f"/>
        </w:rPr>
        <w:drawing>
          <wp:inline distB="19050" distT="19050" distL="19050" distR="19050">
            <wp:extent cx="208161" cy="233393"/>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08161" cy="2333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can be expressed as: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69215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15000" cy="69215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pure subscription model, as </w:t>
      </w:r>
      <w:r w:rsidDel="00000000" w:rsidR="00000000" w:rsidRPr="00000000">
        <w:rPr>
          <w:rFonts w:ascii="Google Sans" w:cs="Google Sans" w:eastAsia="Google Sans" w:hAnsi="Google Sans"/>
          <w:color w:val="1f1f1f"/>
        </w:rPr>
        <w:drawing>
          <wp:inline distB="19050" distT="19050" distL="19050" distR="19050">
            <wp:extent cx="208161" cy="233393"/>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08161" cy="2333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increases with usage, the margin can rapidly approach zero or become negative. Hybrid and credit-based models seek to keep </w:t>
      </w:r>
      <w:r w:rsidDel="00000000" w:rsidR="00000000" w:rsidRPr="00000000">
        <w:rPr>
          <w:rFonts w:ascii="Google Sans" w:cs="Google Sans" w:eastAsia="Google Sans" w:hAnsi="Google Sans"/>
          <w:color w:val="1f1f1f"/>
        </w:rPr>
        <w:drawing>
          <wp:inline distB="19050" distT="19050" distL="19050" distR="19050">
            <wp:extent cx="141387" cy="237788"/>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41387" cy="2377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08161" cy="233393"/>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08161" cy="2333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a linear relationship, thereby stabilizing the margin percentage across the entire customer base.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SMB Procurement Psychology: The ROI Framework</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Small business buyers are inherently more price-sensitive and risk-averse than their enterprise counterparts. For an SMB, a software subscription is often viewed through the lens of labor displacement or productivity enhancement. The "micro-win" strategy—focusing on a single workflow and proving ROI within four weeks—is the most effective way to drive adoption in this segment.</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Six-Week ROI Cycle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from 2026 indicates that SMBs achieve a positive ROI on AI investments within an average of 6 weeks.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value is typically derived from "fixing the small, repetitive bottlenecks" such as drafting emails, summarizing documents, or cleaning messy data.</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 team of three administrative workers can reclaim approximately 40 hours per month by automating these tasks—effectively adding a full workweek of capacity without increasing headcount.</w:t>
      </w:r>
      <w:r w:rsidDel="00000000" w:rsidR="00000000" w:rsidRPr="00000000">
        <w:rPr>
          <w:rFonts w:ascii="Google Sans" w:cs="Google Sans" w:eastAsia="Google Sans" w:hAnsi="Google Sans"/>
          <w:color w:val="444746"/>
          <w:sz w:val="24"/>
          <w:szCs w:val="24"/>
          <w:vertAlign w:val="superscript"/>
          <w:rtl w:val="0"/>
        </w:rPr>
        <w:t xml:space="preserve">27</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 Case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Estimated Time Saved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Typical Monthly ROI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Customer Service Chatbot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10-20 hrs/week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 - 500%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Email Automation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5-10 hrs/week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 - 400%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Invoice Processing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 hrs/week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 - 400%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Analysis/Reporting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5-8 hrs/week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 - 600%</w:t>
            </w:r>
          </w:p>
        </w:tc>
      </w:tr>
    </w:tbl>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Mitigation of the "Blank Check" Fear</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successfully sell usage-based tools to SMBs, vendors must address the fear of unpredictable costs. Successful strategies include:</w:t>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Spend Alerts and Soft Caps</w:t>
      </w:r>
      <w:r w:rsidDel="00000000" w:rsidR="00000000" w:rsidRPr="00000000">
        <w:rPr>
          <w:rFonts w:ascii="Google Sans" w:cs="Google Sans" w:eastAsia="Google Sans" w:hAnsi="Google Sans"/>
          <w:color w:val="1f1f1f"/>
          <w:rtl w:val="0"/>
        </w:rPr>
        <w:t xml:space="preserve">: Notifying the user at 80% of their limit and allowing them to choose whether to auto-pause or keep going.</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math-Based Sales Decks</w:t>
      </w:r>
      <w:r w:rsidDel="00000000" w:rsidR="00000000" w:rsidRPr="00000000">
        <w:rPr>
          <w:rFonts w:ascii="Google Sans" w:cs="Google Sans" w:eastAsia="Google Sans" w:hAnsi="Google Sans"/>
          <w:color w:val="1f1f1f"/>
          <w:rtl w:val="0"/>
        </w:rPr>
        <w:t xml:space="preserve">: Explicitly showing the cost of </w:t>
      </w:r>
      <w:r w:rsidDel="00000000" w:rsidR="00000000" w:rsidRPr="00000000">
        <w:rPr>
          <w:rFonts w:ascii="Google Sans" w:cs="Google Sans" w:eastAsia="Google Sans" w:hAnsi="Google Sans"/>
          <w:color w:val="1f1f1f"/>
        </w:rPr>
        <w:drawing>
          <wp:inline distB="19050" distT="19050" distL="19050" distR="19050">
            <wp:extent cx="167085" cy="228968"/>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67085" cy="2289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credits versus the cost of </w:t>
      </w:r>
      <w:r w:rsidDel="00000000" w:rsidR="00000000" w:rsidRPr="00000000">
        <w:rPr>
          <w:rFonts w:ascii="Google Sans" w:cs="Google Sans" w:eastAsia="Google Sans" w:hAnsi="Google Sans"/>
          <w:color w:val="1f1f1f"/>
        </w:rPr>
        <w:drawing>
          <wp:inline distB="19050" distT="19050" distL="19050" distR="19050">
            <wp:extent cx="148035" cy="228220"/>
            <wp:effectExtent b="0" l="0" r="0" t="0"/>
            <wp:docPr id="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48035" cy="228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hours of human labor. If the savings are undeniable, the usage-based risk becomes acceptable.</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Roll-over Credits</w:t>
      </w:r>
      <w:r w:rsidDel="00000000" w:rsidR="00000000" w:rsidRPr="00000000">
        <w:rPr>
          <w:rFonts w:ascii="Google Sans" w:cs="Google Sans" w:eastAsia="Google Sans" w:hAnsi="Google Sans"/>
          <w:color w:val="1f1f1f"/>
          <w:rtl w:val="0"/>
        </w:rPr>
        <w:t xml:space="preserve">: Offering a "safety net" where unused capacity can be used in future months, preventing the feeling of wasted spend during low-activity periods.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Future Outlook: Deflationary AI and Agentic Agreements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we look toward 2027 and beyond, two countervailing trends are emerging. On one hand, the rapid commoditization of AI models—where a million-dollar model today can be reproduced for $30 of compute next year—is driving a "deflationary" trend in software value.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may lead some vendors back to simple seat-based pricing as a way to differentiate on simplicity and predictability.</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 the other hand, the rise of "Agentic Enterprise License Agreements" (AELAs) suggests a move toward "all-you-can-eat" pricing for organizations that deploy armies of AI agents.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In this scenario, the traditional concept of a "user" disappears entirely, replaced by a system where the company pays for the total "computational capacity" or "outcome volume" of their autonomous workforce.</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SMB market, the winner will likely be the vendor who can provide "Invisible AI"—tools that solve specific, unglamorous problems with transparent, results-linked pricing. As software continues its transition from a "tool for humans" to a "worker for business," the ability to tie usage-based costs to measurable business outcomes will be the defining characteristic of the next generation of SaaS leaders.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and Strategic Recommendations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evidence gathered across the 2025-2026 landscape indicates that the most successful pricing models for AI SaaS targeting small businesses are those that prioritize </w:t>
      </w:r>
      <w:r w:rsidDel="00000000" w:rsidR="00000000" w:rsidRPr="00000000">
        <w:rPr>
          <w:rFonts w:ascii="Google Sans" w:cs="Google Sans" w:eastAsia="Google Sans" w:hAnsi="Google Sans"/>
          <w:b w:val="1"/>
          <w:bCs w:val="1"/>
          <w:color w:val="1f1f1f"/>
          <w:rtl w:val="0"/>
        </w:rPr>
        <w:t xml:space="preserve">transparency, predictability, and margin protection</w:t>
      </w:r>
      <w:r w:rsidDel="00000000" w:rsidR="00000000" w:rsidRPr="00000000">
        <w:rPr>
          <w:rFonts w:ascii="Google Sans" w:cs="Google Sans" w:eastAsia="Google Sans" w:hAnsi="Google Sans"/>
          <w:color w:val="1f1f1f"/>
          <w:rtl w:val="0"/>
        </w:rPr>
        <w:t xml:space="preserve">. The hybrid model, combining a base subscription with a credit-based usage tail, represents the current state-of-the-art for most B2B applications.</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Actionable Roadmap for Revenue Strategy</w:t>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Value Metric Alignment</w:t>
      </w:r>
      <w:r w:rsidDel="00000000" w:rsidR="00000000" w:rsidRPr="00000000">
        <w:rPr>
          <w:rFonts w:ascii="Google Sans" w:cs="Google Sans" w:eastAsia="Google Sans" w:hAnsi="Google Sans"/>
          <w:color w:val="1f1f1f"/>
          <w:rtl w:val="0"/>
        </w:rPr>
        <w:t xml:space="preserve">: Vendors must move beyond "tokens" and "API calls" to metrics that SMBs understand, such as "resolved issues" or "enriched leads".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Instrumentation for FinOps</w:t>
      </w:r>
      <w:r w:rsidDel="00000000" w:rsidR="00000000" w:rsidRPr="00000000">
        <w:rPr>
          <w:rFonts w:ascii="Google Sans" w:cs="Google Sans" w:eastAsia="Google Sans" w:hAnsi="Google Sans"/>
          <w:color w:val="1f1f1f"/>
          <w:rtl w:val="0"/>
        </w:rPr>
        <w:t xml:space="preserve">: Real-time metering is no longer a luxury; it is a fundamental requirement for maintaining gross margins in an environment of volatile compute costs.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Risk-Share through Outcome Pricing</w:t>
      </w:r>
      <w:r w:rsidDel="00000000" w:rsidR="00000000" w:rsidRPr="00000000">
        <w:rPr>
          <w:rFonts w:ascii="Google Sans" w:cs="Google Sans" w:eastAsia="Google Sans" w:hAnsi="Google Sans"/>
          <w:color w:val="1f1f1f"/>
          <w:rtl w:val="0"/>
        </w:rPr>
        <w:t xml:space="preserve">: In sectors like healthcare and administrative services, moving toward transaction-based or outcome-based pricing can dramatically lower the barrier to entry for cautious SMB buyers.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Governance as a Retention Tool</w:t>
      </w:r>
      <w:r w:rsidDel="00000000" w:rsidR="00000000" w:rsidRPr="00000000">
        <w:rPr>
          <w:rFonts w:ascii="Google Sans" w:cs="Google Sans" w:eastAsia="Google Sans" w:hAnsi="Google Sans"/>
          <w:color w:val="1f1f1f"/>
          <w:rtl w:val="0"/>
        </w:rPr>
        <w:t xml:space="preserve">: By providing customers with granular controls, spend alerts, and predictive usage analytics, vendors can build the trust necessary to sustain long-term, high-volume consumption relationships.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Preparation for Model Deflation</w:t>
      </w:r>
      <w:r w:rsidDel="00000000" w:rsidR="00000000" w:rsidRPr="00000000">
        <w:rPr>
          <w:rFonts w:ascii="Google Sans" w:cs="Google Sans" w:eastAsia="Google Sans" w:hAnsi="Google Sans"/>
          <w:color w:val="1f1f1f"/>
          <w:rtl w:val="0"/>
        </w:rPr>
        <w:t xml:space="preserve">: As foundation model costs drop, vendors should be prepared to pivot their pricing logic back toward higher-margin "access" tiers or value-added services that are less dependent on raw compute volume.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software market is entering its most volatile era yet, but for those who can navigate the complexities of AI monetization, the opportunity to reclaim significant portions of traditional labor budgets through autonomous software has never been greater.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successful AI SaaS of the future will be less of a "tool" and more of a "utility," priced according to the value it creates and the resources it consumes.</w:t>
      </w:r>
    </w:p>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AI pricing and monetization playbook - Bessemer Venture Partners, accessed on March 6, 2026, </w:t>
      </w:r>
      <w:hyperlink r:id="rId12">
        <w:r w:rsidDel="00000000" w:rsidR="00000000" w:rsidRPr="00000000">
          <w:rPr>
            <w:rFonts w:ascii="Google Sans" w:cs="Google Sans" w:eastAsia="Google Sans" w:hAnsi="Google Sans"/>
            <w:color w:val="0000ee"/>
            <w:sz w:val="24"/>
            <w:szCs w:val="24"/>
            <w:u w:val="single"/>
            <w:rtl w:val="0"/>
          </w:rPr>
          <w:t xml:space="preserve">https://www.bvp.com/atlas/the-ai-pricing-and-monetization-playbook</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- 2025 State of AI Cost Governance - Mavvrik: AI, accessed on March 6, 2026, </w:t>
      </w:r>
      <w:hyperlink r:id="rId13">
        <w:r w:rsidDel="00000000" w:rsidR="00000000" w:rsidRPr="00000000">
          <w:rPr>
            <w:rFonts w:ascii="Google Sans" w:cs="Google Sans" w:eastAsia="Google Sans" w:hAnsi="Google Sans"/>
            <w:color w:val="0000ee"/>
            <w:sz w:val="24"/>
            <w:szCs w:val="24"/>
            <w:u w:val="single"/>
            <w:rtl w:val="0"/>
          </w:rPr>
          <w:t xml:space="preserve">https://www.mavvrik.ai/wp-content/uploads/State-of-AI-Cost-Governance-2025_FINAL.pdf</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SaaS Management Index: How AI Is Reshaping SaaS Costs - Zylo, accessed on March 6, 2026, </w:t>
      </w:r>
      <w:hyperlink r:id="rId14">
        <w:r w:rsidDel="00000000" w:rsidR="00000000" w:rsidRPr="00000000">
          <w:rPr>
            <w:rFonts w:ascii="Google Sans" w:cs="Google Sans" w:eastAsia="Google Sans" w:hAnsi="Google Sans"/>
            <w:color w:val="0000ee"/>
            <w:sz w:val="24"/>
            <w:szCs w:val="24"/>
            <w:u w:val="single"/>
            <w:rtl w:val="0"/>
          </w:rPr>
          <w:t xml:space="preserve">https://zylo.com/reports/2026-saas-management-index/</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SaaS Is Entering Its Most Volatile Era Yet: Why AI Is Breaking The Budget - Forbes, accessed on March 6, 2026, </w:t>
      </w:r>
      <w:hyperlink r:id="rId15">
        <w:r w:rsidDel="00000000" w:rsidR="00000000" w:rsidRPr="00000000">
          <w:rPr>
            <w:rFonts w:ascii="Google Sans" w:cs="Google Sans" w:eastAsia="Google Sans" w:hAnsi="Google Sans"/>
            <w:color w:val="0000ee"/>
            <w:sz w:val="24"/>
            <w:szCs w:val="24"/>
            <w:u w:val="single"/>
            <w:rtl w:val="0"/>
          </w:rPr>
          <w:t xml:space="preserve">https://www.forbes.com/councils/forbestechcouncil/2026/03/04/saas-is-entering-its-most-volatile-era-yet-why-ai-is-breaking-the-budget/</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SaaS and AI Buying Trends Report | Tropic, accessed on March 6, 2026, </w:t>
      </w:r>
      <w:hyperlink r:id="rId16">
        <w:r w:rsidDel="00000000" w:rsidR="00000000" w:rsidRPr="00000000">
          <w:rPr>
            <w:rFonts w:ascii="Google Sans" w:cs="Google Sans" w:eastAsia="Google Sans" w:hAnsi="Google Sans"/>
            <w:color w:val="0000ee"/>
            <w:sz w:val="24"/>
            <w:szCs w:val="24"/>
            <w:u w:val="single"/>
            <w:rtl w:val="0"/>
          </w:rPr>
          <w:t xml:space="preserve">https://www.tropicapp.io/reports/software-spending-trends-2025</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Pricing Models: Why AI Companies Are Combining Usage ..., accessed on March 6, 2026, </w:t>
      </w:r>
      <w:hyperlink r:id="rId17">
        <w:r w:rsidDel="00000000" w:rsidR="00000000" w:rsidRPr="00000000">
          <w:rPr>
            <w:rFonts w:ascii="Google Sans" w:cs="Google Sans" w:eastAsia="Google Sans" w:hAnsi="Google Sans"/>
            <w:color w:val="0000ee"/>
            <w:sz w:val="24"/>
            <w:szCs w:val="24"/>
            <w:u w:val="single"/>
            <w:rtl w:val="0"/>
          </w:rPr>
          <w:t xml:space="preserve">https://www.runonatlas.com/blog-posts/hybrid-pricing-models-why-ai-companies-are-combining-usage-credits-and-subscriptions</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Pricing strategies for AI companies: Designing models that scale with computing and value, accessed on March 6, 2026, </w:t>
      </w:r>
      <w:hyperlink r:id="rId18">
        <w:r w:rsidDel="00000000" w:rsidR="00000000" w:rsidRPr="00000000">
          <w:rPr>
            <w:rFonts w:ascii="Google Sans" w:cs="Google Sans" w:eastAsia="Google Sans" w:hAnsi="Google Sans"/>
            <w:color w:val="0000ee"/>
            <w:sz w:val="24"/>
            <w:szCs w:val="24"/>
            <w:u w:val="single"/>
            <w:rtl w:val="0"/>
          </w:rPr>
          <w:t xml:space="preserve">https://stripe.com/resources/more/pricing-strategies-for-ai-companies</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Agentic AI Pricing Models (Usage-Based, Fixed, and Hybrid), accessed on March 6, 2026, </w:t>
      </w:r>
      <w:hyperlink r:id="rId19">
        <w:r w:rsidDel="00000000" w:rsidR="00000000" w:rsidRPr="00000000">
          <w:rPr>
            <w:rFonts w:ascii="Google Sans" w:cs="Google Sans" w:eastAsia="Google Sans" w:hAnsi="Google Sans"/>
            <w:color w:val="0000ee"/>
            <w:sz w:val="24"/>
            <w:szCs w:val="24"/>
            <w:u w:val="single"/>
            <w:rtl w:val="0"/>
          </w:rPr>
          <w:t xml:space="preserve">https://www.getmonetizely.com/articles/the-complete-guide-to-agentic-ai-pricing-models-usage-based-fixed-and-hybrid</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Pricing Trends Report: Usage-Based Models &amp; SaaS Growth - Maxio, accessed on March 6, 2026, </w:t>
      </w:r>
      <w:hyperlink r:id="rId20">
        <w:r w:rsidDel="00000000" w:rsidR="00000000" w:rsidRPr="00000000">
          <w:rPr>
            <w:rFonts w:ascii="Google Sans" w:cs="Google Sans" w:eastAsia="Google Sans" w:hAnsi="Google Sans"/>
            <w:color w:val="0000ee"/>
            <w:sz w:val="24"/>
            <w:szCs w:val="24"/>
            <w:u w:val="single"/>
            <w:rtl w:val="0"/>
          </w:rPr>
          <w:t xml:space="preserve">https://www.maxio.com/resources/2025-saas-pricing-trends-report</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Clay Built A Value-Led Credit Model For AI With Unit Economics At The Center, accessed on March 6, 2026, </w:t>
      </w:r>
      <w:hyperlink r:id="rId21">
        <w:r w:rsidDel="00000000" w:rsidR="00000000" w:rsidRPr="00000000">
          <w:rPr>
            <w:rFonts w:ascii="Google Sans" w:cs="Google Sans" w:eastAsia="Google Sans" w:hAnsi="Google Sans"/>
            <w:color w:val="0000ee"/>
            <w:sz w:val="24"/>
            <w:szCs w:val="24"/>
            <w:u w:val="single"/>
            <w:rtl w:val="0"/>
          </w:rPr>
          <w:t xml:space="preserve">https://www.chargebee.com/blog/how-clay-built-a-value-led-credit-model-for-ai-with-unit-economics-at-the-center/</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Clay Pricing 2025: An Expert's Deep Dive into Cost, Features, and Value - Skywork.ai, accessed on March 6, 2026, </w:t>
      </w:r>
      <w:hyperlink r:id="rId22">
        <w:r w:rsidDel="00000000" w:rsidR="00000000" w:rsidRPr="00000000">
          <w:rPr>
            <w:rFonts w:ascii="Google Sans" w:cs="Google Sans" w:eastAsia="Google Sans" w:hAnsi="Google Sans"/>
            <w:color w:val="0000ee"/>
            <w:sz w:val="24"/>
            <w:szCs w:val="24"/>
            <w:u w:val="single"/>
            <w:rtl w:val="0"/>
          </w:rPr>
          <w:t xml:space="preserve">https://skywork.ai/skypage/en/Clay-Pricing-2025:-An-Expert's-Deep-Dive-into-Cost,-Features,-and-Value/1974391827028045824</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Clay Pricing Breakdown 2026: Plans, Credits, and Total Cost of Ownership | Salesmotion, accessed on March 6, 2026, </w:t>
      </w:r>
      <w:hyperlink r:id="rId23">
        <w:r w:rsidDel="00000000" w:rsidR="00000000" w:rsidRPr="00000000">
          <w:rPr>
            <w:rFonts w:ascii="Google Sans" w:cs="Google Sans" w:eastAsia="Google Sans" w:hAnsi="Google Sans"/>
            <w:color w:val="0000ee"/>
            <w:sz w:val="24"/>
            <w:szCs w:val="24"/>
            <w:u w:val="single"/>
            <w:rtl w:val="0"/>
          </w:rPr>
          <w:t xml:space="preserve">https://salesmotion.io/blog/clay-pricing</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Clay Pricing in 2026: Plans, Credits &amp; Real Costs - Prospeo, accessed on March 6, 2026, </w:t>
      </w:r>
      <w:hyperlink r:id="rId24">
        <w:r w:rsidDel="00000000" w:rsidR="00000000" w:rsidRPr="00000000">
          <w:rPr>
            <w:rFonts w:ascii="Google Sans" w:cs="Google Sans" w:eastAsia="Google Sans" w:hAnsi="Google Sans"/>
            <w:color w:val="0000ee"/>
            <w:sz w:val="24"/>
            <w:szCs w:val="24"/>
            <w:u w:val="single"/>
            <w:rtl w:val="0"/>
          </w:rPr>
          <w:t xml:space="preserve">https://prospeo.io/s/clay-pricing</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AI Pricing Explained: Free vs Pro vs Business - LowCode Agency, accessed on March 6, 2026, </w:t>
      </w:r>
      <w:hyperlink r:id="rId25">
        <w:r w:rsidDel="00000000" w:rsidR="00000000" w:rsidRPr="00000000">
          <w:rPr>
            <w:rFonts w:ascii="Google Sans" w:cs="Google Sans" w:eastAsia="Google Sans" w:hAnsi="Google Sans"/>
            <w:color w:val="0000ee"/>
            <w:sz w:val="24"/>
            <w:szCs w:val="24"/>
            <w:u w:val="single"/>
            <w:rtl w:val="0"/>
          </w:rPr>
          <w:t xml:space="preserve">https://www.lowcode.agency/blog/cursor-ai-pricing</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complete guide to Canva AI pricing in 2025: Is it worth it?, accessed on March 6, 2026, </w:t>
      </w:r>
      <w:hyperlink r:id="rId26">
        <w:r w:rsidDel="00000000" w:rsidR="00000000" w:rsidRPr="00000000">
          <w:rPr>
            <w:rFonts w:ascii="Google Sans" w:cs="Google Sans" w:eastAsia="Google Sans" w:hAnsi="Google Sans"/>
            <w:color w:val="0000ee"/>
            <w:sz w:val="24"/>
            <w:szCs w:val="24"/>
            <w:u w:val="single"/>
            <w:rtl w:val="0"/>
          </w:rPr>
          <w:t xml:space="preserve">https://www.eesel.ai/blog/canva-ai-pricing</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Selling Intelligence: The 2026 Playbook For Pricing AI Agents, accessed on March 6, 2026, </w:t>
      </w:r>
      <w:hyperlink r:id="rId27">
        <w:r w:rsidDel="00000000" w:rsidR="00000000" w:rsidRPr="00000000">
          <w:rPr>
            <w:rFonts w:ascii="Google Sans" w:cs="Google Sans" w:eastAsia="Google Sans" w:hAnsi="Google Sans"/>
            <w:color w:val="0000ee"/>
            <w:sz w:val="24"/>
            <w:szCs w:val="24"/>
            <w:u w:val="single"/>
            <w:rtl w:val="0"/>
          </w:rPr>
          <w:t xml:space="preserve">https://www.chargebee.com/blog/pricing-ai-agents-playbook/</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features AI Agents need in a billing system - Paid.ai, accessed on March 6, 2026, </w:t>
      </w:r>
      <w:hyperlink r:id="rId28">
        <w:r w:rsidDel="00000000" w:rsidR="00000000" w:rsidRPr="00000000">
          <w:rPr>
            <w:rFonts w:ascii="Google Sans" w:cs="Google Sans" w:eastAsia="Google Sans" w:hAnsi="Google Sans"/>
            <w:color w:val="0000ee"/>
            <w:sz w:val="24"/>
            <w:szCs w:val="24"/>
            <w:u w:val="single"/>
            <w:rtl w:val="0"/>
          </w:rPr>
          <w:t xml:space="preserve">https://paid.ai/blog/billing/10-features-ai-agents-need-in-a-billing-system</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Record usage for billing with the API - Stripe Documentation, accessed on March 6, 2026, </w:t>
      </w:r>
      <w:hyperlink r:id="rId29">
        <w:r w:rsidDel="00000000" w:rsidR="00000000" w:rsidRPr="00000000">
          <w:rPr>
            <w:rFonts w:ascii="Google Sans" w:cs="Google Sans" w:eastAsia="Google Sans" w:hAnsi="Google Sans"/>
            <w:color w:val="0000ee"/>
            <w:sz w:val="24"/>
            <w:szCs w:val="24"/>
            <w:u w:val="single"/>
            <w:rtl w:val="0"/>
          </w:rPr>
          <w:t xml:space="preserve">https://docs.stripe.com/billing/subscriptions/usage-based/recording-usage-api</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Manage your usage-based billing setup - Stripe Documentation, accessed on March 6, 2026, </w:t>
      </w:r>
      <w:hyperlink r:id="rId30">
        <w:r w:rsidDel="00000000" w:rsidR="00000000" w:rsidRPr="00000000">
          <w:rPr>
            <w:rFonts w:ascii="Google Sans" w:cs="Google Sans" w:eastAsia="Google Sans" w:hAnsi="Google Sans"/>
            <w:color w:val="0000ee"/>
            <w:sz w:val="24"/>
            <w:szCs w:val="24"/>
            <w:u w:val="single"/>
            <w:rtl w:val="0"/>
          </w:rPr>
          <w:t xml:space="preserve">https://docs.stripe.com/billing/subscriptions/usage-based/manage-billing-setup</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Configure prepaid credits - Orb, accessed on March 6, 2026, </w:t>
      </w:r>
      <w:hyperlink r:id="rId31">
        <w:r w:rsidDel="00000000" w:rsidR="00000000" w:rsidRPr="00000000">
          <w:rPr>
            <w:rFonts w:ascii="Google Sans" w:cs="Google Sans" w:eastAsia="Google Sans" w:hAnsi="Google Sans"/>
            <w:color w:val="0000ee"/>
            <w:sz w:val="24"/>
            <w:szCs w:val="24"/>
            <w:u w:val="single"/>
            <w:rtl w:val="0"/>
          </w:rPr>
          <w:t xml:space="preserve">https://docs.withorb.com/product-catalog/prepurchase</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 access with prepaid credits - Orb, accessed on March 6, 2026, </w:t>
      </w:r>
      <w:hyperlink r:id="rId32">
        <w:r w:rsidDel="00000000" w:rsidR="00000000" w:rsidRPr="00000000">
          <w:rPr>
            <w:rFonts w:ascii="Google Sans" w:cs="Google Sans" w:eastAsia="Google Sans" w:hAnsi="Google Sans"/>
            <w:color w:val="0000ee"/>
            <w:sz w:val="24"/>
            <w:szCs w:val="24"/>
            <w:u w:val="single"/>
            <w:rtl w:val="0"/>
          </w:rPr>
          <w:t xml:space="preserve">https://docs.withorb.com/self-serve/product-access</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Flexprice vs Metronome: Which Usage-Based Billing Platform Should You Choose?, accessed on March 6, 2026, </w:t>
      </w:r>
      <w:hyperlink r:id="rId33">
        <w:r w:rsidDel="00000000" w:rsidR="00000000" w:rsidRPr="00000000">
          <w:rPr>
            <w:rFonts w:ascii="Google Sans" w:cs="Google Sans" w:eastAsia="Google Sans" w:hAnsi="Google Sans"/>
            <w:color w:val="0000ee"/>
            <w:sz w:val="24"/>
            <w:szCs w:val="24"/>
            <w:u w:val="single"/>
            <w:rtl w:val="0"/>
          </w:rPr>
          <w:t xml:space="preserve">https://flexprice.io/blog/flexprice-vs-metronome-usage-based-billing-comparison</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Consumption Based Billing Tools for Support AI in 2025 | Flexprice, accessed on March 6, 2026, </w:t>
      </w:r>
      <w:hyperlink r:id="rId34">
        <w:r w:rsidDel="00000000" w:rsidR="00000000" w:rsidRPr="00000000">
          <w:rPr>
            <w:rFonts w:ascii="Google Sans" w:cs="Google Sans" w:eastAsia="Google Sans" w:hAnsi="Google Sans"/>
            <w:color w:val="0000ee"/>
            <w:sz w:val="24"/>
            <w:szCs w:val="24"/>
            <w:u w:val="single"/>
            <w:rtl w:val="0"/>
          </w:rPr>
          <w:t xml:space="preserve">https://flexprice.io/blog/best-consumption-based-billing-tools-for-support-ai</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billing automation for SaaS companies: 6 top tools - Alguna Blog, accessed on March 6, 2026, </w:t>
      </w:r>
      <w:hyperlink r:id="rId35">
        <w:r w:rsidDel="00000000" w:rsidR="00000000" w:rsidRPr="00000000">
          <w:rPr>
            <w:rFonts w:ascii="Google Sans" w:cs="Google Sans" w:eastAsia="Google Sans" w:hAnsi="Google Sans"/>
            <w:color w:val="0000ee"/>
            <w:sz w:val="24"/>
            <w:szCs w:val="24"/>
            <w:u w:val="single"/>
            <w:rtl w:val="0"/>
          </w:rPr>
          <w:t xml:space="preserve">https://blog.alguna.com/ai-billing-automation-saas/</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 Best Usage-Based Billing Software for SaaS 2025 - UniBee, accessed on March 6, 2026, </w:t>
      </w:r>
      <w:hyperlink r:id="rId36">
        <w:r w:rsidDel="00000000" w:rsidR="00000000" w:rsidRPr="00000000">
          <w:rPr>
            <w:rFonts w:ascii="Google Sans" w:cs="Google Sans" w:eastAsia="Google Sans" w:hAnsi="Google Sans"/>
            <w:color w:val="0000ee"/>
            <w:sz w:val="24"/>
            <w:szCs w:val="24"/>
            <w:u w:val="single"/>
            <w:rtl w:val="0"/>
          </w:rPr>
          <w:t xml:space="preserve">https://unibee.dev/blog/12-best-usage-based-billing-software-for-saas-2025/</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Monetization Operating Model: Key Insights &amp; Framework ..., accessed on March 6, 2026, </w:t>
      </w:r>
      <w:hyperlink r:id="rId37">
        <w:r w:rsidDel="00000000" w:rsidR="00000000" w:rsidRPr="00000000">
          <w:rPr>
            <w:rFonts w:ascii="Google Sans" w:cs="Google Sans" w:eastAsia="Google Sans" w:hAnsi="Google Sans"/>
            <w:color w:val="0000ee"/>
            <w:sz w:val="24"/>
            <w:szCs w:val="24"/>
            <w:u w:val="single"/>
            <w:rtl w:val="0"/>
          </w:rPr>
          <w:t xml:space="preserve">https://metronome.com/blog/monetization-operating-model</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Adoption for SMBs: Practical Steps That Deliver ROI, Not Over-Hype, accessed on March 6, 2026, </w:t>
      </w:r>
      <w:hyperlink r:id="rId38">
        <w:r w:rsidDel="00000000" w:rsidR="00000000" w:rsidRPr="00000000">
          <w:rPr>
            <w:rFonts w:ascii="Google Sans" w:cs="Google Sans" w:eastAsia="Google Sans" w:hAnsi="Google Sans"/>
            <w:color w:val="0000ee"/>
            <w:sz w:val="24"/>
            <w:szCs w:val="24"/>
            <w:u w:val="single"/>
            <w:rtl w:val="0"/>
          </w:rPr>
          <w:t xml:space="preserve">https://www.pendulummag.com/business/2025/11/22/ai-adoption-for-smbs-practical-steps-that-deliver-roi-not-over-hype</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SMB AI ROI: Getting Started with Business AI in 2026, accessed on March 6, 2026, </w:t>
      </w:r>
      <w:hyperlink r:id="rId39">
        <w:r w:rsidDel="00000000" w:rsidR="00000000" w:rsidRPr="00000000">
          <w:rPr>
            <w:rFonts w:ascii="Google Sans" w:cs="Google Sans" w:eastAsia="Google Sans" w:hAnsi="Google Sans"/>
            <w:color w:val="0000ee"/>
            <w:sz w:val="24"/>
            <w:szCs w:val="24"/>
            <w:u w:val="single"/>
            <w:rtl w:val="0"/>
          </w:rPr>
          <w:t xml:space="preserve">https://www.swfte.com/blog/smb-ai-roi-guide</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Seat vs usage based pricing : r/SaaS - Reddit, accessed on March 6, 2026, </w:t>
      </w:r>
      <w:hyperlink r:id="rId40">
        <w:r w:rsidDel="00000000" w:rsidR="00000000" w:rsidRPr="00000000">
          <w:rPr>
            <w:rFonts w:ascii="Google Sans" w:cs="Google Sans" w:eastAsia="Google Sans" w:hAnsi="Google Sans"/>
            <w:color w:val="0000ee"/>
            <w:sz w:val="24"/>
            <w:szCs w:val="24"/>
            <w:u w:val="single"/>
            <w:rtl w:val="0"/>
          </w:rPr>
          <w:t xml:space="preserve">https://www.reddit.com/r/SaaS/comments/1r1k8sx/seat_vs_usage_based_pricing/</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2026 Guide to SaaS, AI, and Agentic Pricing Models - Monetizely, accessed on March 6, 2026, </w:t>
      </w:r>
      <w:hyperlink r:id="rId41">
        <w:r w:rsidDel="00000000" w:rsidR="00000000" w:rsidRPr="00000000">
          <w:rPr>
            <w:rFonts w:ascii="Google Sans" w:cs="Google Sans" w:eastAsia="Google Sans" w:hAnsi="Google Sans"/>
            <w:color w:val="0000ee"/>
            <w:sz w:val="24"/>
            <w:szCs w:val="24"/>
            <w:u w:val="single"/>
            <w:rtl w:val="0"/>
          </w:rPr>
          <w:t xml:space="preserve">https://www.getmonetizely.com/blogs/the-2026-guide-to-saas-ai-and-agentic-pricing-models</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Enterprise AI Revolution: 20 SaaS and AI Trends Redefining Corporate America in 2026 - Correct Context, accessed on March 6, 2026, </w:t>
      </w:r>
      <w:hyperlink r:id="rId42">
        <w:r w:rsidDel="00000000" w:rsidR="00000000" w:rsidRPr="00000000">
          <w:rPr>
            <w:rFonts w:ascii="Google Sans" w:cs="Google Sans" w:eastAsia="Google Sans" w:hAnsi="Google Sans"/>
            <w:color w:val="0000ee"/>
            <w:sz w:val="24"/>
            <w:szCs w:val="24"/>
            <w:u w:val="single"/>
            <w:rtl w:val="0"/>
          </w:rPr>
          <w:t xml:space="preserve">https://correctcontext.com/the-enterprise-ai-revolution-20-saas-and-ai-trends-redefining-corporate-america-in-2026/</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Billing Agentic AI Workflows Pricing Hybrid LLM and Retrieval and Tools Chains - Kinde, accessed on March 6, 2026, </w:t>
      </w:r>
      <w:hyperlink r:id="rId43">
        <w:r w:rsidDel="00000000" w:rsidR="00000000" w:rsidRPr="00000000">
          <w:rPr>
            <w:rFonts w:ascii="Google Sans" w:cs="Google Sans" w:eastAsia="Google Sans" w:hAnsi="Google Sans"/>
            <w:color w:val="0000ee"/>
            <w:sz w:val="24"/>
            <w:szCs w:val="24"/>
            <w:u w:val="single"/>
            <w:rtl w:val="0"/>
          </w:rPr>
          <w:t xml:space="preserve">https://kinde.com/learn/billing/billing-for-ai/billing-agentic-ai-workflows-pricing-hybrid-llm-retrieval-tools-chains/</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Startups Are Tying Fees to Completed Tasks. Will Hospitals Buy In?, accessed on March 6, 2026, </w:t>
      </w:r>
      <w:hyperlink r:id="rId44">
        <w:r w:rsidDel="00000000" w:rsidR="00000000" w:rsidRPr="00000000">
          <w:rPr>
            <w:rFonts w:ascii="Google Sans" w:cs="Google Sans" w:eastAsia="Google Sans" w:hAnsi="Google Sans"/>
            <w:color w:val="0000ee"/>
            <w:sz w:val="24"/>
            <w:szCs w:val="24"/>
            <w:u w:val="single"/>
            <w:rtl w:val="0"/>
          </w:rPr>
          <w:t xml:space="preserve">https://medcitynews.com/2026/03/ai-startups-hospitals-healthcare/</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Usage metering: A guide for businesses - Billing - Stripe, accessed on March 6, 2026, </w:t>
      </w:r>
      <w:hyperlink r:id="rId45">
        <w:r w:rsidDel="00000000" w:rsidR="00000000" w:rsidRPr="00000000">
          <w:rPr>
            <w:rFonts w:ascii="Google Sans" w:cs="Google Sans" w:eastAsia="Google Sans" w:hAnsi="Google Sans"/>
            <w:color w:val="0000ee"/>
            <w:sz w:val="24"/>
            <w:szCs w:val="24"/>
            <w:u w:val="single"/>
            <w:rtl w:val="0"/>
          </w:rPr>
          <w:t xml:space="preserve">https://stripe.com/en-br/resources/more/usage-metering</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Spend management - Orb, accessed on March 6, 2026, </w:t>
      </w:r>
      <w:hyperlink r:id="rId46">
        <w:r w:rsidDel="00000000" w:rsidR="00000000" w:rsidRPr="00000000">
          <w:rPr>
            <w:rFonts w:ascii="Google Sans" w:cs="Google Sans" w:eastAsia="Google Sans" w:hAnsi="Google Sans"/>
            <w:color w:val="0000ee"/>
            <w:sz w:val="24"/>
            <w:szCs w:val="24"/>
            <w:u w:val="single"/>
            <w:rtl w:val="0"/>
          </w:rPr>
          <w:t xml:space="preserve">https://docs.withorb.com/usage-alerting/spend-management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SaaS/comments/1r1k8sx/seat_vs_usage_based_pricing/" TargetMode="External"/><Relationship Id="rId20" Type="http://schemas.openxmlformats.org/officeDocument/2006/relationships/hyperlink" Target="https://www.maxio.com/resources/2025-saas-pricing-trends-report" TargetMode="External"/><Relationship Id="rId42" Type="http://schemas.openxmlformats.org/officeDocument/2006/relationships/hyperlink" Target="https://correctcontext.com/the-enterprise-ai-revolution-20-saas-and-ai-trends-redefining-corporate-america-in-2026/" TargetMode="External"/><Relationship Id="rId41" Type="http://schemas.openxmlformats.org/officeDocument/2006/relationships/hyperlink" Target="https://www.getmonetizely.com/blogs/the-2026-guide-to-saas-ai-and-agentic-pricing-models" TargetMode="External"/><Relationship Id="rId22" Type="http://schemas.openxmlformats.org/officeDocument/2006/relationships/hyperlink" Target="https://skywork.ai/skypage/en/Clay-Pricing-2025:-An-Expert's-Deep-Dive-into-Cost,-Features,-and-Value/1974391827028045824" TargetMode="External"/><Relationship Id="rId44" Type="http://schemas.openxmlformats.org/officeDocument/2006/relationships/hyperlink" Target="https://medcitynews.com/2026/03/ai-startups-hospitals-healthcare/" TargetMode="External"/><Relationship Id="rId21" Type="http://schemas.openxmlformats.org/officeDocument/2006/relationships/hyperlink" Target="https://www.chargebee.com/blog/how-clay-built-a-value-led-credit-model-for-ai-with-unit-economics-at-the-center/" TargetMode="External"/><Relationship Id="rId43" Type="http://schemas.openxmlformats.org/officeDocument/2006/relationships/hyperlink" Target="https://kinde.com/learn/billing/billing-for-ai/billing-agentic-ai-workflows-pricing-hybrid-llm-retrieval-tools-chains/" TargetMode="External"/><Relationship Id="rId24" Type="http://schemas.openxmlformats.org/officeDocument/2006/relationships/hyperlink" Target="https://prospeo.io/s/clay-pricing" TargetMode="External"/><Relationship Id="rId46" Type="http://schemas.openxmlformats.org/officeDocument/2006/relationships/hyperlink" Target="https://docs.withorb.com/usage-alerting/spend-management" TargetMode="External"/><Relationship Id="rId23" Type="http://schemas.openxmlformats.org/officeDocument/2006/relationships/hyperlink" Target="https://salesmotion.io/blog/clay-pricing" TargetMode="External"/><Relationship Id="rId45" Type="http://schemas.openxmlformats.org/officeDocument/2006/relationships/hyperlink" Target="https://stripe.com/en-br/resources/more/usage-mete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www.eesel.ai/blog/canva-ai-pricing" TargetMode="External"/><Relationship Id="rId25" Type="http://schemas.openxmlformats.org/officeDocument/2006/relationships/hyperlink" Target="https://www.lowcode.agency/blog/cursor-ai-pricing" TargetMode="External"/><Relationship Id="rId28" Type="http://schemas.openxmlformats.org/officeDocument/2006/relationships/hyperlink" Target="https://paid.ai/blog/billing/10-features-ai-agents-need-in-a-billing-system" TargetMode="External"/><Relationship Id="rId27" Type="http://schemas.openxmlformats.org/officeDocument/2006/relationships/hyperlink" Target="https://www.chargebee.com/blog/pricing-ai-agents-playbook/"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docs.stripe.com/billing/subscriptions/usage-based/recording-usage-api" TargetMode="External"/><Relationship Id="rId7" Type="http://schemas.openxmlformats.org/officeDocument/2006/relationships/image" Target="media/image4.png"/><Relationship Id="rId8" Type="http://schemas.openxmlformats.org/officeDocument/2006/relationships/image" Target="media/image5.png"/><Relationship Id="rId31" Type="http://schemas.openxmlformats.org/officeDocument/2006/relationships/hyperlink" Target="https://docs.withorb.com/product-catalog/prepurchase" TargetMode="External"/><Relationship Id="rId30" Type="http://schemas.openxmlformats.org/officeDocument/2006/relationships/hyperlink" Target="https://docs.stripe.com/billing/subscriptions/usage-based/manage-billing-setup" TargetMode="External"/><Relationship Id="rId11" Type="http://schemas.openxmlformats.org/officeDocument/2006/relationships/image" Target="media/image1.png"/><Relationship Id="rId33" Type="http://schemas.openxmlformats.org/officeDocument/2006/relationships/hyperlink" Target="https://flexprice.io/blog/flexprice-vs-metronome-usage-based-billing-comparison" TargetMode="External"/><Relationship Id="rId10" Type="http://schemas.openxmlformats.org/officeDocument/2006/relationships/image" Target="media/image2.png"/><Relationship Id="rId32" Type="http://schemas.openxmlformats.org/officeDocument/2006/relationships/hyperlink" Target="https://docs.withorb.com/self-serve/product-access" TargetMode="External"/><Relationship Id="rId13" Type="http://schemas.openxmlformats.org/officeDocument/2006/relationships/hyperlink" Target="https://www.mavvrik.ai/wp-content/uploads/State-of-AI-Cost-Governance-2025_FINAL.pdf" TargetMode="External"/><Relationship Id="rId35" Type="http://schemas.openxmlformats.org/officeDocument/2006/relationships/hyperlink" Target="https://blog.alguna.com/ai-billing-automation-saas/" TargetMode="External"/><Relationship Id="rId12" Type="http://schemas.openxmlformats.org/officeDocument/2006/relationships/hyperlink" Target="https://www.bvp.com/atlas/the-ai-pricing-and-monetization-playbook" TargetMode="External"/><Relationship Id="rId34" Type="http://schemas.openxmlformats.org/officeDocument/2006/relationships/hyperlink" Target="https://flexprice.io/blog/best-consumption-based-billing-tools-for-support-ai" TargetMode="External"/><Relationship Id="rId15" Type="http://schemas.openxmlformats.org/officeDocument/2006/relationships/hyperlink" Target="https://www.forbes.com/councils/forbestechcouncil/2026/03/04/saas-is-entering-its-most-volatile-era-yet-why-ai-is-breaking-the-budget/" TargetMode="External"/><Relationship Id="rId37" Type="http://schemas.openxmlformats.org/officeDocument/2006/relationships/hyperlink" Target="https://metronome.com/blog/monetization-operating-model" TargetMode="External"/><Relationship Id="rId14" Type="http://schemas.openxmlformats.org/officeDocument/2006/relationships/hyperlink" Target="https://zylo.com/reports/2026-saas-management-index/" TargetMode="External"/><Relationship Id="rId36" Type="http://schemas.openxmlformats.org/officeDocument/2006/relationships/hyperlink" Target="https://unibee.dev/blog/12-best-usage-based-billing-software-for-saas-2025/" TargetMode="External"/><Relationship Id="rId17" Type="http://schemas.openxmlformats.org/officeDocument/2006/relationships/hyperlink" Target="https://www.runonatlas.com/blog-posts/hybrid-pricing-models-why-ai-companies-are-combining-usage-credits-and-subscriptions" TargetMode="External"/><Relationship Id="rId39" Type="http://schemas.openxmlformats.org/officeDocument/2006/relationships/hyperlink" Target="https://www.swfte.com/blog/smb-ai-roi-guide" TargetMode="External"/><Relationship Id="rId16" Type="http://schemas.openxmlformats.org/officeDocument/2006/relationships/hyperlink" Target="https://www.tropicapp.io/reports/software-spending-trends-2025" TargetMode="External"/><Relationship Id="rId38" Type="http://schemas.openxmlformats.org/officeDocument/2006/relationships/hyperlink" Target="https://www.pendulummag.com/business/2025/11/22/ai-adoption-for-smbs-practical-steps-that-deliver-roi-not-over-hype" TargetMode="External"/><Relationship Id="rId19" Type="http://schemas.openxmlformats.org/officeDocument/2006/relationships/hyperlink" Target="https://www.getmonetizely.com/articles/the-complete-guide-to-agentic-ai-pricing-models-usage-based-fixed-and-hybrid" TargetMode="External"/><Relationship Id="rId18" Type="http://schemas.openxmlformats.org/officeDocument/2006/relationships/hyperlink" Target="https://stripe.com/resources/more/pricing-strategies-for-ai-compani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