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aedkot7q71fe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 2026 Small Business AI Landscape: Strategic &amp; Technical Integration</w:t>
      </w:r>
    </w:p>
    <w:p w:rsidR="00000000" w:rsidDel="00000000" w:rsidP="00000000" w:rsidRDefault="00000000" w:rsidRPr="00000000" w14:paraId="00000002">
      <w:pPr>
        <w:spacing w:after="240" w:lineRule="auto"/>
        <w:rPr/>
      </w:pPr>
      <w:r w:rsidDel="00000000" w:rsidR="00000000" w:rsidRPr="00000000">
        <w:rPr>
          <w:rtl w:val="0"/>
        </w:rPr>
        <w:t xml:space="preserve">By early 2026, the small and medium-sized enterprise (SME) sector has transitioned from experimental digital adoption to a phase of deep, agentic integration. Sophisticated, enterprise-grade intelligence is now accessible to organizations with limited headcounts, a phenomenon known as the </w:t>
      </w:r>
      <w:r w:rsidDel="00000000" w:rsidR="00000000" w:rsidRPr="00000000">
        <w:rPr>
          <w:b w:val="1"/>
          <w:bCs w:val="1"/>
          <w:rtl w:val="0"/>
        </w:rPr>
        <w:t xml:space="preserve">"End of the Technical Divide"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0n6eh3sm2o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I. Market Dynamics and Economic Foundation</w:t>
      </w:r>
    </w:p>
    <w:p w:rsidR="00000000" w:rsidDel="00000000" w:rsidP="00000000" w:rsidRDefault="00000000" w:rsidRPr="00000000" w14:paraId="00000005">
      <w:pPr>
        <w:spacing w:after="240" w:lineRule="auto"/>
        <w:rPr/>
      </w:pPr>
      <w:r w:rsidDel="00000000" w:rsidR="00000000" w:rsidRPr="00000000">
        <w:rPr>
          <w:rtl w:val="0"/>
        </w:rPr>
        <w:t xml:space="preserve">The AI market in 2026 is defined by unprecedented capital concentration and a shift toward "Labor as a Service" (LaaS).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Venture Capital:</w:t>
      </w:r>
      <w:r w:rsidDel="00000000" w:rsidR="00000000" w:rsidRPr="00000000">
        <w:rPr>
          <w:rtl w:val="0"/>
        </w:rPr>
        <w:t xml:space="preserve"> Global AI VC investment hit </w:t>
      </w:r>
      <w:r w:rsidDel="00000000" w:rsidR="00000000" w:rsidRPr="00000000">
        <w:rPr>
          <w:b w:val="1"/>
          <w:bCs w:val="1"/>
          <w:rtl w:val="0"/>
        </w:rPr>
        <w:t xml:space="preserve">$211 billion</w:t>
      </w:r>
      <w:r w:rsidDel="00000000" w:rsidR="00000000" w:rsidRPr="00000000">
        <w:rPr>
          <w:rtl w:val="0"/>
        </w:rPr>
        <w:t xml:space="preserve"> in 2025, representing roughly 50% of all startup investment.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Adoption Rates:</w:t>
      </w:r>
      <w:r w:rsidDel="00000000" w:rsidR="00000000" w:rsidRPr="00000000">
        <w:rPr>
          <w:rtl w:val="0"/>
        </w:rPr>
        <w:t xml:space="preserve"> Over two-thirds of U.S. small businesses now use AI regularly. Growing SMBs are </w:t>
      </w:r>
      <w:r w:rsidDel="00000000" w:rsidR="00000000" w:rsidRPr="00000000">
        <w:rPr>
          <w:b w:val="1"/>
          <w:bCs w:val="1"/>
          <w:rtl w:val="0"/>
        </w:rPr>
        <w:t xml:space="preserve">1.8 times more likely</w:t>
      </w:r>
      <w:r w:rsidDel="00000000" w:rsidR="00000000" w:rsidRPr="00000000">
        <w:rPr>
          <w:rtl w:val="0"/>
        </w:rPr>
        <w:t xml:space="preserve"> to invest in AI than declining firms.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"AI Tax":</w:t>
      </w:r>
      <w:r w:rsidDel="00000000" w:rsidR="00000000" w:rsidRPr="00000000">
        <w:rPr>
          <w:rtl w:val="0"/>
        </w:rPr>
        <w:t xml:space="preserve"> SMBs are experiencing annual software spend increases of </w:t>
      </w:r>
      <w:r w:rsidDel="00000000" w:rsidR="00000000" w:rsidRPr="00000000">
        <w:rPr>
          <w:b w:val="1"/>
          <w:bCs w:val="1"/>
          <w:rtl w:val="0"/>
        </w:rPr>
        <w:t xml:space="preserve">20% to 37%</w:t>
      </w:r>
      <w:r w:rsidDel="00000000" w:rsidR="00000000" w:rsidRPr="00000000">
        <w:rPr>
          <w:rtl w:val="0"/>
        </w:rPr>
        <w:t xml:space="preserve"> due to AI-driven price hikes and forced migrations to "AI-inclusive" packages.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kdriuf1r6a4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II. Functional Domains of AI Integration</w:t>
      </w:r>
    </w:p>
    <w:p w:rsidR="00000000" w:rsidDel="00000000" w:rsidP="00000000" w:rsidRDefault="00000000" w:rsidRPr="00000000" w14:paraId="0000000B">
      <w:pPr>
        <w:spacing w:after="240" w:lineRule="auto"/>
        <w:rPr/>
      </w:pPr>
      <w:r w:rsidDel="00000000" w:rsidR="00000000" w:rsidRPr="00000000">
        <w:rPr>
          <w:rtl w:val="0"/>
        </w:rPr>
        <w:t xml:space="preserve">SMEs are moving away from standalone tools toward specialized vertical agents and orchestration layers.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04.1427118260935"/>
        <w:gridCol w:w="2307.9591606073163"/>
        <w:gridCol w:w="4913.409938590213"/>
        <w:tblGridChange w:id="0">
          <w:tblGrid>
            <w:gridCol w:w="1804.1427118260935"/>
            <w:gridCol w:w="2307.9591606073163"/>
            <w:gridCol w:w="4913.409938590213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Leading Tools/Startups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Operational Impact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General Labor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Lindy, Gumloop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Autonomous digital employees; visual data workflows.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Finance &amp; Audit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Denki, Zeni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Continuous compliance monitoring and real-time "always-updated" financials.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Marketing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Jasper, HubSpot Breeze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Hyper-personalization and automated content remixing.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Customer 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Nextiva (XBert), Tidio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24/7 lead qualification and automated ticket resolution.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Healthcare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ClaimGlide, MochaCare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Automated insurance authorizations and home care logistics.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Legal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Harvey, EvenUp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Scalable case law reasoning and personal injury claims automation.</w:t>
            </w:r>
          </w:p>
        </w:tc>
      </w:tr>
    </w:tbl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d1u7qsmcxpd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III. Deep Technical Architecture</w:t>
      </w:r>
    </w:p>
    <w:p w:rsidR="00000000" w:rsidDel="00000000" w:rsidP="00000000" w:rsidRDefault="00000000" w:rsidRPr="00000000" w14:paraId="00000023">
      <w:pPr>
        <w:spacing w:after="240" w:lineRule="auto"/>
        <w:rPr/>
      </w:pPr>
      <w:r w:rsidDel="00000000" w:rsidR="00000000" w:rsidRPr="00000000">
        <w:rPr>
          <w:rtl w:val="0"/>
        </w:rPr>
        <w:t xml:space="preserve">Successful AI deployment requires a robust cloud-native foundation, often utilizing the </w:t>
      </w:r>
      <w:r w:rsidDel="00000000" w:rsidR="00000000" w:rsidRPr="00000000">
        <w:rPr>
          <w:b w:val="1"/>
          <w:bCs w:val="1"/>
          <w:rtl w:val="0"/>
        </w:rPr>
        <w:t xml:space="preserve">Firebase ecosystem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Model Context Protocol (MCP)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Backend Orchestration:</w:t>
      </w:r>
      <w:r w:rsidDel="00000000" w:rsidR="00000000" w:rsidRPr="00000000">
        <w:rPr>
          <w:rtl w:val="0"/>
        </w:rPr>
        <w:t xml:space="preserve"> Google’s </w:t>
      </w:r>
      <w:r w:rsidDel="00000000" w:rsidR="00000000" w:rsidRPr="00000000">
        <w:rPr>
          <w:b w:val="1"/>
          <w:bCs w:val="1"/>
          <w:rtl w:val="0"/>
        </w:rPr>
        <w:t xml:space="preserve">Firebase Genkit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Cloud Functions</w:t>
      </w:r>
      <w:r w:rsidDel="00000000" w:rsidR="00000000" w:rsidRPr="00000000">
        <w:rPr>
          <w:rtl w:val="0"/>
        </w:rPr>
        <w:t xml:space="preserve"> serve as the primary execution points for serverless AI logic.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Contextual Memory: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Firestore</w:t>
      </w:r>
      <w:r w:rsidDel="00000000" w:rsidR="00000000" w:rsidRPr="00000000">
        <w:rPr>
          <w:rtl w:val="0"/>
        </w:rPr>
        <w:t xml:space="preserve"> has evolved into a native vector database, allowing SMBs to store and query embeddings for </w:t>
      </w:r>
      <w:r w:rsidDel="00000000" w:rsidR="00000000" w:rsidRPr="00000000">
        <w:rPr>
          <w:b w:val="1"/>
          <w:bCs w:val="1"/>
          <w:rtl w:val="0"/>
        </w:rPr>
        <w:t xml:space="preserve">Retrieval-Augmented Generation (RAG)</w:t>
      </w:r>
      <w:r w:rsidDel="00000000" w:rsidR="00000000" w:rsidRPr="00000000">
        <w:rPr>
          <w:rtl w:val="0"/>
        </w:rPr>
        <w:t xml:space="preserve"> directly within their production database.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Developer Workflow:</w:t>
      </w:r>
      <w:r w:rsidDel="00000000" w:rsidR="00000000" w:rsidRPr="00000000">
        <w:rPr>
          <w:rtl w:val="0"/>
        </w:rPr>
        <w:t xml:space="preserve"> Teams rely on </w:t>
      </w:r>
      <w:r w:rsidDel="00000000" w:rsidR="00000000" w:rsidRPr="00000000">
        <w:rPr>
          <w:b w:val="1"/>
          <w:bCs w:val="1"/>
          <w:rtl w:val="0"/>
        </w:rPr>
        <w:t xml:space="preserve">Cursor IDE</w:t>
      </w:r>
      <w:r w:rsidDel="00000000" w:rsidR="00000000" w:rsidRPr="00000000">
        <w:rPr>
          <w:rtl w:val="0"/>
        </w:rPr>
        <w:t xml:space="preserve"> in "Agent Mode," which uses </w:t>
      </w:r>
      <w:r w:rsidDel="00000000" w:rsidR="00000000" w:rsidRPr="00000000">
        <w:rPr>
          <w:b w:val="1"/>
          <w:bCs w:val="1"/>
          <w:rtl w:val="0"/>
        </w:rPr>
        <w:t xml:space="preserve">Merkle tree</w:t>
      </w:r>
      <w:r w:rsidDel="00000000" w:rsidR="00000000" w:rsidRPr="00000000">
        <w:rPr>
          <w:rtl w:val="0"/>
        </w:rPr>
        <w:t xml:space="preserve"> codebase indexing for autonomous multi-file editing.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Interoperability:</w:t>
      </w:r>
      <w:r w:rsidDel="00000000" w:rsidR="00000000" w:rsidRPr="00000000">
        <w:rPr>
          <w:rtl w:val="0"/>
        </w:rPr>
        <w:t xml:space="preserve"> The </w:t>
      </w:r>
      <w:r w:rsidDel="00000000" w:rsidR="00000000" w:rsidRPr="00000000">
        <w:rPr>
          <w:b w:val="1"/>
          <w:bCs w:val="1"/>
          <w:rtl w:val="0"/>
        </w:rPr>
        <w:t xml:space="preserve">Model Context Protocol (MCP)</w:t>
      </w:r>
      <w:r w:rsidDel="00000000" w:rsidR="00000000" w:rsidRPr="00000000">
        <w:rPr>
          <w:rtl w:val="0"/>
        </w:rPr>
        <w:t xml:space="preserve"> has emerged as the standard for connecting AI agents to external tools like Xero, QuickBooks, and Google Maps.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tcf2w9vcuro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IV. Strategic Risks and Failure Modes</w:t>
      </w:r>
    </w:p>
    <w:p w:rsidR="00000000" w:rsidDel="00000000" w:rsidP="00000000" w:rsidRDefault="00000000" w:rsidRPr="00000000" w14:paraId="0000002A">
      <w:pPr>
        <w:spacing w:after="240" w:lineRule="auto"/>
        <w:rPr/>
      </w:pPr>
      <w:r w:rsidDel="00000000" w:rsidR="00000000" w:rsidRPr="00000000">
        <w:rPr>
          <w:rtl w:val="0"/>
        </w:rPr>
        <w:t xml:space="preserve">Despite high adoption, </w:t>
      </w:r>
      <w:r w:rsidDel="00000000" w:rsidR="00000000" w:rsidRPr="00000000">
        <w:rPr>
          <w:b w:val="1"/>
          <w:bCs w:val="1"/>
          <w:rtl w:val="0"/>
        </w:rPr>
        <w:t xml:space="preserve">95% of AI pilots</w:t>
      </w:r>
      <w:r w:rsidDel="00000000" w:rsidR="00000000" w:rsidRPr="00000000">
        <w:rPr>
          <w:rtl w:val="0"/>
        </w:rPr>
        <w:t xml:space="preserve"> in 2025 failed to reach production or generate positive cash flow.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Hallucination Liability:</w:t>
      </w:r>
      <w:r w:rsidDel="00000000" w:rsidR="00000000" w:rsidRPr="00000000">
        <w:rPr>
          <w:rtl w:val="0"/>
        </w:rPr>
        <w:t xml:space="preserve"> Chatbots still hallucinate up to </w:t>
      </w:r>
      <w:r w:rsidDel="00000000" w:rsidR="00000000" w:rsidRPr="00000000">
        <w:rPr>
          <w:b w:val="1"/>
          <w:bCs w:val="1"/>
          <w:rtl w:val="0"/>
        </w:rPr>
        <w:t xml:space="preserve">27%</w:t>
      </w:r>
      <w:r w:rsidDel="00000000" w:rsidR="00000000" w:rsidRPr="00000000">
        <w:rPr>
          <w:rtl w:val="0"/>
        </w:rPr>
        <w:t xml:space="preserve"> of the time, leading to legal precedents where AI-generated promises are deemed legally binding.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Legacy Drag:</w:t>
      </w:r>
      <w:r w:rsidDel="00000000" w:rsidR="00000000" w:rsidRPr="00000000">
        <w:rPr>
          <w:rtl w:val="0"/>
        </w:rPr>
        <w:t xml:space="preserve"> SMBs spend </w:t>
      </w:r>
      <w:r w:rsidDel="00000000" w:rsidR="00000000" w:rsidRPr="00000000">
        <w:rPr>
          <w:b w:val="1"/>
          <w:bCs w:val="1"/>
          <w:rtl w:val="0"/>
        </w:rPr>
        <w:t xml:space="preserve">60% to 80%</w:t>
      </w:r>
      <w:r w:rsidDel="00000000" w:rsidR="00000000" w:rsidRPr="00000000">
        <w:rPr>
          <w:rtl w:val="0"/>
        </w:rPr>
        <w:t xml:space="preserve"> of IT budgets maintaining legacy systems that are often incompatible with real-time AI processing.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ROI Gap:</w:t>
      </w:r>
      <w:r w:rsidDel="00000000" w:rsidR="00000000" w:rsidRPr="00000000">
        <w:rPr>
          <w:rtl w:val="0"/>
        </w:rPr>
        <w:t xml:space="preserve"> Fewer than </w:t>
      </w:r>
      <w:r w:rsidDel="00000000" w:rsidR="00000000" w:rsidRPr="00000000">
        <w:rPr>
          <w:b w:val="1"/>
          <w:bCs w:val="1"/>
          <w:rtl w:val="0"/>
        </w:rPr>
        <w:t xml:space="preserve">one-third</w:t>
      </w:r>
      <w:r w:rsidDel="00000000" w:rsidR="00000000" w:rsidRPr="00000000">
        <w:rPr>
          <w:rtl w:val="0"/>
        </w:rPr>
        <w:t xml:space="preserve"> of organizations can tie AI value to tangible P&amp;L changes.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Security:</w:t>
      </w:r>
      <w:r w:rsidDel="00000000" w:rsidR="00000000" w:rsidRPr="00000000">
        <w:rPr>
          <w:rtl w:val="0"/>
        </w:rPr>
        <w:t xml:space="preserve"> "Shadow AI"—the unauthorized use of personal AI accounts—presents significant data exfiltration risks.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dz9o9c8bad4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V. Adaptive Pricing Models</w:t>
      </w:r>
    </w:p>
    <w:p w:rsidR="00000000" w:rsidDel="00000000" w:rsidP="00000000" w:rsidRDefault="00000000" w:rsidRPr="00000000" w14:paraId="00000031">
      <w:pPr>
        <w:spacing w:after="240" w:lineRule="auto"/>
        <w:rPr/>
      </w:pPr>
      <w:r w:rsidDel="00000000" w:rsidR="00000000" w:rsidRPr="00000000">
        <w:rPr>
          <w:rtl w:val="0"/>
        </w:rPr>
        <w:t xml:space="preserve">The era of predictable seat-based SaaS is ending, replaced by </w:t>
      </w:r>
      <w:r w:rsidDel="00000000" w:rsidR="00000000" w:rsidRPr="00000000">
        <w:rPr>
          <w:b w:val="1"/>
          <w:bCs w:val="1"/>
          <w:rtl w:val="0"/>
        </w:rPr>
        <w:t xml:space="preserve">usage-based and agentic models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Hybrid Consumption:</w:t>
      </w:r>
      <w:r w:rsidDel="00000000" w:rsidR="00000000" w:rsidRPr="00000000">
        <w:rPr>
          <w:rtl w:val="0"/>
        </w:rPr>
        <w:t xml:space="preserve"> Combines a predictable base fee with a variable tail for high-cost AI actions.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Credit-Based Systems:</w:t>
      </w:r>
      <w:r w:rsidDel="00000000" w:rsidR="00000000" w:rsidRPr="00000000">
        <w:rPr>
          <w:rtl w:val="0"/>
        </w:rPr>
        <w:t xml:space="preserve"> Credits act as a "platform currency" to abstract varying API costs.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Outcome-Based Monetization:</w:t>
      </w:r>
      <w:r w:rsidDel="00000000" w:rsidR="00000000" w:rsidRPr="00000000">
        <w:rPr>
          <w:rtl w:val="0"/>
        </w:rPr>
        <w:t xml:space="preserve"> Charging for completed tasks (e.g., "invoices collected" or "tickets resolved"), which eliminates "ROI risk" for the SMB buyer.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zf3erjkfiqy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VI. Conclusion: The Competitive Frontier</w:t>
      </w:r>
    </w:p>
    <w:p w:rsidR="00000000" w:rsidDel="00000000" w:rsidP="00000000" w:rsidRDefault="00000000" w:rsidRPr="00000000" w14:paraId="00000037">
      <w:pPr>
        <w:spacing w:after="240" w:lineRule="auto"/>
        <w:rPr/>
      </w:pPr>
      <w:r w:rsidDel="00000000" w:rsidR="00000000" w:rsidRPr="00000000">
        <w:rPr>
          <w:rtl w:val="0"/>
        </w:rPr>
        <w:t xml:space="preserve">To thrive by 2027, SMEs must prioritize </w:t>
      </w:r>
      <w:r w:rsidDel="00000000" w:rsidR="00000000" w:rsidRPr="00000000">
        <w:rPr>
          <w:b w:val="1"/>
          <w:bCs w:val="1"/>
          <w:rtl w:val="0"/>
        </w:rPr>
        <w:t xml:space="preserve">talent development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data hygiene</w:t>
      </w:r>
      <w:r w:rsidDel="00000000" w:rsidR="00000000" w:rsidRPr="00000000">
        <w:rPr>
          <w:rtl w:val="0"/>
        </w:rPr>
        <w:t xml:space="preserve">. The winners will be those who reinvest productivity gains (following the </w:t>
      </w:r>
      <w:r w:rsidDel="00000000" w:rsidR="00000000" w:rsidRPr="00000000">
        <w:rPr>
          <w:b w:val="1"/>
          <w:bCs w:val="1"/>
          <w:rtl w:val="0"/>
        </w:rPr>
        <w:t xml:space="preserve">30/30/40 rule</w:t>
      </w:r>
      <w:r w:rsidDel="00000000" w:rsidR="00000000" w:rsidRPr="00000000">
        <w:rPr>
          <w:rtl w:val="0"/>
        </w:rPr>
        <w:t xml:space="preserve">) into technology and upskilling rather than just short-term cost-cutting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